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0618" w14:textId="77777777" w:rsidR="00FA7269" w:rsidRPr="0048370E" w:rsidRDefault="000F46BC" w:rsidP="009537D0">
      <w:pPr>
        <w:jc w:val="center"/>
        <w:rPr>
          <w:rFonts w:ascii="Times New Roman" w:hAnsi="Times New Roman" w:cs="Times New Roman"/>
          <w:b/>
          <w:caps/>
          <w:sz w:val="24"/>
          <w:szCs w:val="24"/>
        </w:rPr>
      </w:pPr>
      <w:bookmarkStart w:id="0" w:name="_Hlk527020396"/>
      <w:bookmarkEnd w:id="0"/>
      <w:r w:rsidRPr="0048370E">
        <w:rPr>
          <w:rFonts w:ascii="Times New Roman" w:hAnsi="Times New Roman" w:cs="Times New Roman"/>
          <w:b/>
          <w:caps/>
          <w:sz w:val="24"/>
          <w:szCs w:val="24"/>
        </w:rPr>
        <w:t xml:space="preserve">Project no. </w:t>
      </w:r>
      <w:r w:rsidR="00E64DF8">
        <w:rPr>
          <w:rFonts w:ascii="Times New Roman" w:hAnsi="Times New Roman" w:cs="Times New Roman"/>
          <w:b/>
          <w:caps/>
          <w:sz w:val="24"/>
          <w:szCs w:val="24"/>
        </w:rPr>
        <w:t>48</w:t>
      </w:r>
      <w:r w:rsidR="004E4800">
        <w:rPr>
          <w:rFonts w:ascii="Times New Roman" w:hAnsi="Times New Roman" w:cs="Times New Roman"/>
          <w:b/>
          <w:caps/>
          <w:sz w:val="24"/>
          <w:szCs w:val="24"/>
        </w:rPr>
        <w:t>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359"/>
        <w:gridCol w:w="4407"/>
      </w:tblGrid>
      <w:tr w:rsidR="00FA7269" w:rsidRPr="009537D0" w14:paraId="3CC14986" w14:textId="77777777" w:rsidTr="008B2C47">
        <w:tc>
          <w:tcPr>
            <w:tcW w:w="4698" w:type="dxa"/>
          </w:tcPr>
          <w:p w14:paraId="1DB09B04" w14:textId="77777777" w:rsidR="00FA7269" w:rsidRPr="00192C6E" w:rsidRDefault="004E4800" w:rsidP="00DE1BA1">
            <w:pPr>
              <w:rPr>
                <w:rFonts w:ascii="Times New Roman" w:hAnsi="Times New Roman" w:cs="Times New Roman"/>
                <w:b/>
                <w:caps/>
                <w:sz w:val="24"/>
                <w:szCs w:val="24"/>
              </w:rPr>
            </w:pPr>
            <w:r>
              <w:rPr>
                <w:rFonts w:ascii="Times New Roman" w:hAnsi="Times New Roman" w:cs="Times New Roman"/>
                <w:b/>
                <w:color w:val="333333"/>
                <w:sz w:val="24"/>
                <w:szCs w:val="24"/>
                <w:lang w:val="en"/>
              </w:rPr>
              <w:t>RULEMAKING TO ADDRESS THE USE OF NON-TRADITIONAL TECHNOLOGIES IN ELECTRIC DELIVERY SERVICE</w:t>
            </w:r>
          </w:p>
        </w:tc>
        <w:tc>
          <w:tcPr>
            <w:tcW w:w="360" w:type="dxa"/>
          </w:tcPr>
          <w:p w14:paraId="1B37A932" w14:textId="77777777" w:rsidR="00FA7269" w:rsidRPr="007F68E4" w:rsidRDefault="00FA7269" w:rsidP="00A96898">
            <w:pPr>
              <w:rPr>
                <w:rFonts w:ascii="Times New Roman" w:hAnsi="Times New Roman" w:cs="Times New Roman"/>
                <w:b/>
                <w:caps/>
                <w:sz w:val="24"/>
                <w:szCs w:val="24"/>
              </w:rPr>
            </w:pPr>
            <w:r w:rsidRPr="007F68E4">
              <w:rPr>
                <w:rFonts w:ascii="Times New Roman" w:hAnsi="Times New Roman" w:cs="Times New Roman"/>
                <w:b/>
                <w:caps/>
                <w:sz w:val="24"/>
                <w:szCs w:val="24"/>
              </w:rPr>
              <w:t>§</w:t>
            </w:r>
          </w:p>
          <w:p w14:paraId="4162943E" w14:textId="77777777" w:rsidR="00FA7269" w:rsidRPr="007F68E4" w:rsidRDefault="00FA7269" w:rsidP="00A96898">
            <w:pPr>
              <w:rPr>
                <w:rFonts w:ascii="Times New Roman" w:hAnsi="Times New Roman" w:cs="Times New Roman"/>
                <w:b/>
                <w:caps/>
                <w:sz w:val="24"/>
                <w:szCs w:val="24"/>
              </w:rPr>
            </w:pPr>
            <w:r w:rsidRPr="007F68E4">
              <w:rPr>
                <w:rFonts w:ascii="Times New Roman" w:hAnsi="Times New Roman" w:cs="Times New Roman"/>
                <w:b/>
                <w:caps/>
                <w:sz w:val="24"/>
                <w:szCs w:val="24"/>
              </w:rPr>
              <w:t>§</w:t>
            </w:r>
          </w:p>
          <w:p w14:paraId="7DDDE763" w14:textId="77777777" w:rsidR="00B552A5" w:rsidRPr="007F68E4" w:rsidRDefault="00B552A5" w:rsidP="00B552A5">
            <w:pPr>
              <w:rPr>
                <w:rFonts w:ascii="Times New Roman" w:hAnsi="Times New Roman" w:cs="Times New Roman"/>
                <w:b/>
                <w:caps/>
                <w:sz w:val="24"/>
                <w:szCs w:val="24"/>
              </w:rPr>
            </w:pPr>
            <w:r w:rsidRPr="007F68E4">
              <w:rPr>
                <w:rFonts w:ascii="Times New Roman" w:hAnsi="Times New Roman" w:cs="Times New Roman"/>
                <w:b/>
                <w:caps/>
                <w:sz w:val="24"/>
                <w:szCs w:val="24"/>
              </w:rPr>
              <w:t>§</w:t>
            </w:r>
          </w:p>
          <w:p w14:paraId="4502AB23" w14:textId="77777777" w:rsidR="007F68E4" w:rsidRPr="007F68E4" w:rsidRDefault="007F68E4" w:rsidP="007F68E4">
            <w:pPr>
              <w:rPr>
                <w:rFonts w:ascii="Times New Roman" w:hAnsi="Times New Roman" w:cs="Times New Roman"/>
                <w:b/>
                <w:caps/>
                <w:sz w:val="24"/>
                <w:szCs w:val="24"/>
              </w:rPr>
            </w:pPr>
            <w:r w:rsidRPr="007F68E4">
              <w:rPr>
                <w:rFonts w:ascii="Times New Roman" w:hAnsi="Times New Roman" w:cs="Times New Roman"/>
                <w:b/>
                <w:caps/>
                <w:sz w:val="24"/>
                <w:szCs w:val="24"/>
              </w:rPr>
              <w:t>§</w:t>
            </w:r>
          </w:p>
          <w:p w14:paraId="126C4665" w14:textId="77777777" w:rsidR="00B552A5" w:rsidRPr="005350ED" w:rsidRDefault="00B552A5" w:rsidP="007F68E4">
            <w:pPr>
              <w:rPr>
                <w:rFonts w:ascii="Times New Roman" w:hAnsi="Times New Roman" w:cs="Times New Roman"/>
                <w:b/>
                <w:caps/>
                <w:sz w:val="24"/>
                <w:szCs w:val="24"/>
              </w:rPr>
            </w:pPr>
          </w:p>
        </w:tc>
        <w:tc>
          <w:tcPr>
            <w:tcW w:w="4518" w:type="dxa"/>
          </w:tcPr>
          <w:p w14:paraId="5ED53AA6" w14:textId="77777777" w:rsidR="00FA7269" w:rsidRPr="00AB549D" w:rsidRDefault="00FA7269" w:rsidP="00242FD3">
            <w:pPr>
              <w:spacing w:line="360" w:lineRule="auto"/>
              <w:jc w:val="center"/>
              <w:rPr>
                <w:rFonts w:ascii="Times New Roman" w:hAnsi="Times New Roman" w:cs="Times New Roman"/>
                <w:b/>
                <w:caps/>
                <w:sz w:val="24"/>
                <w:szCs w:val="24"/>
              </w:rPr>
            </w:pPr>
            <w:r w:rsidRPr="00AB549D">
              <w:rPr>
                <w:rFonts w:ascii="Times New Roman" w:hAnsi="Times New Roman" w:cs="Times New Roman"/>
                <w:b/>
                <w:caps/>
                <w:sz w:val="24"/>
                <w:szCs w:val="24"/>
              </w:rPr>
              <w:t>Public utility commission</w:t>
            </w:r>
          </w:p>
          <w:p w14:paraId="3537E7B8" w14:textId="77777777" w:rsidR="00FA7269" w:rsidRPr="00242FD3" w:rsidRDefault="00FA7269" w:rsidP="00242FD3">
            <w:pPr>
              <w:spacing w:line="360" w:lineRule="auto"/>
              <w:jc w:val="center"/>
              <w:rPr>
                <w:rFonts w:ascii="Times New Roman" w:hAnsi="Times New Roman" w:cs="Times New Roman"/>
                <w:b/>
                <w:caps/>
                <w:sz w:val="24"/>
                <w:szCs w:val="24"/>
              </w:rPr>
            </w:pPr>
            <w:r w:rsidRPr="00AB549D">
              <w:rPr>
                <w:rFonts w:ascii="Times New Roman" w:hAnsi="Times New Roman" w:cs="Times New Roman"/>
                <w:b/>
                <w:caps/>
                <w:sz w:val="24"/>
                <w:szCs w:val="24"/>
              </w:rPr>
              <w:t>Of</w:t>
            </w:r>
            <w:r w:rsidR="00242FD3">
              <w:rPr>
                <w:rFonts w:ascii="Times New Roman" w:hAnsi="Times New Roman" w:cs="Times New Roman"/>
                <w:b/>
                <w:caps/>
                <w:sz w:val="24"/>
                <w:szCs w:val="24"/>
              </w:rPr>
              <w:t xml:space="preserve"> </w:t>
            </w:r>
            <w:r w:rsidRPr="00AB549D">
              <w:rPr>
                <w:rFonts w:ascii="Times New Roman" w:hAnsi="Times New Roman" w:cs="Times New Roman"/>
                <w:b/>
                <w:caps/>
                <w:sz w:val="24"/>
                <w:szCs w:val="24"/>
              </w:rPr>
              <w:t>texas</w:t>
            </w:r>
          </w:p>
        </w:tc>
      </w:tr>
    </w:tbl>
    <w:p w14:paraId="5E2E5EB0" w14:textId="77777777" w:rsidR="006E55AF" w:rsidRPr="00D6576E" w:rsidRDefault="006E55AF" w:rsidP="00FA7269">
      <w:pPr>
        <w:spacing w:after="0" w:line="240" w:lineRule="auto"/>
        <w:jc w:val="center"/>
        <w:rPr>
          <w:rFonts w:ascii="Times New Roman" w:hAnsi="Times New Roman" w:cs="Times New Roman"/>
          <w:b/>
          <w:sz w:val="24"/>
          <w:szCs w:val="24"/>
        </w:rPr>
      </w:pPr>
    </w:p>
    <w:p w14:paraId="33F36AF1" w14:textId="77777777" w:rsidR="00BA2304" w:rsidRPr="00D6576E" w:rsidRDefault="00BA2304" w:rsidP="00FA7269">
      <w:pPr>
        <w:spacing w:after="0" w:line="240" w:lineRule="auto"/>
        <w:jc w:val="center"/>
        <w:rPr>
          <w:rFonts w:ascii="Times New Roman" w:hAnsi="Times New Roman" w:cs="Times New Roman"/>
          <w:b/>
          <w:sz w:val="24"/>
          <w:szCs w:val="24"/>
        </w:rPr>
      </w:pPr>
    </w:p>
    <w:p w14:paraId="1C5A73B3" w14:textId="1F11B89C" w:rsidR="00FA7269" w:rsidRPr="0048370E" w:rsidRDefault="00190776" w:rsidP="00FA72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TEXAS COMPETITIVE POWER ADVOCATES (TCPA) </w:t>
      </w:r>
      <w:r w:rsidR="004E4800">
        <w:rPr>
          <w:rFonts w:ascii="Times New Roman" w:hAnsi="Times New Roman" w:cs="Times New Roman"/>
          <w:b/>
          <w:sz w:val="24"/>
          <w:szCs w:val="24"/>
        </w:rPr>
        <w:t>REPLY COMMENTS</w:t>
      </w:r>
    </w:p>
    <w:p w14:paraId="55154CD4" w14:textId="77777777" w:rsidR="005D6220" w:rsidRPr="0048370E" w:rsidRDefault="005D6220" w:rsidP="00FA7269">
      <w:pPr>
        <w:spacing w:after="0" w:line="240" w:lineRule="auto"/>
        <w:jc w:val="center"/>
        <w:rPr>
          <w:rFonts w:ascii="Times New Roman" w:hAnsi="Times New Roman" w:cs="Times New Roman"/>
          <w:b/>
          <w:sz w:val="24"/>
          <w:szCs w:val="24"/>
        </w:rPr>
      </w:pPr>
    </w:p>
    <w:p w14:paraId="2D3140B3" w14:textId="77777777" w:rsidR="009537D0" w:rsidRPr="0048370E" w:rsidRDefault="009537D0" w:rsidP="00FA7269">
      <w:pPr>
        <w:spacing w:after="0" w:line="240" w:lineRule="auto"/>
        <w:jc w:val="center"/>
        <w:rPr>
          <w:rFonts w:ascii="Times New Roman" w:hAnsi="Times New Roman" w:cs="Times New Roman"/>
          <w:b/>
          <w:sz w:val="24"/>
          <w:szCs w:val="24"/>
        </w:rPr>
      </w:pPr>
    </w:p>
    <w:p w14:paraId="558BEB24" w14:textId="70832880" w:rsidR="00A923EF" w:rsidRPr="00042EF0" w:rsidRDefault="00042EF0" w:rsidP="00042EF0">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042EF0">
        <w:rPr>
          <w:rFonts w:ascii="Times New Roman" w:hAnsi="Times New Roman" w:cs="Times New Roman"/>
          <w:sz w:val="24"/>
          <w:szCs w:val="24"/>
        </w:rPr>
        <w:t xml:space="preserve">Texas Competitive Power Advocates (TCPA) </w:t>
      </w:r>
      <w:r w:rsidR="00643A83">
        <w:rPr>
          <w:rFonts w:ascii="Times New Roman" w:hAnsi="Times New Roman" w:cs="Times New Roman"/>
          <w:sz w:val="24"/>
          <w:szCs w:val="24"/>
        </w:rPr>
        <w:t xml:space="preserve">appreciates the opportunity to provide </w:t>
      </w:r>
      <w:r w:rsidR="003F027B">
        <w:rPr>
          <w:rFonts w:ascii="Times New Roman" w:hAnsi="Times New Roman" w:cs="Times New Roman"/>
          <w:sz w:val="24"/>
          <w:szCs w:val="24"/>
        </w:rPr>
        <w:t xml:space="preserve">reply </w:t>
      </w:r>
      <w:r w:rsidR="00643A83">
        <w:rPr>
          <w:rFonts w:ascii="Times New Roman" w:hAnsi="Times New Roman" w:cs="Times New Roman"/>
          <w:sz w:val="24"/>
          <w:szCs w:val="24"/>
        </w:rPr>
        <w:t xml:space="preserve">comments </w:t>
      </w:r>
      <w:r w:rsidR="003F027B">
        <w:rPr>
          <w:rFonts w:ascii="Times New Roman" w:hAnsi="Times New Roman" w:cs="Times New Roman"/>
          <w:sz w:val="24"/>
          <w:szCs w:val="24"/>
        </w:rPr>
        <w:t>to address some of the positions taken by other stakeholders in their November 2, 2018 reply to staff requests for comments regarding non-traditional technologies</w:t>
      </w:r>
      <w:r w:rsidR="00F07390">
        <w:rPr>
          <w:rFonts w:ascii="Times New Roman" w:hAnsi="Times New Roman" w:cs="Times New Roman"/>
          <w:sz w:val="24"/>
          <w:szCs w:val="24"/>
        </w:rPr>
        <w:t>.</w:t>
      </w:r>
      <w:r w:rsidR="003F027B">
        <w:rPr>
          <w:rFonts w:ascii="Times New Roman" w:hAnsi="Times New Roman" w:cs="Times New Roman"/>
          <w:sz w:val="24"/>
          <w:szCs w:val="24"/>
        </w:rPr>
        <w:t xml:space="preserve"> </w:t>
      </w:r>
      <w:r w:rsidR="00F07390">
        <w:rPr>
          <w:rFonts w:ascii="Times New Roman" w:hAnsi="Times New Roman" w:cs="Times New Roman"/>
          <w:sz w:val="24"/>
          <w:szCs w:val="24"/>
        </w:rPr>
        <w:t xml:space="preserve">TCPA is limiting these comments to the topic of </w:t>
      </w:r>
      <w:r w:rsidR="003F027B">
        <w:rPr>
          <w:rFonts w:ascii="Times New Roman" w:hAnsi="Times New Roman" w:cs="Times New Roman"/>
          <w:sz w:val="24"/>
          <w:szCs w:val="24"/>
        </w:rPr>
        <w:t>transmission and distribution utilities’ (TDUs) ownership of those technologies</w:t>
      </w:r>
      <w:r w:rsidR="00F07390">
        <w:rPr>
          <w:rFonts w:ascii="Times New Roman" w:hAnsi="Times New Roman" w:cs="Times New Roman"/>
          <w:sz w:val="24"/>
          <w:szCs w:val="24"/>
        </w:rPr>
        <w:t>, and does not, by omitting to address them here, intend to endorse any stakeholders’ positions on other topics</w:t>
      </w:r>
      <w:r w:rsidR="00643A83">
        <w:rPr>
          <w:rFonts w:ascii="Times New Roman" w:hAnsi="Times New Roman" w:cs="Times New Roman"/>
          <w:sz w:val="24"/>
          <w:szCs w:val="24"/>
        </w:rPr>
        <w:t xml:space="preserve">. </w:t>
      </w:r>
    </w:p>
    <w:p w14:paraId="73C8B54B" w14:textId="7943C959" w:rsidR="00FA6A94" w:rsidRPr="0048370E" w:rsidRDefault="00FA6A94" w:rsidP="00FA6A94">
      <w:pPr>
        <w:spacing w:line="360" w:lineRule="auto"/>
        <w:jc w:val="center"/>
        <w:rPr>
          <w:rFonts w:ascii="Times New Roman" w:hAnsi="Times New Roman" w:cs="Times New Roman"/>
          <w:b/>
          <w:sz w:val="24"/>
          <w:szCs w:val="24"/>
        </w:rPr>
      </w:pPr>
      <w:r w:rsidRPr="0048370E">
        <w:rPr>
          <w:rFonts w:ascii="Times New Roman" w:hAnsi="Times New Roman" w:cs="Times New Roman"/>
          <w:b/>
          <w:sz w:val="24"/>
          <w:szCs w:val="24"/>
        </w:rPr>
        <w:t xml:space="preserve">I. </w:t>
      </w:r>
      <w:r w:rsidR="005350ED">
        <w:rPr>
          <w:rFonts w:ascii="Times New Roman" w:hAnsi="Times New Roman" w:cs="Times New Roman"/>
          <w:b/>
          <w:sz w:val="24"/>
          <w:szCs w:val="24"/>
        </w:rPr>
        <w:t xml:space="preserve"> </w:t>
      </w:r>
      <w:r w:rsidR="003F027B">
        <w:rPr>
          <w:rFonts w:ascii="Times New Roman" w:hAnsi="Times New Roman" w:cs="Times New Roman"/>
          <w:b/>
          <w:sz w:val="24"/>
          <w:szCs w:val="24"/>
        </w:rPr>
        <w:t xml:space="preserve">Reply to TDUs’ Position Regarding </w:t>
      </w:r>
      <w:r w:rsidR="00C971C6">
        <w:rPr>
          <w:rFonts w:ascii="Times New Roman" w:hAnsi="Times New Roman" w:cs="Times New Roman"/>
          <w:b/>
          <w:sz w:val="24"/>
          <w:szCs w:val="24"/>
        </w:rPr>
        <w:t xml:space="preserve">Energy Storage </w:t>
      </w:r>
      <w:r w:rsidR="003F027B">
        <w:rPr>
          <w:rFonts w:ascii="Times New Roman" w:hAnsi="Times New Roman" w:cs="Times New Roman"/>
          <w:b/>
          <w:sz w:val="24"/>
          <w:szCs w:val="24"/>
        </w:rPr>
        <w:t>Ownership</w:t>
      </w:r>
    </w:p>
    <w:p w14:paraId="0E562AA9" w14:textId="77777777" w:rsidR="00A20B3F" w:rsidRDefault="00616BA6" w:rsidP="0062538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F027B">
        <w:rPr>
          <w:rFonts w:ascii="Times New Roman" w:hAnsi="Times New Roman" w:cs="Times New Roman"/>
          <w:sz w:val="24"/>
          <w:szCs w:val="24"/>
        </w:rPr>
        <w:t>TCPA fundamentally disagrees with positions advanced by the TDUs</w:t>
      </w:r>
      <w:r w:rsidR="003F027B">
        <w:rPr>
          <w:rStyle w:val="FootnoteReference"/>
          <w:rFonts w:ascii="Times New Roman" w:hAnsi="Times New Roman" w:cs="Times New Roman"/>
          <w:sz w:val="24"/>
          <w:szCs w:val="24"/>
        </w:rPr>
        <w:footnoteReference w:id="1"/>
      </w:r>
      <w:r w:rsidR="003F027B">
        <w:rPr>
          <w:rFonts w:ascii="Times New Roman" w:hAnsi="Times New Roman" w:cs="Times New Roman"/>
          <w:sz w:val="24"/>
          <w:szCs w:val="24"/>
        </w:rPr>
        <w:t xml:space="preserve"> in their November 2, 2018 filed comments. </w:t>
      </w:r>
      <w:r w:rsidR="00BA5179">
        <w:rPr>
          <w:rFonts w:ascii="Times New Roman" w:hAnsi="Times New Roman" w:cs="Times New Roman"/>
          <w:sz w:val="24"/>
          <w:szCs w:val="24"/>
        </w:rPr>
        <w:t xml:space="preserve">While these comments will not address all aspects of the TDU arguments made, they will address </w:t>
      </w:r>
      <w:r w:rsidR="00A20B3F">
        <w:rPr>
          <w:rFonts w:ascii="Times New Roman" w:hAnsi="Times New Roman" w:cs="Times New Roman"/>
          <w:sz w:val="24"/>
          <w:szCs w:val="24"/>
        </w:rPr>
        <w:t xml:space="preserve">the flawed arguments that would subvert the restructuring of utility functions provided for in SB 7 and the undermining of competitive market forces at the core of the Legislature’s intent with SB 7 enactment. </w:t>
      </w:r>
    </w:p>
    <w:p w14:paraId="11676B7F" w14:textId="629FF7AE" w:rsidR="004C341F" w:rsidRDefault="00A20B3F" w:rsidP="00BE07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the TDUs focus on the word “intend” in PURA § </w:t>
      </w:r>
      <w:r w:rsidR="0046592A">
        <w:rPr>
          <w:rFonts w:ascii="Times New Roman" w:hAnsi="Times New Roman" w:cs="Times New Roman"/>
          <w:sz w:val="24"/>
          <w:szCs w:val="24"/>
        </w:rPr>
        <w:t>35.152</w:t>
      </w:r>
      <w:r>
        <w:rPr>
          <w:rFonts w:ascii="Times New Roman" w:hAnsi="Times New Roman" w:cs="Times New Roman"/>
          <w:sz w:val="24"/>
          <w:szCs w:val="24"/>
        </w:rPr>
        <w:t>(a) to justify their ownership of energy storage devices and facilities. This language</w:t>
      </w:r>
      <w:r w:rsidR="0046592A">
        <w:rPr>
          <w:rFonts w:ascii="Times New Roman" w:hAnsi="Times New Roman" w:cs="Times New Roman"/>
          <w:sz w:val="24"/>
          <w:szCs w:val="24"/>
        </w:rPr>
        <w:t xml:space="preserve"> – “facilities that are intended to be used to sell energy or ancillary services at wholesale are generation assets” – </w:t>
      </w:r>
      <w:r>
        <w:rPr>
          <w:rFonts w:ascii="Times New Roman" w:hAnsi="Times New Roman" w:cs="Times New Roman"/>
          <w:sz w:val="24"/>
          <w:szCs w:val="24"/>
        </w:rPr>
        <w:t xml:space="preserve">mimics the wording used </w:t>
      </w:r>
      <w:r w:rsidR="00051A5D">
        <w:rPr>
          <w:rFonts w:ascii="Times New Roman" w:hAnsi="Times New Roman" w:cs="Times New Roman"/>
          <w:sz w:val="24"/>
          <w:szCs w:val="24"/>
        </w:rPr>
        <w:t>to define a</w:t>
      </w:r>
      <w:r>
        <w:rPr>
          <w:rFonts w:ascii="Times New Roman" w:hAnsi="Times New Roman" w:cs="Times New Roman"/>
          <w:sz w:val="24"/>
          <w:szCs w:val="24"/>
        </w:rPr>
        <w:t xml:space="preserve"> “power generation company” </w:t>
      </w:r>
      <w:r w:rsidR="00FE0BCC">
        <w:rPr>
          <w:rFonts w:ascii="Times New Roman" w:hAnsi="Times New Roman" w:cs="Times New Roman"/>
          <w:sz w:val="24"/>
          <w:szCs w:val="24"/>
        </w:rPr>
        <w:t>in</w:t>
      </w:r>
      <w:r>
        <w:rPr>
          <w:rFonts w:ascii="Times New Roman" w:hAnsi="Times New Roman" w:cs="Times New Roman"/>
          <w:sz w:val="24"/>
          <w:szCs w:val="24"/>
        </w:rPr>
        <w:t xml:space="preserve"> PURA § 31.002(10)</w:t>
      </w:r>
      <w:r w:rsidR="00051A5D">
        <w:rPr>
          <w:rFonts w:ascii="Times New Roman" w:hAnsi="Times New Roman" w:cs="Times New Roman"/>
          <w:sz w:val="24"/>
          <w:szCs w:val="24"/>
        </w:rPr>
        <w:t>.</w:t>
      </w:r>
      <w:r>
        <w:rPr>
          <w:rFonts w:ascii="Times New Roman" w:hAnsi="Times New Roman" w:cs="Times New Roman"/>
          <w:sz w:val="24"/>
          <w:szCs w:val="24"/>
        </w:rPr>
        <w:t xml:space="preserve"> </w:t>
      </w:r>
      <w:r w:rsidR="00051A5D">
        <w:rPr>
          <w:rFonts w:ascii="Times New Roman" w:hAnsi="Times New Roman" w:cs="Times New Roman"/>
          <w:sz w:val="24"/>
          <w:szCs w:val="24"/>
        </w:rPr>
        <w:t xml:space="preserve">The TDUs’ narrow focus </w:t>
      </w:r>
      <w:r>
        <w:rPr>
          <w:rFonts w:ascii="Times New Roman" w:hAnsi="Times New Roman" w:cs="Times New Roman"/>
          <w:sz w:val="24"/>
          <w:szCs w:val="24"/>
        </w:rPr>
        <w:t>ignor</w:t>
      </w:r>
      <w:r w:rsidR="00051A5D">
        <w:rPr>
          <w:rFonts w:ascii="Times New Roman" w:hAnsi="Times New Roman" w:cs="Times New Roman"/>
          <w:sz w:val="24"/>
          <w:szCs w:val="24"/>
        </w:rPr>
        <w:t>es</w:t>
      </w:r>
      <w:r>
        <w:rPr>
          <w:rFonts w:ascii="Times New Roman" w:hAnsi="Times New Roman" w:cs="Times New Roman"/>
          <w:sz w:val="24"/>
          <w:szCs w:val="24"/>
        </w:rPr>
        <w:t xml:space="preserve"> the additions </w:t>
      </w:r>
      <w:r w:rsidR="00051A5D">
        <w:rPr>
          <w:rFonts w:ascii="Times New Roman" w:hAnsi="Times New Roman" w:cs="Times New Roman"/>
          <w:sz w:val="24"/>
          <w:szCs w:val="24"/>
        </w:rPr>
        <w:t xml:space="preserve">to section 31.002(10) that were </w:t>
      </w:r>
      <w:r>
        <w:rPr>
          <w:rFonts w:ascii="Times New Roman" w:hAnsi="Times New Roman" w:cs="Times New Roman"/>
          <w:sz w:val="24"/>
          <w:szCs w:val="24"/>
        </w:rPr>
        <w:t xml:space="preserve">made by SB 943 </w:t>
      </w:r>
      <w:r w:rsidR="00051A5D">
        <w:rPr>
          <w:rFonts w:ascii="Times New Roman" w:hAnsi="Times New Roman" w:cs="Times New Roman"/>
          <w:sz w:val="24"/>
          <w:szCs w:val="24"/>
        </w:rPr>
        <w:t xml:space="preserve">to align and </w:t>
      </w:r>
      <w:r w:rsidR="00051A5D" w:rsidRPr="00051A5D">
        <w:rPr>
          <w:rFonts w:ascii="Times New Roman" w:hAnsi="Times New Roman" w:cs="Times New Roman"/>
          <w:i/>
          <w:sz w:val="24"/>
          <w:szCs w:val="24"/>
        </w:rPr>
        <w:t>clarify</w:t>
      </w:r>
      <w:r w:rsidR="00051A5D">
        <w:rPr>
          <w:rFonts w:ascii="Times New Roman" w:hAnsi="Times New Roman" w:cs="Times New Roman"/>
          <w:sz w:val="24"/>
          <w:szCs w:val="24"/>
        </w:rPr>
        <w:t xml:space="preserve"> that energy storage devices were deemed by the legislature to be generation facilities that must be owned and operated by a PGC.</w:t>
      </w:r>
      <w:r>
        <w:rPr>
          <w:rFonts w:ascii="Times New Roman" w:hAnsi="Times New Roman" w:cs="Times New Roman"/>
          <w:sz w:val="24"/>
          <w:szCs w:val="24"/>
        </w:rPr>
        <w:t xml:space="preserve"> Oncor argues that “intent, not any actual sale, is the determinative factor”</w:t>
      </w:r>
      <w:r w:rsidR="00171CC4">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171CC4">
        <w:rPr>
          <w:rFonts w:ascii="Times New Roman" w:hAnsi="Times New Roman" w:cs="Times New Roman"/>
          <w:sz w:val="24"/>
          <w:szCs w:val="24"/>
        </w:rPr>
        <w:t xml:space="preserve">of </w:t>
      </w:r>
      <w:r w:rsidR="00051A5D">
        <w:rPr>
          <w:rFonts w:ascii="Times New Roman" w:hAnsi="Times New Roman" w:cs="Times New Roman"/>
          <w:sz w:val="24"/>
          <w:szCs w:val="24"/>
        </w:rPr>
        <w:lastRenderedPageBreak/>
        <w:t>whether</w:t>
      </w:r>
      <w:r w:rsidR="00171CC4">
        <w:rPr>
          <w:rFonts w:ascii="Times New Roman" w:hAnsi="Times New Roman" w:cs="Times New Roman"/>
          <w:sz w:val="24"/>
          <w:szCs w:val="24"/>
        </w:rPr>
        <w:t xml:space="preserve"> an energy storage facility is classified as a generation asset. </w:t>
      </w:r>
      <w:r w:rsidR="00FE0BCC">
        <w:rPr>
          <w:rFonts w:ascii="Times New Roman" w:hAnsi="Times New Roman" w:cs="Times New Roman"/>
          <w:sz w:val="24"/>
          <w:szCs w:val="24"/>
        </w:rPr>
        <w:t xml:space="preserve">Similarly, </w:t>
      </w:r>
      <w:r w:rsidR="00842557">
        <w:rPr>
          <w:rFonts w:ascii="Times New Roman" w:hAnsi="Times New Roman" w:cs="Times New Roman"/>
          <w:sz w:val="24"/>
          <w:szCs w:val="24"/>
        </w:rPr>
        <w:t>Center</w:t>
      </w:r>
      <w:r w:rsidR="00FE0BCC">
        <w:rPr>
          <w:rFonts w:ascii="Times New Roman" w:hAnsi="Times New Roman" w:cs="Times New Roman"/>
          <w:sz w:val="24"/>
          <w:szCs w:val="24"/>
        </w:rPr>
        <w:t>P</w:t>
      </w:r>
      <w:r w:rsidR="00842557">
        <w:rPr>
          <w:rFonts w:ascii="Times New Roman" w:hAnsi="Times New Roman" w:cs="Times New Roman"/>
          <w:sz w:val="24"/>
          <w:szCs w:val="24"/>
        </w:rPr>
        <w:t>oint argues in its comments that “</w:t>
      </w:r>
      <w:r w:rsidR="00051A5D">
        <w:rPr>
          <w:rFonts w:ascii="Times New Roman" w:hAnsi="Times New Roman" w:cs="Times New Roman"/>
          <w:sz w:val="24"/>
          <w:szCs w:val="24"/>
        </w:rPr>
        <w:t>[t]</w:t>
      </w:r>
      <w:r w:rsidR="00842557" w:rsidRPr="00842557">
        <w:rPr>
          <w:rFonts w:ascii="Times New Roman" w:hAnsi="Times New Roman" w:cs="Times New Roman"/>
          <w:sz w:val="24"/>
          <w:szCs w:val="24"/>
        </w:rPr>
        <w:t>he Commission could not have adopted 16 TAC § 25.343(</w:t>
      </w:r>
      <w:r w:rsidR="00051A5D">
        <w:rPr>
          <w:rFonts w:ascii="Times New Roman" w:hAnsi="Times New Roman" w:cs="Times New Roman"/>
          <w:sz w:val="24"/>
          <w:szCs w:val="24"/>
        </w:rPr>
        <w:t>f)</w:t>
      </w:r>
      <w:r w:rsidR="00842557" w:rsidRPr="00842557">
        <w:rPr>
          <w:rFonts w:ascii="Times New Roman" w:hAnsi="Times New Roman" w:cs="Times New Roman"/>
          <w:sz w:val="24"/>
          <w:szCs w:val="24"/>
        </w:rPr>
        <w:t>(3), expressly allowing utility-owned batteries located on the customer's side of the point of delivery to support the operation of the grid, if it had construed PURA' s unbundling and restructuring mandates as prohibiting utility ownership of batteries for such a purpose.</w:t>
      </w:r>
      <w:r w:rsidR="00842557">
        <w:rPr>
          <w:rFonts w:ascii="Times New Roman" w:hAnsi="Times New Roman" w:cs="Times New Roman"/>
          <w:sz w:val="24"/>
          <w:szCs w:val="24"/>
        </w:rPr>
        <w:t>”</w:t>
      </w:r>
      <w:r w:rsidR="00842557">
        <w:rPr>
          <w:rStyle w:val="FootnoteReference"/>
          <w:rFonts w:ascii="Times New Roman" w:hAnsi="Times New Roman" w:cs="Times New Roman"/>
          <w:sz w:val="24"/>
          <w:szCs w:val="24"/>
        </w:rPr>
        <w:footnoteReference w:id="3"/>
      </w:r>
      <w:r w:rsidR="00842557">
        <w:rPr>
          <w:rFonts w:ascii="Times New Roman" w:hAnsi="Times New Roman" w:cs="Times New Roman"/>
          <w:sz w:val="24"/>
          <w:szCs w:val="24"/>
        </w:rPr>
        <w:t xml:space="preserve"> </w:t>
      </w:r>
      <w:r w:rsidR="004C341F">
        <w:rPr>
          <w:rFonts w:ascii="Times New Roman" w:hAnsi="Times New Roman" w:cs="Times New Roman"/>
          <w:sz w:val="24"/>
          <w:szCs w:val="24"/>
        </w:rPr>
        <w:t>However, Center</w:t>
      </w:r>
      <w:r w:rsidR="00FE0BCC">
        <w:rPr>
          <w:rFonts w:ascii="Times New Roman" w:hAnsi="Times New Roman" w:cs="Times New Roman"/>
          <w:sz w:val="24"/>
          <w:szCs w:val="24"/>
        </w:rPr>
        <w:t>P</w:t>
      </w:r>
      <w:r w:rsidR="004C341F">
        <w:rPr>
          <w:rFonts w:ascii="Times New Roman" w:hAnsi="Times New Roman" w:cs="Times New Roman"/>
          <w:sz w:val="24"/>
          <w:szCs w:val="24"/>
        </w:rPr>
        <w:t>oint fails to acknowledge that</w:t>
      </w:r>
      <w:r w:rsidR="00051A5D">
        <w:rPr>
          <w:rFonts w:ascii="Times New Roman" w:hAnsi="Times New Roman" w:cs="Times New Roman"/>
          <w:sz w:val="24"/>
          <w:szCs w:val="24"/>
        </w:rPr>
        <w:t>:</w:t>
      </w:r>
      <w:r w:rsidR="004C341F">
        <w:rPr>
          <w:rFonts w:ascii="Times New Roman" w:hAnsi="Times New Roman" w:cs="Times New Roman"/>
          <w:sz w:val="24"/>
          <w:szCs w:val="24"/>
        </w:rPr>
        <w:t xml:space="preserve"> </w:t>
      </w:r>
      <w:r w:rsidR="00C00D97">
        <w:rPr>
          <w:rFonts w:ascii="Times New Roman" w:hAnsi="Times New Roman" w:cs="Times New Roman"/>
          <w:sz w:val="24"/>
          <w:szCs w:val="24"/>
        </w:rPr>
        <w:t xml:space="preserve">(1) </w:t>
      </w:r>
      <w:r w:rsidR="004C341F">
        <w:rPr>
          <w:rFonts w:ascii="Times New Roman" w:hAnsi="Times New Roman" w:cs="Times New Roman"/>
          <w:sz w:val="24"/>
          <w:szCs w:val="24"/>
        </w:rPr>
        <w:t>this rule was adopted on August 21, 2003 in relation to a clarification on “competitive energy services” nearly eight years prior to the enactment of SB 943 in 2011</w:t>
      </w:r>
      <w:r w:rsidR="00C00D97">
        <w:rPr>
          <w:rFonts w:ascii="Times New Roman" w:hAnsi="Times New Roman" w:cs="Times New Roman"/>
          <w:sz w:val="24"/>
          <w:szCs w:val="24"/>
        </w:rPr>
        <w:t xml:space="preserve">; and (2) that the rule’s exception to ownership of batteries behind the customer’s meter is strictly limited to applications “necessary to support the operation of electric-utility-owned facilities” – that is, </w:t>
      </w:r>
      <w:r w:rsidR="0019298F">
        <w:rPr>
          <w:rFonts w:ascii="Times New Roman" w:hAnsi="Times New Roman" w:cs="Times New Roman"/>
          <w:sz w:val="24"/>
          <w:szCs w:val="24"/>
        </w:rPr>
        <w:t>supporting the operation of TDU facilities such as substation equipment by backing up the TDU’s own critical load, but by no means putting energy back out onto the grid for sale to end-use customers</w:t>
      </w:r>
      <w:r w:rsidR="004C341F">
        <w:rPr>
          <w:rFonts w:ascii="Times New Roman" w:hAnsi="Times New Roman" w:cs="Times New Roman"/>
          <w:sz w:val="24"/>
          <w:szCs w:val="24"/>
        </w:rPr>
        <w:t xml:space="preserve">. To argue that adoption of a </w:t>
      </w:r>
      <w:r w:rsidR="0019298F">
        <w:rPr>
          <w:rFonts w:ascii="Times New Roman" w:hAnsi="Times New Roman" w:cs="Times New Roman"/>
          <w:sz w:val="24"/>
          <w:szCs w:val="24"/>
        </w:rPr>
        <w:t xml:space="preserve">strictly limited exception in the Commission’s </w:t>
      </w:r>
      <w:r w:rsidR="004C341F">
        <w:rPr>
          <w:rFonts w:ascii="Times New Roman" w:hAnsi="Times New Roman" w:cs="Times New Roman"/>
          <w:sz w:val="24"/>
          <w:szCs w:val="24"/>
        </w:rPr>
        <w:t>substantive rule</w:t>
      </w:r>
      <w:r w:rsidR="00FE0BCC">
        <w:rPr>
          <w:rFonts w:ascii="Times New Roman" w:hAnsi="Times New Roman" w:cs="Times New Roman"/>
          <w:sz w:val="24"/>
          <w:szCs w:val="24"/>
        </w:rPr>
        <w:t>, prior to enactment of the law specific to energy storage,</w:t>
      </w:r>
      <w:r w:rsidR="004C341F">
        <w:rPr>
          <w:rFonts w:ascii="Times New Roman" w:hAnsi="Times New Roman" w:cs="Times New Roman"/>
          <w:sz w:val="24"/>
          <w:szCs w:val="24"/>
        </w:rPr>
        <w:t xml:space="preserve"> sanctions </w:t>
      </w:r>
      <w:r w:rsidR="00FE0BCC">
        <w:rPr>
          <w:rFonts w:ascii="Times New Roman" w:hAnsi="Times New Roman" w:cs="Times New Roman"/>
          <w:sz w:val="24"/>
          <w:szCs w:val="24"/>
        </w:rPr>
        <w:t xml:space="preserve">the </w:t>
      </w:r>
      <w:r w:rsidR="004C341F">
        <w:rPr>
          <w:rFonts w:ascii="Times New Roman" w:hAnsi="Times New Roman" w:cs="Times New Roman"/>
          <w:sz w:val="24"/>
          <w:szCs w:val="24"/>
        </w:rPr>
        <w:t xml:space="preserve">ownership of energy storage currently contemplated in this project is </w:t>
      </w:r>
      <w:r w:rsidR="00693B66">
        <w:rPr>
          <w:rFonts w:ascii="Times New Roman" w:hAnsi="Times New Roman" w:cs="Times New Roman"/>
          <w:sz w:val="24"/>
          <w:szCs w:val="24"/>
        </w:rPr>
        <w:t>disingenuous</w:t>
      </w:r>
      <w:r w:rsidR="004C341F">
        <w:rPr>
          <w:rFonts w:ascii="Times New Roman" w:hAnsi="Times New Roman" w:cs="Times New Roman"/>
          <w:sz w:val="24"/>
          <w:szCs w:val="24"/>
        </w:rPr>
        <w:t xml:space="preserve">. </w:t>
      </w:r>
      <w:r w:rsidR="006B13F2">
        <w:rPr>
          <w:rFonts w:ascii="Times New Roman" w:hAnsi="Times New Roman" w:cs="Times New Roman"/>
          <w:sz w:val="24"/>
          <w:szCs w:val="24"/>
        </w:rPr>
        <w:t xml:space="preserve">In fact, the PUC was very clear in its reporting </w:t>
      </w:r>
      <w:r w:rsidR="00693B66">
        <w:rPr>
          <w:rFonts w:ascii="Times New Roman" w:hAnsi="Times New Roman" w:cs="Times New Roman"/>
          <w:sz w:val="24"/>
          <w:szCs w:val="24"/>
        </w:rPr>
        <w:t xml:space="preserve">to the Legislature </w:t>
      </w:r>
      <w:r w:rsidR="006B13F2">
        <w:rPr>
          <w:rFonts w:ascii="Times New Roman" w:hAnsi="Times New Roman" w:cs="Times New Roman"/>
          <w:sz w:val="24"/>
          <w:szCs w:val="24"/>
        </w:rPr>
        <w:t>on</w:t>
      </w:r>
      <w:r w:rsidR="00693B66">
        <w:rPr>
          <w:rFonts w:ascii="Times New Roman" w:hAnsi="Times New Roman" w:cs="Times New Roman"/>
          <w:sz w:val="24"/>
          <w:szCs w:val="24"/>
        </w:rPr>
        <w:t xml:space="preserve"> the</w:t>
      </w:r>
      <w:r w:rsidR="006B13F2">
        <w:rPr>
          <w:rFonts w:ascii="Times New Roman" w:hAnsi="Times New Roman" w:cs="Times New Roman"/>
          <w:sz w:val="24"/>
          <w:szCs w:val="24"/>
        </w:rPr>
        <w:t xml:space="preserve"> implementation </w:t>
      </w:r>
      <w:r w:rsidR="00A129B3">
        <w:rPr>
          <w:rFonts w:ascii="Times New Roman" w:hAnsi="Times New Roman" w:cs="Times New Roman"/>
          <w:sz w:val="24"/>
          <w:szCs w:val="24"/>
        </w:rPr>
        <w:t>of SB 943</w:t>
      </w:r>
      <w:r w:rsidR="00693B66">
        <w:rPr>
          <w:rFonts w:ascii="Times New Roman" w:hAnsi="Times New Roman" w:cs="Times New Roman"/>
          <w:sz w:val="24"/>
          <w:szCs w:val="24"/>
        </w:rPr>
        <w:t xml:space="preserve"> that</w:t>
      </w:r>
      <w:r w:rsidR="00A129B3">
        <w:rPr>
          <w:rFonts w:ascii="Times New Roman" w:hAnsi="Times New Roman" w:cs="Times New Roman"/>
          <w:sz w:val="24"/>
          <w:szCs w:val="24"/>
        </w:rPr>
        <w:t xml:space="preserve"> “</w:t>
      </w:r>
      <w:r w:rsidR="00693B66">
        <w:rPr>
          <w:rFonts w:ascii="Times New Roman" w:hAnsi="Times New Roman" w:cs="Times New Roman"/>
          <w:sz w:val="24"/>
          <w:szCs w:val="24"/>
        </w:rPr>
        <w:t>[t]</w:t>
      </w:r>
      <w:r w:rsidR="00A129B3">
        <w:rPr>
          <w:rFonts w:ascii="Times New Roman" w:hAnsi="Times New Roman" w:cs="Times New Roman"/>
          <w:sz w:val="24"/>
          <w:szCs w:val="24"/>
        </w:rPr>
        <w:t>he Commission determined that energy used to charge a storage facility is a wholesale transaction.”</w:t>
      </w:r>
      <w:r w:rsidR="00A129B3">
        <w:rPr>
          <w:rStyle w:val="FootnoteReference"/>
          <w:rFonts w:ascii="Times New Roman" w:hAnsi="Times New Roman" w:cs="Times New Roman"/>
          <w:sz w:val="24"/>
          <w:szCs w:val="24"/>
        </w:rPr>
        <w:footnoteReference w:id="4"/>
      </w:r>
      <w:r w:rsidR="00A129B3">
        <w:rPr>
          <w:rFonts w:ascii="Times New Roman" w:hAnsi="Times New Roman" w:cs="Times New Roman"/>
          <w:sz w:val="24"/>
          <w:szCs w:val="24"/>
        </w:rPr>
        <w:t xml:space="preserve"> A more in-depth review of </w:t>
      </w:r>
      <w:r w:rsidR="00FE0BCC">
        <w:rPr>
          <w:rFonts w:ascii="Times New Roman" w:hAnsi="Times New Roman" w:cs="Times New Roman"/>
          <w:sz w:val="24"/>
          <w:szCs w:val="24"/>
        </w:rPr>
        <w:t>the order amending that rule</w:t>
      </w:r>
      <w:r w:rsidR="00A129B3">
        <w:rPr>
          <w:rFonts w:ascii="Times New Roman" w:hAnsi="Times New Roman" w:cs="Times New Roman"/>
          <w:sz w:val="24"/>
          <w:szCs w:val="24"/>
        </w:rPr>
        <w:t xml:space="preserve"> shows a stronger stance regarding energy storage as part of the wholesale market, and therefore, a component of the competitive market: </w:t>
      </w:r>
    </w:p>
    <w:p w14:paraId="4C700C19" w14:textId="65927D81" w:rsidR="00A129B3" w:rsidRPr="00A129B3" w:rsidRDefault="00A129B3" w:rsidP="00A129B3">
      <w:pPr>
        <w:ind w:left="720"/>
        <w:jc w:val="both"/>
        <w:rPr>
          <w:rFonts w:ascii="Times New Roman" w:hAnsi="Times New Roman" w:cs="Times New Roman"/>
          <w:i/>
          <w:sz w:val="24"/>
          <w:szCs w:val="24"/>
        </w:rPr>
      </w:pPr>
      <w:r w:rsidRPr="00A129B3">
        <w:rPr>
          <w:rFonts w:ascii="Times New Roman" w:hAnsi="Times New Roman" w:cs="Times New Roman"/>
          <w:i/>
          <w:sz w:val="24"/>
          <w:szCs w:val="24"/>
        </w:rPr>
        <w:t>This purchase of electricity is a wholesale transaction because the stored energy will subsequently be injected into the ERCOT system for a wholesale sale.  Energy losses resulting from the energy conversion process and during storage are in the chain between the wholesale purchase and wholesale sale by the storage facility and therefore remain wholesale, like energy losses that occur in delivering energy from a generation facility through the ERCOT system to an end-use customer.</w:t>
      </w:r>
      <w:r>
        <w:rPr>
          <w:rStyle w:val="FootnoteReference"/>
          <w:rFonts w:ascii="Times New Roman" w:hAnsi="Times New Roman" w:cs="Times New Roman"/>
          <w:i/>
          <w:sz w:val="24"/>
          <w:szCs w:val="24"/>
        </w:rPr>
        <w:footnoteReference w:id="5"/>
      </w:r>
    </w:p>
    <w:p w14:paraId="42A996C5" w14:textId="5B79D444" w:rsidR="00171CC4" w:rsidRDefault="00632630" w:rsidP="004C341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TDUs’ argument regarding intent of sale would subvert the purpose of separating utility functions, as the Legislature did with the enactment of SB 7. The argument </w:t>
      </w:r>
      <w:r w:rsidR="00171CC4">
        <w:rPr>
          <w:rFonts w:ascii="Times New Roman" w:hAnsi="Times New Roman" w:cs="Times New Roman"/>
          <w:sz w:val="24"/>
          <w:szCs w:val="24"/>
        </w:rPr>
        <w:t xml:space="preserve">completely </w:t>
      </w:r>
      <w:r w:rsidR="00171CC4">
        <w:rPr>
          <w:rFonts w:ascii="Times New Roman" w:hAnsi="Times New Roman" w:cs="Times New Roman"/>
          <w:sz w:val="24"/>
          <w:szCs w:val="24"/>
        </w:rPr>
        <w:lastRenderedPageBreak/>
        <w:t>ignores the two additional subsections included in the definition of “power generation company” that the Legislature chose to retain in SB 943 which specifies that</w:t>
      </w:r>
      <w:r w:rsidR="00E87E88">
        <w:rPr>
          <w:rFonts w:ascii="Times New Roman" w:hAnsi="Times New Roman" w:cs="Times New Roman"/>
          <w:sz w:val="24"/>
          <w:szCs w:val="24"/>
        </w:rPr>
        <w:t xml:space="preserve"> a power generation company</w:t>
      </w:r>
      <w:r w:rsidR="00171CC4">
        <w:rPr>
          <w:rFonts w:ascii="Times New Roman" w:hAnsi="Times New Roman" w:cs="Times New Roman"/>
          <w:sz w:val="24"/>
          <w:szCs w:val="24"/>
        </w:rPr>
        <w:t>:</w:t>
      </w:r>
    </w:p>
    <w:p w14:paraId="23167543" w14:textId="40C939E4" w:rsidR="00171CC4" w:rsidRPr="00171CC4" w:rsidRDefault="00171CC4" w:rsidP="00171CC4">
      <w:pPr>
        <w:ind w:left="720"/>
        <w:jc w:val="both"/>
        <w:rPr>
          <w:rFonts w:ascii="Times New Roman" w:hAnsi="Times New Roman" w:cs="Times New Roman"/>
          <w:i/>
          <w:sz w:val="24"/>
          <w:szCs w:val="24"/>
        </w:rPr>
      </w:pPr>
      <w:r w:rsidRPr="00171CC4">
        <w:rPr>
          <w:rFonts w:ascii="Times New Roman" w:hAnsi="Times New Roman" w:cs="Times New Roman"/>
          <w:i/>
          <w:sz w:val="24"/>
          <w:szCs w:val="24"/>
        </w:rPr>
        <w:t>(B) does not own a transmission or distribution facility in this state other than an essential interconnecting facility, a facility not dedicated to public use, or a facility otherwise excluded from the definition of "electric utility" under this section; and</w:t>
      </w:r>
    </w:p>
    <w:p w14:paraId="4F22143E" w14:textId="20024C65" w:rsidR="00171CC4" w:rsidRPr="00171CC4" w:rsidRDefault="00171CC4" w:rsidP="00171CC4">
      <w:pPr>
        <w:ind w:left="720"/>
        <w:jc w:val="both"/>
        <w:rPr>
          <w:rFonts w:ascii="Times New Roman" w:hAnsi="Times New Roman" w:cs="Times New Roman"/>
          <w:i/>
          <w:sz w:val="24"/>
          <w:szCs w:val="24"/>
        </w:rPr>
      </w:pPr>
      <w:r w:rsidRPr="00171CC4">
        <w:rPr>
          <w:rFonts w:ascii="Times New Roman" w:hAnsi="Times New Roman" w:cs="Times New Roman"/>
          <w:i/>
          <w:sz w:val="24"/>
          <w:szCs w:val="24"/>
        </w:rPr>
        <w:t>(C) does not have a certificated service area, although its affiliated electric utility or transmission and distribution utility may have a certificated service area.</w:t>
      </w:r>
      <w:r>
        <w:rPr>
          <w:rStyle w:val="FootnoteReference"/>
          <w:rFonts w:ascii="Times New Roman" w:hAnsi="Times New Roman" w:cs="Times New Roman"/>
          <w:i/>
          <w:sz w:val="24"/>
          <w:szCs w:val="24"/>
        </w:rPr>
        <w:footnoteReference w:id="6"/>
      </w:r>
    </w:p>
    <w:p w14:paraId="5177FFFF" w14:textId="0E54355C" w:rsidR="004F0E5C" w:rsidRDefault="004C341F" w:rsidP="00171C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Clearly, the Legislature, in defining energy storage as a generation asset, chose to retain the prohibition for TDUs. The definition cannot be viewed piecemeal, putting emphasis on one word – intend – while ignoring the </w:t>
      </w:r>
      <w:r w:rsidR="00632630">
        <w:rPr>
          <w:rFonts w:ascii="Times New Roman" w:hAnsi="Times New Roman" w:cs="Times New Roman"/>
          <w:sz w:val="24"/>
          <w:szCs w:val="24"/>
        </w:rPr>
        <w:t>remaining statutory structure</w:t>
      </w:r>
      <w:r>
        <w:rPr>
          <w:rFonts w:ascii="Times New Roman" w:hAnsi="Times New Roman" w:cs="Times New Roman"/>
          <w:sz w:val="24"/>
          <w:szCs w:val="24"/>
        </w:rPr>
        <w:t>. In fact, the argument Oncor</w:t>
      </w:r>
      <w:r w:rsidR="00E87E88">
        <w:rPr>
          <w:rFonts w:ascii="Times New Roman" w:hAnsi="Times New Roman" w:cs="Times New Roman"/>
          <w:sz w:val="24"/>
          <w:szCs w:val="24"/>
        </w:rPr>
        <w:t xml:space="preserve"> and CenterPoint</w:t>
      </w:r>
      <w:r>
        <w:rPr>
          <w:rFonts w:ascii="Times New Roman" w:hAnsi="Times New Roman" w:cs="Times New Roman"/>
          <w:sz w:val="24"/>
          <w:szCs w:val="24"/>
        </w:rPr>
        <w:t xml:space="preserve"> use that TDUs may own energy storage as long as they do not </w:t>
      </w:r>
      <w:r>
        <w:rPr>
          <w:rFonts w:ascii="Times New Roman" w:hAnsi="Times New Roman" w:cs="Times New Roman"/>
          <w:i/>
          <w:sz w:val="24"/>
          <w:szCs w:val="24"/>
        </w:rPr>
        <w:t>intend</w:t>
      </w:r>
      <w:r>
        <w:rPr>
          <w:rFonts w:ascii="Times New Roman" w:hAnsi="Times New Roman" w:cs="Times New Roman"/>
          <w:sz w:val="24"/>
          <w:szCs w:val="24"/>
        </w:rPr>
        <w:t xml:space="preserve"> to sell at wholesale </w:t>
      </w:r>
      <w:r w:rsidR="00632630">
        <w:rPr>
          <w:rFonts w:ascii="Times New Roman" w:hAnsi="Times New Roman" w:cs="Times New Roman"/>
          <w:sz w:val="24"/>
          <w:szCs w:val="24"/>
        </w:rPr>
        <w:t xml:space="preserve">could lead one to </w:t>
      </w:r>
      <w:r>
        <w:rPr>
          <w:rFonts w:ascii="Times New Roman" w:hAnsi="Times New Roman" w:cs="Times New Roman"/>
          <w:sz w:val="24"/>
          <w:szCs w:val="24"/>
        </w:rPr>
        <w:t xml:space="preserve">logically conclude that a TDU could </w:t>
      </w:r>
      <w:r w:rsidR="00632630">
        <w:rPr>
          <w:rFonts w:ascii="Times New Roman" w:hAnsi="Times New Roman" w:cs="Times New Roman"/>
          <w:sz w:val="24"/>
          <w:szCs w:val="24"/>
        </w:rPr>
        <w:t xml:space="preserve">also </w:t>
      </w:r>
      <w:r>
        <w:rPr>
          <w:rFonts w:ascii="Times New Roman" w:hAnsi="Times New Roman" w:cs="Times New Roman"/>
          <w:sz w:val="24"/>
          <w:szCs w:val="24"/>
        </w:rPr>
        <w:t xml:space="preserve">own </w:t>
      </w:r>
      <w:r w:rsidR="00632630">
        <w:rPr>
          <w:rFonts w:ascii="Times New Roman" w:hAnsi="Times New Roman" w:cs="Times New Roman"/>
          <w:sz w:val="24"/>
          <w:szCs w:val="24"/>
        </w:rPr>
        <w:t xml:space="preserve">and operate </w:t>
      </w:r>
      <w:r>
        <w:rPr>
          <w:rFonts w:ascii="Times New Roman" w:hAnsi="Times New Roman" w:cs="Times New Roman"/>
          <w:sz w:val="24"/>
          <w:szCs w:val="24"/>
        </w:rPr>
        <w:t xml:space="preserve">a </w:t>
      </w:r>
      <w:r w:rsidR="00632630">
        <w:rPr>
          <w:rFonts w:ascii="Times New Roman" w:hAnsi="Times New Roman" w:cs="Times New Roman"/>
          <w:sz w:val="24"/>
          <w:szCs w:val="24"/>
        </w:rPr>
        <w:t xml:space="preserve">traditional </w:t>
      </w:r>
      <w:r>
        <w:rPr>
          <w:rFonts w:ascii="Times New Roman" w:hAnsi="Times New Roman" w:cs="Times New Roman"/>
          <w:sz w:val="24"/>
          <w:szCs w:val="24"/>
        </w:rPr>
        <w:t>generation asset</w:t>
      </w:r>
      <w:r w:rsidR="00632630">
        <w:rPr>
          <w:rFonts w:ascii="Times New Roman" w:hAnsi="Times New Roman" w:cs="Times New Roman"/>
          <w:sz w:val="24"/>
          <w:szCs w:val="24"/>
        </w:rPr>
        <w:t>,</w:t>
      </w:r>
      <w:r w:rsidR="00E87E88">
        <w:rPr>
          <w:rFonts w:ascii="Times New Roman" w:hAnsi="Times New Roman" w:cs="Times New Roman"/>
          <w:sz w:val="24"/>
          <w:szCs w:val="24"/>
        </w:rPr>
        <w:t xml:space="preserve"> such as a gas plant</w:t>
      </w:r>
      <w:r>
        <w:rPr>
          <w:rFonts w:ascii="Times New Roman" w:hAnsi="Times New Roman" w:cs="Times New Roman"/>
          <w:sz w:val="24"/>
          <w:szCs w:val="24"/>
        </w:rPr>
        <w:t xml:space="preserve">, post-SB 7, as long as it did not intend to sell the energy at wholesale. The addition made by SB 943 was to </w:t>
      </w:r>
      <w:r>
        <w:rPr>
          <w:rFonts w:ascii="Times New Roman" w:hAnsi="Times New Roman" w:cs="Times New Roman"/>
          <w:i/>
          <w:sz w:val="24"/>
          <w:szCs w:val="24"/>
        </w:rPr>
        <w:t>include</w:t>
      </w:r>
      <w:r>
        <w:rPr>
          <w:rFonts w:ascii="Times New Roman" w:hAnsi="Times New Roman" w:cs="Times New Roman"/>
          <w:sz w:val="24"/>
          <w:szCs w:val="24"/>
        </w:rPr>
        <w:t xml:space="preserve"> “the owner or operator of energy storage equipment facilities” in the definition of a PGC while also retaining subsections (B) and (C) to that definition as discussed above. A plain reading of the full definition, including the </w:t>
      </w:r>
      <w:r>
        <w:rPr>
          <w:rFonts w:ascii="Times New Roman" w:hAnsi="Times New Roman" w:cs="Times New Roman"/>
          <w:i/>
          <w:sz w:val="24"/>
          <w:szCs w:val="24"/>
        </w:rPr>
        <w:t xml:space="preserve">exclusion </w:t>
      </w:r>
      <w:r w:rsidRPr="00FF5590">
        <w:rPr>
          <w:rFonts w:ascii="Times New Roman" w:hAnsi="Times New Roman" w:cs="Times New Roman"/>
          <w:sz w:val="24"/>
          <w:szCs w:val="24"/>
        </w:rPr>
        <w:t>of transmission and distribution utilities</w:t>
      </w:r>
      <w:r>
        <w:rPr>
          <w:rFonts w:ascii="Times New Roman" w:hAnsi="Times New Roman" w:cs="Times New Roman"/>
          <w:sz w:val="24"/>
          <w:szCs w:val="24"/>
        </w:rPr>
        <w:t xml:space="preserve"> from such ownership, clearly discredits Oncor’s </w:t>
      </w:r>
      <w:r w:rsidR="00E87E88">
        <w:rPr>
          <w:rFonts w:ascii="Times New Roman" w:hAnsi="Times New Roman" w:cs="Times New Roman"/>
          <w:sz w:val="24"/>
          <w:szCs w:val="24"/>
        </w:rPr>
        <w:t xml:space="preserve">and CenterPoint’s </w:t>
      </w:r>
      <w:r>
        <w:rPr>
          <w:rFonts w:ascii="Times New Roman" w:hAnsi="Times New Roman" w:cs="Times New Roman"/>
          <w:sz w:val="24"/>
          <w:szCs w:val="24"/>
        </w:rPr>
        <w:t>argument</w:t>
      </w:r>
      <w:r w:rsidR="00E87E88">
        <w:rPr>
          <w:rFonts w:ascii="Times New Roman" w:hAnsi="Times New Roman" w:cs="Times New Roman"/>
          <w:sz w:val="24"/>
          <w:szCs w:val="24"/>
        </w:rPr>
        <w:t>s</w:t>
      </w:r>
      <w:r>
        <w:rPr>
          <w:rFonts w:ascii="Times New Roman" w:hAnsi="Times New Roman" w:cs="Times New Roman"/>
          <w:sz w:val="24"/>
          <w:szCs w:val="24"/>
        </w:rPr>
        <w:t xml:space="preserve"> that intent of sale is </w:t>
      </w:r>
      <w:r w:rsidR="00E87E88">
        <w:rPr>
          <w:rFonts w:ascii="Times New Roman" w:hAnsi="Times New Roman" w:cs="Times New Roman"/>
          <w:sz w:val="24"/>
          <w:szCs w:val="24"/>
        </w:rPr>
        <w:t>a</w:t>
      </w:r>
      <w:r>
        <w:rPr>
          <w:rFonts w:ascii="Times New Roman" w:hAnsi="Times New Roman" w:cs="Times New Roman"/>
          <w:sz w:val="24"/>
          <w:szCs w:val="24"/>
        </w:rPr>
        <w:t xml:space="preserve"> key component in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the law allows them to own energy storage or not. </w:t>
      </w:r>
    </w:p>
    <w:p w14:paraId="4461DE1D" w14:textId="500E493E" w:rsidR="00296531" w:rsidRDefault="00B147DC" w:rsidP="00B147D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second flawed argument advanced by the TDUs is that energy storage for their own reliability purposes is allowed under PURA. </w:t>
      </w:r>
      <w:r w:rsidR="00B861A5">
        <w:rPr>
          <w:rFonts w:ascii="Times New Roman" w:hAnsi="Times New Roman" w:cs="Times New Roman"/>
          <w:sz w:val="24"/>
          <w:szCs w:val="24"/>
        </w:rPr>
        <w:t>Oncor states, “Rather, if a TDU is using such facilities on its own system for its own reliability purposes, and not on the customer’s system, in the retail market, then those facilities are being used as part of a TDU’s core utility function and are not competitive energy services.”</w:t>
      </w:r>
      <w:r w:rsidR="00B861A5">
        <w:rPr>
          <w:rStyle w:val="FootnoteReference"/>
          <w:rFonts w:ascii="Times New Roman" w:hAnsi="Times New Roman" w:cs="Times New Roman"/>
          <w:sz w:val="24"/>
          <w:szCs w:val="24"/>
        </w:rPr>
        <w:footnoteReference w:id="7"/>
      </w:r>
      <w:r w:rsidR="00B861A5">
        <w:rPr>
          <w:rFonts w:ascii="Times New Roman" w:hAnsi="Times New Roman" w:cs="Times New Roman"/>
          <w:sz w:val="24"/>
          <w:szCs w:val="24"/>
        </w:rPr>
        <w:t xml:space="preserve"> This suggests </w:t>
      </w:r>
      <w:r w:rsidR="00296531">
        <w:rPr>
          <w:rFonts w:ascii="Times New Roman" w:hAnsi="Times New Roman" w:cs="Times New Roman"/>
          <w:sz w:val="24"/>
          <w:szCs w:val="24"/>
        </w:rPr>
        <w:t xml:space="preserve">that </w:t>
      </w:r>
      <w:r w:rsidR="00B861A5">
        <w:rPr>
          <w:rFonts w:ascii="Times New Roman" w:hAnsi="Times New Roman" w:cs="Times New Roman"/>
          <w:sz w:val="24"/>
          <w:szCs w:val="24"/>
        </w:rPr>
        <w:t>a TDU</w:t>
      </w:r>
      <w:r w:rsidR="00296531">
        <w:rPr>
          <w:rFonts w:ascii="Times New Roman" w:hAnsi="Times New Roman" w:cs="Times New Roman"/>
          <w:sz w:val="24"/>
          <w:szCs w:val="24"/>
        </w:rPr>
        <w:t>’s “core utility function” extends beyond transmission and distribution service to include generation-based reliability service and</w:t>
      </w:r>
      <w:r w:rsidR="00632630">
        <w:rPr>
          <w:rFonts w:ascii="Times New Roman" w:hAnsi="Times New Roman" w:cs="Times New Roman"/>
          <w:sz w:val="24"/>
          <w:szCs w:val="24"/>
        </w:rPr>
        <w:t xml:space="preserve"> that a TDU</w:t>
      </w:r>
      <w:r w:rsidR="00B861A5">
        <w:rPr>
          <w:rFonts w:ascii="Times New Roman" w:hAnsi="Times New Roman" w:cs="Times New Roman"/>
          <w:sz w:val="24"/>
          <w:szCs w:val="24"/>
        </w:rPr>
        <w:t xml:space="preserve"> is entitled to determine which investments are for reliability and invoke an exemption to classify </w:t>
      </w:r>
      <w:r w:rsidR="00B861A5">
        <w:rPr>
          <w:rFonts w:ascii="Times New Roman" w:hAnsi="Times New Roman" w:cs="Times New Roman"/>
          <w:sz w:val="24"/>
          <w:szCs w:val="24"/>
        </w:rPr>
        <w:lastRenderedPageBreak/>
        <w:t xml:space="preserve">such an asset as part of transmission or distribution rather than </w:t>
      </w:r>
      <w:r w:rsidR="00E87E88">
        <w:rPr>
          <w:rFonts w:ascii="Times New Roman" w:hAnsi="Times New Roman" w:cs="Times New Roman"/>
          <w:sz w:val="24"/>
          <w:szCs w:val="24"/>
        </w:rPr>
        <w:t xml:space="preserve">under </w:t>
      </w:r>
      <w:r w:rsidR="003376C2">
        <w:rPr>
          <w:rFonts w:ascii="Times New Roman" w:hAnsi="Times New Roman" w:cs="Times New Roman"/>
          <w:sz w:val="24"/>
          <w:szCs w:val="24"/>
        </w:rPr>
        <w:t xml:space="preserve">its </w:t>
      </w:r>
      <w:r w:rsidR="00E87E88">
        <w:rPr>
          <w:rFonts w:ascii="Times New Roman" w:hAnsi="Times New Roman" w:cs="Times New Roman"/>
          <w:sz w:val="24"/>
          <w:szCs w:val="24"/>
        </w:rPr>
        <w:t>presumptive</w:t>
      </w:r>
      <w:r w:rsidR="003376C2">
        <w:rPr>
          <w:rFonts w:ascii="Times New Roman" w:hAnsi="Times New Roman" w:cs="Times New Roman"/>
          <w:sz w:val="24"/>
          <w:szCs w:val="24"/>
        </w:rPr>
        <w:t xml:space="preserve"> classification as </w:t>
      </w:r>
      <w:r w:rsidR="00E87E88">
        <w:rPr>
          <w:rFonts w:ascii="Times New Roman" w:hAnsi="Times New Roman" w:cs="Times New Roman"/>
          <w:sz w:val="24"/>
          <w:szCs w:val="24"/>
        </w:rPr>
        <w:t xml:space="preserve">a </w:t>
      </w:r>
      <w:r w:rsidR="003376C2">
        <w:rPr>
          <w:rFonts w:ascii="Times New Roman" w:hAnsi="Times New Roman" w:cs="Times New Roman"/>
          <w:sz w:val="24"/>
          <w:szCs w:val="24"/>
        </w:rPr>
        <w:t xml:space="preserve">generation </w:t>
      </w:r>
      <w:r w:rsidR="00E87E88">
        <w:rPr>
          <w:rFonts w:ascii="Times New Roman" w:hAnsi="Times New Roman" w:cs="Times New Roman"/>
          <w:sz w:val="24"/>
          <w:szCs w:val="24"/>
        </w:rPr>
        <w:t xml:space="preserve">resource </w:t>
      </w:r>
      <w:r w:rsidR="003376C2">
        <w:rPr>
          <w:rFonts w:ascii="Times New Roman" w:hAnsi="Times New Roman" w:cs="Times New Roman"/>
          <w:sz w:val="24"/>
          <w:szCs w:val="24"/>
        </w:rPr>
        <w:t xml:space="preserve">or competitive energy service. </w:t>
      </w:r>
    </w:p>
    <w:p w14:paraId="3EA9E97F" w14:textId="13CDD098" w:rsidR="003376C2" w:rsidRDefault="003376C2" w:rsidP="00B147D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TCPA is concerned </w:t>
      </w:r>
      <w:r w:rsidR="00E87E88">
        <w:rPr>
          <w:rFonts w:ascii="Times New Roman" w:hAnsi="Times New Roman" w:cs="Times New Roman"/>
          <w:sz w:val="24"/>
          <w:szCs w:val="24"/>
        </w:rPr>
        <w:t xml:space="preserve">that </w:t>
      </w:r>
      <w:r w:rsidR="00744065">
        <w:rPr>
          <w:rFonts w:ascii="Times New Roman" w:hAnsi="Times New Roman" w:cs="Times New Roman"/>
          <w:sz w:val="24"/>
          <w:szCs w:val="24"/>
        </w:rPr>
        <w:t>such an interpretation would begin</w:t>
      </w:r>
      <w:r>
        <w:rPr>
          <w:rFonts w:ascii="Times New Roman" w:hAnsi="Times New Roman" w:cs="Times New Roman"/>
          <w:sz w:val="24"/>
          <w:szCs w:val="24"/>
        </w:rPr>
        <w:t xml:space="preserve"> a slippery slope through which any aspect of the competitive market structure could be reregulated “for reliability purposes.” </w:t>
      </w:r>
      <w:r w:rsidR="00B861A5">
        <w:rPr>
          <w:rFonts w:ascii="Times New Roman" w:hAnsi="Times New Roman" w:cs="Times New Roman"/>
          <w:sz w:val="24"/>
          <w:szCs w:val="24"/>
        </w:rPr>
        <w:t xml:space="preserve"> </w:t>
      </w:r>
      <w:r w:rsidR="00E87E88">
        <w:rPr>
          <w:rFonts w:ascii="Times New Roman" w:hAnsi="Times New Roman" w:cs="Times New Roman"/>
          <w:sz w:val="24"/>
          <w:szCs w:val="24"/>
        </w:rPr>
        <w:t xml:space="preserve">Importantly, </w:t>
      </w:r>
      <w:r>
        <w:rPr>
          <w:rFonts w:ascii="Times New Roman" w:hAnsi="Times New Roman" w:cs="Times New Roman"/>
          <w:sz w:val="24"/>
          <w:szCs w:val="24"/>
        </w:rPr>
        <w:t>PURA § 39.151 outlined the duties of the independent organization, ERCOT, and charged ERCOT to “ensure the reliability and adequacy of the regional electrical network.”</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E87E88">
        <w:rPr>
          <w:rFonts w:ascii="Times New Roman" w:hAnsi="Times New Roman" w:cs="Times New Roman"/>
          <w:sz w:val="24"/>
          <w:szCs w:val="24"/>
        </w:rPr>
        <w:t>For example</w:t>
      </w:r>
      <w:r>
        <w:rPr>
          <w:rFonts w:ascii="Times New Roman" w:hAnsi="Times New Roman" w:cs="Times New Roman"/>
          <w:sz w:val="24"/>
          <w:szCs w:val="24"/>
        </w:rPr>
        <w:t xml:space="preserve">, ERCOT, not the proposing TDU, determines whether a proposed transmission line is needed for reliability or is an economic project. </w:t>
      </w:r>
      <w:r w:rsidR="00E87E88">
        <w:rPr>
          <w:rFonts w:ascii="Times New Roman" w:hAnsi="Times New Roman" w:cs="Times New Roman"/>
          <w:sz w:val="24"/>
          <w:szCs w:val="24"/>
        </w:rPr>
        <w:t xml:space="preserve">ERCOT has protocols and a defined process for such determinations and these decisions </w:t>
      </w:r>
      <w:r>
        <w:rPr>
          <w:rFonts w:ascii="Times New Roman" w:hAnsi="Times New Roman" w:cs="Times New Roman"/>
          <w:sz w:val="24"/>
          <w:szCs w:val="24"/>
        </w:rPr>
        <w:t xml:space="preserve">are subject to Commission oversight and approval. </w:t>
      </w:r>
      <w:r w:rsidR="00E87E88">
        <w:rPr>
          <w:rFonts w:ascii="Times New Roman" w:hAnsi="Times New Roman" w:cs="Times New Roman"/>
          <w:sz w:val="24"/>
          <w:szCs w:val="24"/>
        </w:rPr>
        <w:t xml:space="preserve">While a transmission line is clearly part of the TDU’s delivery of electricity and maintained under the regulatory construct, generation that is needed for reliability of the grid remains a competitive resource that is subject to ERCOT dispatch under ERCOT protocols and oversight from the Commission. </w:t>
      </w:r>
      <w:r>
        <w:rPr>
          <w:rFonts w:ascii="Times New Roman" w:hAnsi="Times New Roman" w:cs="Times New Roman"/>
          <w:sz w:val="24"/>
          <w:szCs w:val="24"/>
        </w:rPr>
        <w:t xml:space="preserve">The Legislature granted the Commission power to adopt and enforce rules regarding reliability and authorized Commission delegation to ERCOT: </w:t>
      </w:r>
    </w:p>
    <w:p w14:paraId="5AF56628" w14:textId="1514E134" w:rsidR="001D28DA" w:rsidRPr="001D28DA" w:rsidRDefault="003376C2" w:rsidP="001D28DA">
      <w:pPr>
        <w:ind w:left="720"/>
        <w:jc w:val="both"/>
        <w:rPr>
          <w:rFonts w:ascii="Times New Roman" w:hAnsi="Times New Roman" w:cs="Times New Roman"/>
          <w:i/>
          <w:sz w:val="24"/>
          <w:szCs w:val="24"/>
        </w:rPr>
      </w:pPr>
      <w:r w:rsidRPr="001D28DA">
        <w:rPr>
          <w:rFonts w:ascii="Times New Roman" w:hAnsi="Times New Roman" w:cs="Times New Roman"/>
          <w:i/>
          <w:sz w:val="24"/>
          <w:szCs w:val="24"/>
        </w:rPr>
        <w:t xml:space="preserve">The commission shall adopt and enforce rules relating to the reliability of the regional electrical network </w:t>
      </w:r>
      <w:r w:rsidR="001D28DA" w:rsidRPr="001D28DA">
        <w:rPr>
          <w:rFonts w:ascii="Times New Roman" w:hAnsi="Times New Roman" w:cs="Times New Roman"/>
          <w:i/>
          <w:sz w:val="24"/>
          <w:szCs w:val="24"/>
        </w:rPr>
        <w:t>and accounting for the production and delivery of electricity among generators and all other market participants, or may delegate to an</w:t>
      </w:r>
      <w:r w:rsidR="00BE0768">
        <w:rPr>
          <w:rFonts w:ascii="Times New Roman" w:hAnsi="Times New Roman" w:cs="Times New Roman"/>
          <w:i/>
          <w:sz w:val="24"/>
          <w:szCs w:val="24"/>
        </w:rPr>
        <w:t xml:space="preserve"> </w:t>
      </w:r>
      <w:proofErr w:type="gramStart"/>
      <w:r w:rsidR="001D28DA" w:rsidRPr="001D28DA">
        <w:rPr>
          <w:rFonts w:ascii="Times New Roman" w:hAnsi="Times New Roman" w:cs="Times New Roman"/>
          <w:i/>
          <w:sz w:val="24"/>
          <w:szCs w:val="24"/>
        </w:rPr>
        <w:t>independent organization responsibilities</w:t>
      </w:r>
      <w:proofErr w:type="gramEnd"/>
      <w:r w:rsidR="001D28DA" w:rsidRPr="001D28DA">
        <w:rPr>
          <w:rFonts w:ascii="Times New Roman" w:hAnsi="Times New Roman" w:cs="Times New Roman"/>
          <w:i/>
          <w:sz w:val="24"/>
          <w:szCs w:val="24"/>
        </w:rPr>
        <w:t xml:space="preserve"> for establishing or enforcing such rules</w:t>
      </w:r>
      <w:r w:rsidR="001D28DA">
        <w:rPr>
          <w:rFonts w:ascii="Times New Roman" w:hAnsi="Times New Roman" w:cs="Times New Roman"/>
          <w:i/>
          <w:sz w:val="24"/>
          <w:szCs w:val="24"/>
        </w:rPr>
        <w:t>..</w:t>
      </w:r>
      <w:r w:rsidR="001D28DA" w:rsidRPr="001D28DA">
        <w:rPr>
          <w:rFonts w:ascii="Times New Roman" w:hAnsi="Times New Roman" w:cs="Times New Roman"/>
          <w:i/>
          <w:sz w:val="24"/>
          <w:szCs w:val="24"/>
        </w:rPr>
        <w:t>.</w:t>
      </w:r>
      <w:r w:rsidR="001D28DA">
        <w:rPr>
          <w:rStyle w:val="FootnoteReference"/>
          <w:rFonts w:ascii="Times New Roman" w:hAnsi="Times New Roman" w:cs="Times New Roman"/>
          <w:i/>
          <w:sz w:val="24"/>
          <w:szCs w:val="24"/>
        </w:rPr>
        <w:footnoteReference w:id="9"/>
      </w:r>
      <w:r w:rsidR="001D28DA" w:rsidRPr="001D28DA">
        <w:rPr>
          <w:rFonts w:ascii="Times New Roman" w:hAnsi="Times New Roman" w:cs="Times New Roman"/>
          <w:i/>
          <w:sz w:val="24"/>
          <w:szCs w:val="24"/>
        </w:rPr>
        <w:t xml:space="preserve"> </w:t>
      </w:r>
    </w:p>
    <w:p w14:paraId="2322E93C" w14:textId="59C8176E" w:rsidR="00463EBD" w:rsidRDefault="00890E7E" w:rsidP="001D28DA">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1D28DA">
        <w:rPr>
          <w:rFonts w:ascii="Times New Roman" w:hAnsi="Times New Roman" w:cs="Times New Roman"/>
          <w:sz w:val="24"/>
          <w:szCs w:val="24"/>
        </w:rPr>
        <w:t xml:space="preserve">he TDUs suggest that they should be allowed to own energy storage facilities, in violation of PURA, for their </w:t>
      </w:r>
      <w:r>
        <w:rPr>
          <w:rFonts w:ascii="Times New Roman" w:hAnsi="Times New Roman" w:cs="Times New Roman"/>
          <w:sz w:val="24"/>
          <w:szCs w:val="24"/>
        </w:rPr>
        <w:t>“</w:t>
      </w:r>
      <w:r w:rsidR="001D28DA">
        <w:rPr>
          <w:rFonts w:ascii="Times New Roman" w:hAnsi="Times New Roman" w:cs="Times New Roman"/>
          <w:sz w:val="24"/>
          <w:szCs w:val="24"/>
        </w:rPr>
        <w:t>own reliability</w:t>
      </w:r>
      <w:r>
        <w:rPr>
          <w:rFonts w:ascii="Times New Roman" w:hAnsi="Times New Roman" w:cs="Times New Roman"/>
          <w:sz w:val="24"/>
          <w:szCs w:val="24"/>
        </w:rPr>
        <w:t>”</w:t>
      </w:r>
      <w:r w:rsidR="001D28DA">
        <w:rPr>
          <w:rFonts w:ascii="Times New Roman" w:hAnsi="Times New Roman" w:cs="Times New Roman"/>
          <w:sz w:val="24"/>
          <w:szCs w:val="24"/>
        </w:rPr>
        <w:t xml:space="preserve"> purposes. Such a concept would</w:t>
      </w:r>
      <w:proofErr w:type="gramStart"/>
      <w:r w:rsidR="001D28DA">
        <w:rPr>
          <w:rFonts w:ascii="Times New Roman" w:hAnsi="Times New Roman" w:cs="Times New Roman"/>
          <w:sz w:val="24"/>
          <w:szCs w:val="24"/>
        </w:rPr>
        <w:t>, in essence, reregulate</w:t>
      </w:r>
      <w:proofErr w:type="gramEnd"/>
      <w:r w:rsidR="001D28DA">
        <w:rPr>
          <w:rFonts w:ascii="Times New Roman" w:hAnsi="Times New Roman" w:cs="Times New Roman"/>
          <w:sz w:val="24"/>
          <w:szCs w:val="24"/>
        </w:rPr>
        <w:t xml:space="preserve"> a type of generation – energy storage </w:t>
      </w:r>
      <w:r w:rsidR="00463EBD">
        <w:rPr>
          <w:rFonts w:ascii="Times New Roman" w:hAnsi="Times New Roman" w:cs="Times New Roman"/>
          <w:sz w:val="24"/>
          <w:szCs w:val="24"/>
        </w:rPr>
        <w:t>–</w:t>
      </w:r>
      <w:r w:rsidR="001D28DA">
        <w:rPr>
          <w:rFonts w:ascii="Times New Roman" w:hAnsi="Times New Roman" w:cs="Times New Roman"/>
          <w:sz w:val="24"/>
          <w:szCs w:val="24"/>
        </w:rPr>
        <w:t xml:space="preserve"> </w:t>
      </w:r>
      <w:r w:rsidR="00463EBD">
        <w:rPr>
          <w:rFonts w:ascii="Times New Roman" w:hAnsi="Times New Roman" w:cs="Times New Roman"/>
          <w:sz w:val="24"/>
          <w:szCs w:val="24"/>
        </w:rPr>
        <w:t xml:space="preserve">and stifle competition for this service by providing an advantage to TDUs that would recover their costs for this investment </w:t>
      </w:r>
      <w:r w:rsidR="001B302B">
        <w:rPr>
          <w:rFonts w:ascii="Times New Roman" w:hAnsi="Times New Roman" w:cs="Times New Roman"/>
          <w:sz w:val="24"/>
          <w:szCs w:val="24"/>
        </w:rPr>
        <w:t xml:space="preserve">in regulated rates from captive ratepayers </w:t>
      </w:r>
      <w:r w:rsidR="00463EBD">
        <w:rPr>
          <w:rFonts w:ascii="Times New Roman" w:hAnsi="Times New Roman" w:cs="Times New Roman"/>
          <w:sz w:val="24"/>
          <w:szCs w:val="24"/>
        </w:rPr>
        <w:t xml:space="preserve">and reap the benefits of a guaranteed rate of return. </w:t>
      </w:r>
      <w:r w:rsidR="001D28DA">
        <w:rPr>
          <w:rFonts w:ascii="Times New Roman" w:hAnsi="Times New Roman" w:cs="Times New Roman"/>
          <w:sz w:val="24"/>
          <w:szCs w:val="24"/>
        </w:rPr>
        <w:t>CenterPoint argues</w:t>
      </w:r>
      <w:r w:rsidR="00463EBD">
        <w:rPr>
          <w:rFonts w:ascii="Times New Roman" w:hAnsi="Times New Roman" w:cs="Times New Roman"/>
          <w:sz w:val="24"/>
          <w:szCs w:val="24"/>
        </w:rPr>
        <w:t xml:space="preserve"> for this reregulation as well as the right to determine whether</w:t>
      </w:r>
      <w:r w:rsidR="001B302B">
        <w:rPr>
          <w:rFonts w:ascii="Times New Roman" w:hAnsi="Times New Roman" w:cs="Times New Roman"/>
          <w:sz w:val="24"/>
          <w:szCs w:val="24"/>
        </w:rPr>
        <w:t xml:space="preserve"> and how</w:t>
      </w:r>
      <w:r w:rsidR="00463EBD">
        <w:rPr>
          <w:rFonts w:ascii="Times New Roman" w:hAnsi="Times New Roman" w:cs="Times New Roman"/>
          <w:sz w:val="24"/>
          <w:szCs w:val="24"/>
        </w:rPr>
        <w:t xml:space="preserve"> to employ energy storage: </w:t>
      </w:r>
    </w:p>
    <w:p w14:paraId="5FBA956F" w14:textId="77777777" w:rsidR="00463EBD" w:rsidRPr="00463EBD" w:rsidRDefault="001D28DA" w:rsidP="00463EBD">
      <w:pPr>
        <w:ind w:firstLine="720"/>
        <w:jc w:val="both"/>
        <w:rPr>
          <w:rFonts w:ascii="Times New Roman" w:hAnsi="Times New Roman" w:cs="Times New Roman"/>
          <w:i/>
          <w:sz w:val="24"/>
          <w:szCs w:val="24"/>
        </w:rPr>
      </w:pPr>
      <w:r w:rsidRPr="00463EBD">
        <w:rPr>
          <w:rFonts w:ascii="Times New Roman" w:hAnsi="Times New Roman" w:cs="Times New Roman"/>
          <w:i/>
          <w:sz w:val="24"/>
          <w:szCs w:val="24"/>
        </w:rPr>
        <w:t>…TDUs should be allowed to deploy non-traditional technologies to enhance grid safety and reliability…and to recover prudent investments in those technologies through established rate recovery mechanisms.</w:t>
      </w:r>
    </w:p>
    <w:p w14:paraId="0FE5D692" w14:textId="798EFDDC" w:rsidR="00463EBD" w:rsidRPr="00463EBD" w:rsidRDefault="00463EBD" w:rsidP="00463EBD">
      <w:pPr>
        <w:ind w:firstLine="720"/>
        <w:jc w:val="both"/>
        <w:rPr>
          <w:rFonts w:ascii="Times New Roman" w:hAnsi="Times New Roman" w:cs="Times New Roman"/>
          <w:i/>
          <w:sz w:val="24"/>
          <w:szCs w:val="24"/>
        </w:rPr>
      </w:pPr>
      <w:r w:rsidRPr="00463EBD">
        <w:rPr>
          <w:rFonts w:ascii="Times New Roman" w:hAnsi="Times New Roman" w:cs="Times New Roman"/>
          <w:i/>
          <w:sz w:val="24"/>
          <w:szCs w:val="24"/>
        </w:rPr>
        <w:t xml:space="preserve">The most important duty of a TDU is to safely and reliably deliver energy to the public. This is CenterPoint’s core obligation. It is an obligation owned by and conferred upon CenterPoint </w:t>
      </w:r>
      <w:r w:rsidRPr="00463EBD">
        <w:rPr>
          <w:rFonts w:ascii="Times New Roman" w:hAnsi="Times New Roman" w:cs="Times New Roman"/>
          <w:i/>
          <w:sz w:val="24"/>
          <w:szCs w:val="24"/>
        </w:rPr>
        <w:lastRenderedPageBreak/>
        <w:t>and other TDUs by law, and it is and should remain their responsibility to determine how best to meet this obligation, whether that involves the use of traditional technologies or non-traditional technologies.</w:t>
      </w:r>
      <w:r>
        <w:rPr>
          <w:rStyle w:val="FootnoteReference"/>
          <w:rFonts w:ascii="Times New Roman" w:hAnsi="Times New Roman" w:cs="Times New Roman"/>
          <w:i/>
          <w:sz w:val="24"/>
          <w:szCs w:val="24"/>
        </w:rPr>
        <w:footnoteReference w:id="10"/>
      </w:r>
    </w:p>
    <w:p w14:paraId="61342959" w14:textId="59F0882F" w:rsidR="00AB23F5" w:rsidRDefault="00463EBD" w:rsidP="00AB23F5">
      <w:pPr>
        <w:spacing w:line="360" w:lineRule="auto"/>
        <w:jc w:val="both"/>
        <w:rPr>
          <w:rFonts w:ascii="Times New Roman" w:hAnsi="Times New Roman" w:cs="Times New Roman"/>
          <w:sz w:val="24"/>
          <w:szCs w:val="24"/>
        </w:rPr>
      </w:pPr>
      <w:r>
        <w:rPr>
          <w:rFonts w:ascii="Times New Roman" w:hAnsi="Times New Roman" w:cs="Times New Roman"/>
          <w:sz w:val="24"/>
          <w:szCs w:val="24"/>
        </w:rPr>
        <w:t>While CenterPoint recognizes its scope of duty and obligations are conferred upon it by law, it fails to recognize th</w:t>
      </w:r>
      <w:r w:rsidR="001B302B">
        <w:rPr>
          <w:rFonts w:ascii="Times New Roman" w:hAnsi="Times New Roman" w:cs="Times New Roman"/>
          <w:sz w:val="24"/>
          <w:szCs w:val="24"/>
        </w:rPr>
        <w:t>at</w:t>
      </w:r>
      <w:r>
        <w:rPr>
          <w:rFonts w:ascii="Times New Roman" w:hAnsi="Times New Roman" w:cs="Times New Roman"/>
          <w:sz w:val="24"/>
          <w:szCs w:val="24"/>
        </w:rPr>
        <w:t xml:space="preserve"> part of that </w:t>
      </w:r>
      <w:r w:rsidR="001B302B">
        <w:rPr>
          <w:rFonts w:ascii="Times New Roman" w:hAnsi="Times New Roman" w:cs="Times New Roman"/>
          <w:sz w:val="24"/>
          <w:szCs w:val="24"/>
        </w:rPr>
        <w:t xml:space="preserve">same </w:t>
      </w:r>
      <w:r>
        <w:rPr>
          <w:rFonts w:ascii="Times New Roman" w:hAnsi="Times New Roman" w:cs="Times New Roman"/>
          <w:sz w:val="24"/>
          <w:szCs w:val="24"/>
        </w:rPr>
        <w:t xml:space="preserve">body of law </w:t>
      </w:r>
      <w:r w:rsidR="00890E7E">
        <w:rPr>
          <w:rFonts w:ascii="Times New Roman" w:hAnsi="Times New Roman" w:cs="Times New Roman"/>
          <w:sz w:val="24"/>
          <w:szCs w:val="24"/>
        </w:rPr>
        <w:t>limits its scope of duty to its natural monopoly</w:t>
      </w:r>
      <w:r w:rsidR="00521773">
        <w:rPr>
          <w:rStyle w:val="FootnoteReference"/>
          <w:rFonts w:ascii="Times New Roman" w:hAnsi="Times New Roman" w:cs="Times New Roman"/>
          <w:sz w:val="24"/>
          <w:szCs w:val="24"/>
        </w:rPr>
        <w:footnoteReference w:id="11"/>
      </w:r>
      <w:r w:rsidR="00890E7E">
        <w:rPr>
          <w:rFonts w:ascii="Times New Roman" w:hAnsi="Times New Roman" w:cs="Times New Roman"/>
          <w:sz w:val="24"/>
          <w:szCs w:val="24"/>
        </w:rPr>
        <w:t xml:space="preserve"> (namely, delivery of competitively-produced power) and </w:t>
      </w:r>
      <w:r>
        <w:rPr>
          <w:rFonts w:ascii="Times New Roman" w:hAnsi="Times New Roman" w:cs="Times New Roman"/>
          <w:sz w:val="24"/>
          <w:szCs w:val="24"/>
        </w:rPr>
        <w:t>confers upon the Commission an obligation that “regulatory authorities…shall authorize or order competitive rather than regulatory methods to achieve the goals of this chapter to the greatest extent feasible and shall adopt rules and issue orders that are both practical and limited so as to impose the least impact on competition.”</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desire, on the part of TDUs, to change the manner in which they </w:t>
      </w:r>
      <w:r w:rsidR="001850D1">
        <w:rPr>
          <w:rFonts w:ascii="Times New Roman" w:hAnsi="Times New Roman" w:cs="Times New Roman"/>
          <w:sz w:val="24"/>
          <w:szCs w:val="24"/>
        </w:rPr>
        <w:t>participate in the market to provide generation through energy storage does not alter the long-standing law that TDUs are prohibited from doing so. While CenterPoint claims that PURA does not partition TDU ownership rights between traditional and non-traditional technology device</w:t>
      </w:r>
      <w:r w:rsidR="001B302B">
        <w:rPr>
          <w:rFonts w:ascii="Times New Roman" w:hAnsi="Times New Roman" w:cs="Times New Roman"/>
          <w:sz w:val="24"/>
          <w:szCs w:val="24"/>
        </w:rPr>
        <w:t>s</w:t>
      </w:r>
      <w:r w:rsidR="001850D1">
        <w:rPr>
          <w:rStyle w:val="FootnoteReference"/>
          <w:rFonts w:ascii="Times New Roman" w:hAnsi="Times New Roman" w:cs="Times New Roman"/>
          <w:sz w:val="24"/>
          <w:szCs w:val="24"/>
        </w:rPr>
        <w:footnoteReference w:id="13"/>
      </w:r>
      <w:r w:rsidR="001850D1">
        <w:rPr>
          <w:rFonts w:ascii="Times New Roman" w:hAnsi="Times New Roman" w:cs="Times New Roman"/>
          <w:sz w:val="24"/>
          <w:szCs w:val="24"/>
        </w:rPr>
        <w:t>, PURA does partition TDU ownership of generation and - by its inclusion of energy storage as generation, with one specific grandfathering exception - energy storage as well.</w:t>
      </w:r>
      <w:r w:rsidR="001850D1">
        <w:rPr>
          <w:rStyle w:val="FootnoteReference"/>
          <w:rFonts w:ascii="Times New Roman" w:hAnsi="Times New Roman" w:cs="Times New Roman"/>
          <w:sz w:val="24"/>
          <w:szCs w:val="24"/>
        </w:rPr>
        <w:footnoteReference w:id="14"/>
      </w:r>
      <w:r w:rsidR="001850D1">
        <w:rPr>
          <w:rFonts w:ascii="Times New Roman" w:hAnsi="Times New Roman" w:cs="Times New Roman"/>
          <w:sz w:val="24"/>
          <w:szCs w:val="24"/>
        </w:rPr>
        <w:t xml:space="preserve"> </w:t>
      </w:r>
      <w:r w:rsidR="00C971C6">
        <w:rPr>
          <w:rFonts w:ascii="Times New Roman" w:hAnsi="Times New Roman" w:cs="Times New Roman"/>
          <w:sz w:val="24"/>
          <w:szCs w:val="24"/>
        </w:rPr>
        <w:t xml:space="preserve">As such, energy storage is part of the competitive market construct, and any rule change to include </w:t>
      </w:r>
      <w:r w:rsidR="001B302B">
        <w:rPr>
          <w:rFonts w:ascii="Times New Roman" w:hAnsi="Times New Roman" w:cs="Times New Roman"/>
          <w:sz w:val="24"/>
          <w:szCs w:val="24"/>
        </w:rPr>
        <w:t xml:space="preserve">it </w:t>
      </w:r>
      <w:r w:rsidR="00C971C6">
        <w:rPr>
          <w:rFonts w:ascii="Times New Roman" w:hAnsi="Times New Roman" w:cs="Times New Roman"/>
          <w:sz w:val="24"/>
          <w:szCs w:val="24"/>
        </w:rPr>
        <w:t xml:space="preserve">in </w:t>
      </w:r>
      <w:r w:rsidR="00890E7E">
        <w:rPr>
          <w:rFonts w:ascii="Times New Roman" w:hAnsi="Times New Roman" w:cs="Times New Roman"/>
          <w:sz w:val="24"/>
          <w:szCs w:val="24"/>
        </w:rPr>
        <w:t xml:space="preserve">the </w:t>
      </w:r>
      <w:r w:rsidR="00C971C6">
        <w:rPr>
          <w:rFonts w:ascii="Times New Roman" w:hAnsi="Times New Roman" w:cs="Times New Roman"/>
          <w:sz w:val="24"/>
          <w:szCs w:val="24"/>
        </w:rPr>
        <w:t xml:space="preserve">regulated </w:t>
      </w:r>
      <w:r w:rsidR="00890E7E">
        <w:rPr>
          <w:rFonts w:ascii="Times New Roman" w:hAnsi="Times New Roman" w:cs="Times New Roman"/>
          <w:sz w:val="24"/>
          <w:szCs w:val="24"/>
        </w:rPr>
        <w:t xml:space="preserve">unbundled </w:t>
      </w:r>
      <w:r w:rsidR="00C971C6">
        <w:rPr>
          <w:rFonts w:ascii="Times New Roman" w:hAnsi="Times New Roman" w:cs="Times New Roman"/>
          <w:sz w:val="24"/>
          <w:szCs w:val="24"/>
        </w:rPr>
        <w:t>utility paradigm is a violation of PURA.</w:t>
      </w:r>
    </w:p>
    <w:p w14:paraId="144950AC" w14:textId="384075B1" w:rsidR="00974886" w:rsidRDefault="002B7F45" w:rsidP="00625386">
      <w:pPr>
        <w:pStyle w:val="annettes"/>
        <w:jc w:val="center"/>
        <w:rPr>
          <w:rFonts w:cs="Times New Roman"/>
          <w:b/>
          <w:szCs w:val="24"/>
        </w:rPr>
      </w:pPr>
      <w:r w:rsidRPr="0048370E">
        <w:rPr>
          <w:rFonts w:cs="Times New Roman"/>
          <w:b/>
          <w:szCs w:val="24"/>
        </w:rPr>
        <w:t xml:space="preserve">II. </w:t>
      </w:r>
      <w:r w:rsidR="005350ED">
        <w:rPr>
          <w:rFonts w:cs="Times New Roman"/>
          <w:b/>
          <w:szCs w:val="24"/>
        </w:rPr>
        <w:t xml:space="preserve"> </w:t>
      </w:r>
      <w:r w:rsidR="00C971C6">
        <w:rPr>
          <w:rFonts w:cs="Times New Roman"/>
          <w:b/>
          <w:szCs w:val="24"/>
        </w:rPr>
        <w:t xml:space="preserve">Reply to </w:t>
      </w:r>
      <w:r w:rsidR="00C971C6" w:rsidRPr="00C971C6">
        <w:rPr>
          <w:rFonts w:cs="Times New Roman"/>
          <w:b/>
          <w:szCs w:val="24"/>
        </w:rPr>
        <w:t xml:space="preserve">Lower Colorado River Authority </w:t>
      </w:r>
      <w:r w:rsidR="00C971C6">
        <w:rPr>
          <w:rFonts w:cs="Times New Roman"/>
          <w:b/>
          <w:szCs w:val="24"/>
        </w:rPr>
        <w:t>(LCRA) Pilot Program</w:t>
      </w:r>
    </w:p>
    <w:p w14:paraId="5AEB4386" w14:textId="590D05BC" w:rsidR="00C971C6" w:rsidRPr="00C971C6" w:rsidRDefault="00C971C6" w:rsidP="00C971C6">
      <w:pPr>
        <w:pStyle w:val="annettes"/>
        <w:jc w:val="left"/>
        <w:rPr>
          <w:rFonts w:cs="Times New Roman"/>
          <w:szCs w:val="24"/>
        </w:rPr>
      </w:pPr>
      <w:r>
        <w:rPr>
          <w:rFonts w:cs="Times New Roman"/>
          <w:szCs w:val="24"/>
        </w:rPr>
        <w:tab/>
        <w:t>In its comments, the LCRA proposed a pilot program of TDU-owned energy storage projects in the competitive areas.</w:t>
      </w:r>
      <w:r w:rsidR="00607776">
        <w:rPr>
          <w:rStyle w:val="FootnoteReference"/>
          <w:rFonts w:cs="Times New Roman"/>
          <w:szCs w:val="24"/>
        </w:rPr>
        <w:footnoteReference w:id="15"/>
      </w:r>
      <w:r>
        <w:rPr>
          <w:rFonts w:cs="Times New Roman"/>
          <w:szCs w:val="24"/>
        </w:rPr>
        <w:t xml:space="preserve"> While the intent of evaluating opportunities and impacts within defined parameters is laudable, such a proposal is not currently sanctioned under PURA in that it </w:t>
      </w:r>
      <w:r w:rsidR="00607776">
        <w:rPr>
          <w:rFonts w:cs="Times New Roman"/>
          <w:szCs w:val="24"/>
        </w:rPr>
        <w:t>violates the provisions of restructuring, generation as a competitive resource, and energy storage as generation.</w:t>
      </w:r>
    </w:p>
    <w:p w14:paraId="693BBE64" w14:textId="151EF868" w:rsidR="00C971C6" w:rsidRDefault="00C971C6" w:rsidP="00625386">
      <w:pPr>
        <w:pStyle w:val="annettes"/>
        <w:jc w:val="center"/>
        <w:rPr>
          <w:rFonts w:cs="Times New Roman"/>
          <w:b/>
          <w:szCs w:val="24"/>
        </w:rPr>
      </w:pPr>
      <w:r w:rsidRPr="0048370E">
        <w:rPr>
          <w:rFonts w:cs="Times New Roman"/>
          <w:b/>
          <w:szCs w:val="24"/>
        </w:rPr>
        <w:lastRenderedPageBreak/>
        <w:t>II</w:t>
      </w:r>
      <w:r>
        <w:rPr>
          <w:rFonts w:cs="Times New Roman"/>
          <w:b/>
          <w:szCs w:val="24"/>
        </w:rPr>
        <w:t>I</w:t>
      </w:r>
      <w:r w:rsidRPr="0048370E">
        <w:rPr>
          <w:rFonts w:cs="Times New Roman"/>
          <w:b/>
          <w:szCs w:val="24"/>
        </w:rPr>
        <w:t xml:space="preserve">. </w:t>
      </w:r>
      <w:r>
        <w:rPr>
          <w:rFonts w:cs="Times New Roman"/>
          <w:b/>
          <w:szCs w:val="24"/>
        </w:rPr>
        <w:t xml:space="preserve"> </w:t>
      </w:r>
      <w:r w:rsidRPr="0048370E">
        <w:rPr>
          <w:rFonts w:cs="Times New Roman"/>
          <w:b/>
          <w:szCs w:val="24"/>
        </w:rPr>
        <w:t>Conclusion</w:t>
      </w:r>
    </w:p>
    <w:p w14:paraId="5BA89353" w14:textId="43863BDF" w:rsidR="00A92660" w:rsidRPr="00DA49BD" w:rsidRDefault="00DA49BD" w:rsidP="003A384B">
      <w:pPr>
        <w:pStyle w:val="annettes"/>
        <w:rPr>
          <w:rFonts w:cs="Times New Roman"/>
          <w:szCs w:val="24"/>
        </w:rPr>
      </w:pPr>
      <w:r>
        <w:rPr>
          <w:rFonts w:cs="Times New Roman"/>
          <w:szCs w:val="24"/>
        </w:rPr>
        <w:tab/>
      </w:r>
      <w:r w:rsidR="0053445C">
        <w:rPr>
          <w:rFonts w:cs="Times New Roman"/>
          <w:szCs w:val="24"/>
        </w:rPr>
        <w:t xml:space="preserve">The Legislature was clear throughout SB 7, </w:t>
      </w:r>
      <w:r w:rsidR="002F15C5">
        <w:rPr>
          <w:rFonts w:cs="Times New Roman"/>
          <w:szCs w:val="24"/>
        </w:rPr>
        <w:t>in its initial</w:t>
      </w:r>
      <w:r w:rsidR="0053445C">
        <w:rPr>
          <w:rFonts w:cs="Times New Roman"/>
          <w:szCs w:val="24"/>
        </w:rPr>
        <w:t xml:space="preserve"> </w:t>
      </w:r>
      <w:r w:rsidR="002F15C5">
        <w:rPr>
          <w:rFonts w:cs="Times New Roman"/>
          <w:szCs w:val="24"/>
        </w:rPr>
        <w:t>restructuring of</w:t>
      </w:r>
      <w:r w:rsidR="0053445C">
        <w:rPr>
          <w:rFonts w:cs="Times New Roman"/>
          <w:szCs w:val="24"/>
        </w:rPr>
        <w:t xml:space="preserve"> the electric market in ERCOT that </w:t>
      </w:r>
      <w:r w:rsidR="002F15C5">
        <w:rPr>
          <w:rFonts w:cs="Times New Roman"/>
          <w:szCs w:val="24"/>
        </w:rPr>
        <w:t xml:space="preserve">transmission and distribution </w:t>
      </w:r>
      <w:r w:rsidR="00092029">
        <w:rPr>
          <w:rFonts w:cs="Times New Roman"/>
          <w:szCs w:val="24"/>
        </w:rPr>
        <w:t>assets</w:t>
      </w:r>
      <w:r w:rsidR="002F15C5">
        <w:rPr>
          <w:rFonts w:cs="Times New Roman"/>
          <w:szCs w:val="24"/>
        </w:rPr>
        <w:t xml:space="preserve">, remaining within the regulated construct, were to be separated from </w:t>
      </w:r>
      <w:r w:rsidR="0053445C">
        <w:rPr>
          <w:rFonts w:cs="Times New Roman"/>
          <w:szCs w:val="24"/>
        </w:rPr>
        <w:t>generation resources</w:t>
      </w:r>
      <w:r w:rsidR="002F15C5">
        <w:rPr>
          <w:rFonts w:cs="Times New Roman"/>
          <w:szCs w:val="24"/>
        </w:rPr>
        <w:t>,</w:t>
      </w:r>
      <w:r w:rsidR="0053445C">
        <w:rPr>
          <w:rFonts w:cs="Times New Roman"/>
          <w:szCs w:val="24"/>
        </w:rPr>
        <w:t xml:space="preserve"> </w:t>
      </w:r>
      <w:r w:rsidR="002F15C5">
        <w:rPr>
          <w:rFonts w:cs="Times New Roman"/>
          <w:szCs w:val="24"/>
        </w:rPr>
        <w:t>which</w:t>
      </w:r>
      <w:r w:rsidR="0053445C">
        <w:rPr>
          <w:rFonts w:cs="Times New Roman"/>
          <w:szCs w:val="24"/>
        </w:rPr>
        <w:t xml:space="preserve"> </w:t>
      </w:r>
      <w:r w:rsidR="002F15C5">
        <w:rPr>
          <w:rFonts w:cs="Times New Roman"/>
          <w:szCs w:val="24"/>
        </w:rPr>
        <w:t xml:space="preserve">became a component of the </w:t>
      </w:r>
      <w:r w:rsidR="0053445C">
        <w:rPr>
          <w:rFonts w:cs="Times New Roman"/>
          <w:szCs w:val="24"/>
        </w:rPr>
        <w:t>competitive market</w:t>
      </w:r>
      <w:r w:rsidR="002F15C5">
        <w:rPr>
          <w:rFonts w:cs="Times New Roman"/>
          <w:szCs w:val="24"/>
        </w:rPr>
        <w:t>.</w:t>
      </w:r>
      <w:r w:rsidR="0053445C">
        <w:rPr>
          <w:rFonts w:cs="Times New Roman"/>
          <w:szCs w:val="24"/>
        </w:rPr>
        <w:t xml:space="preserve"> </w:t>
      </w:r>
      <w:r w:rsidR="002F15C5">
        <w:rPr>
          <w:rFonts w:cs="Times New Roman"/>
          <w:szCs w:val="24"/>
        </w:rPr>
        <w:t>Throughout successive amendments to PURA</w:t>
      </w:r>
      <w:r w:rsidR="0053445C">
        <w:rPr>
          <w:rFonts w:cs="Times New Roman"/>
          <w:szCs w:val="24"/>
        </w:rPr>
        <w:t xml:space="preserve">, </w:t>
      </w:r>
      <w:r w:rsidR="00092029">
        <w:rPr>
          <w:rFonts w:cs="Times New Roman"/>
          <w:szCs w:val="24"/>
        </w:rPr>
        <w:t xml:space="preserve">including </w:t>
      </w:r>
      <w:r w:rsidR="0053445C">
        <w:rPr>
          <w:rFonts w:cs="Times New Roman"/>
          <w:szCs w:val="24"/>
        </w:rPr>
        <w:t>the Legislature</w:t>
      </w:r>
      <w:r w:rsidR="00092029">
        <w:rPr>
          <w:rFonts w:cs="Times New Roman"/>
          <w:szCs w:val="24"/>
        </w:rPr>
        <w:t xml:space="preserve">’s enactment of SB 943 to specifically address energy storage, the Legislature has declined to revise the separation between these market </w:t>
      </w:r>
      <w:r w:rsidR="00E32250">
        <w:rPr>
          <w:rFonts w:cs="Times New Roman"/>
          <w:szCs w:val="24"/>
        </w:rPr>
        <w:t>sectors</w:t>
      </w:r>
      <w:r w:rsidR="00092029">
        <w:rPr>
          <w:rFonts w:cs="Times New Roman"/>
          <w:szCs w:val="24"/>
        </w:rPr>
        <w:t xml:space="preserve">. Despite TDUs’ desire to </w:t>
      </w:r>
      <w:r w:rsidR="00E32250">
        <w:rPr>
          <w:rFonts w:cs="Times New Roman"/>
          <w:szCs w:val="24"/>
        </w:rPr>
        <w:t xml:space="preserve">add </w:t>
      </w:r>
      <w:r w:rsidR="00092029">
        <w:rPr>
          <w:rFonts w:cs="Times New Roman"/>
          <w:szCs w:val="24"/>
        </w:rPr>
        <w:t xml:space="preserve">energy storage to the investments for which they can recover costs and earn a rate of return, energy storage remains a generation resource for which competitive market participants make investment decisions based on market signals. Absent statutory change to specifically allow energy storage to be included in regulated rates, neither rule </w:t>
      </w:r>
      <w:r w:rsidR="00E32250">
        <w:rPr>
          <w:rFonts w:cs="Times New Roman"/>
          <w:szCs w:val="24"/>
        </w:rPr>
        <w:t>n</w:t>
      </w:r>
      <w:r w:rsidR="00092029">
        <w:rPr>
          <w:rFonts w:cs="Times New Roman"/>
          <w:szCs w:val="24"/>
        </w:rPr>
        <w:t xml:space="preserve">or pilot project to allow TDU ownership is authorized under PURA. TCPA recommends the Commission </w:t>
      </w:r>
      <w:r w:rsidR="00BE0768">
        <w:rPr>
          <w:rFonts w:cs="Times New Roman"/>
          <w:szCs w:val="24"/>
        </w:rPr>
        <w:t>affirm PURA’s clear distinction that energy storage is broadly (and with limited exception for true self-use) generation that a TDU may not own or operate</w:t>
      </w:r>
      <w:r w:rsidR="00092029">
        <w:rPr>
          <w:rFonts w:cs="Times New Roman"/>
          <w:szCs w:val="24"/>
        </w:rPr>
        <w:t>.</w:t>
      </w:r>
    </w:p>
    <w:p w14:paraId="6D28C3DF" w14:textId="0763DE17" w:rsidR="009D303C" w:rsidRDefault="009D303C" w:rsidP="009D30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Dated:  </w:t>
      </w:r>
      <w:r w:rsidR="00DF4F4F">
        <w:rPr>
          <w:rFonts w:ascii="Times New Roman" w:hAnsi="Times New Roman" w:cs="Times New Roman"/>
          <w:sz w:val="24"/>
          <w:szCs w:val="24"/>
        </w:rPr>
        <w:t xml:space="preserve">November </w:t>
      </w:r>
      <w:r w:rsidR="00DA2E3C">
        <w:rPr>
          <w:rFonts w:ascii="Times New Roman" w:hAnsi="Times New Roman" w:cs="Times New Roman"/>
          <w:sz w:val="24"/>
          <w:szCs w:val="24"/>
        </w:rPr>
        <w:t>16</w:t>
      </w:r>
      <w:r w:rsidR="00554BCF">
        <w:rPr>
          <w:rFonts w:ascii="Times New Roman" w:hAnsi="Times New Roman" w:cs="Times New Roman"/>
          <w:sz w:val="24"/>
          <w:szCs w:val="24"/>
        </w:rPr>
        <w:t>, 2018</w:t>
      </w:r>
    </w:p>
    <w:p w14:paraId="4FEF315B" w14:textId="77777777" w:rsidR="00FA7269" w:rsidRPr="0048370E" w:rsidRDefault="00FA7269" w:rsidP="009E18D0">
      <w:pPr>
        <w:spacing w:after="0" w:line="480" w:lineRule="auto"/>
        <w:ind w:left="3600" w:firstLine="720"/>
        <w:jc w:val="both"/>
        <w:rPr>
          <w:rFonts w:ascii="Times New Roman" w:eastAsia="Calibri" w:hAnsi="Times New Roman" w:cs="Times New Roman"/>
          <w:sz w:val="24"/>
          <w:szCs w:val="24"/>
        </w:rPr>
      </w:pPr>
      <w:r w:rsidRPr="0048370E">
        <w:rPr>
          <w:rFonts w:ascii="Times New Roman" w:eastAsia="Calibri" w:hAnsi="Times New Roman" w:cs="Times New Roman"/>
          <w:sz w:val="24"/>
          <w:szCs w:val="24"/>
        </w:rPr>
        <w:t>Respectfully submitted,</w:t>
      </w:r>
    </w:p>
    <w:p w14:paraId="264546E7" w14:textId="77777777" w:rsidR="00FA7269" w:rsidRPr="0048370E" w:rsidRDefault="00FA7269" w:rsidP="00FA7269">
      <w:pPr>
        <w:spacing w:after="0" w:line="240" w:lineRule="auto"/>
        <w:ind w:left="3600" w:firstLine="720"/>
        <w:jc w:val="both"/>
        <w:rPr>
          <w:rFonts w:ascii="Times New Roman" w:eastAsia="Calibri" w:hAnsi="Times New Roman" w:cs="Times New Roman"/>
          <w:sz w:val="24"/>
          <w:szCs w:val="24"/>
        </w:rPr>
      </w:pPr>
    </w:p>
    <w:p w14:paraId="4ABDD366" w14:textId="77777777" w:rsidR="00121648" w:rsidRPr="0048370E" w:rsidRDefault="00121648" w:rsidP="00FA7269">
      <w:pPr>
        <w:spacing w:after="0" w:line="240" w:lineRule="auto"/>
        <w:ind w:left="3600" w:firstLine="720"/>
        <w:jc w:val="both"/>
        <w:rPr>
          <w:rFonts w:ascii="Times New Roman" w:eastAsia="Calibri" w:hAnsi="Times New Roman" w:cs="Times New Roman"/>
          <w:sz w:val="24"/>
          <w:szCs w:val="24"/>
        </w:rPr>
      </w:pPr>
    </w:p>
    <w:p w14:paraId="6F63D4D5" w14:textId="77777777" w:rsidR="00121648" w:rsidRPr="0048370E" w:rsidRDefault="00121648" w:rsidP="00121648">
      <w:pPr>
        <w:tabs>
          <w:tab w:val="left" w:pos="4320"/>
        </w:tabs>
        <w:spacing w:after="0" w:line="240" w:lineRule="auto"/>
        <w:ind w:right="-540"/>
        <w:rPr>
          <w:rFonts w:ascii="Times New Roman" w:eastAsia="Times New Roman" w:hAnsi="Times New Roman" w:cs="Times New Roman"/>
          <w:sz w:val="24"/>
          <w:szCs w:val="24"/>
        </w:rPr>
      </w:pPr>
      <w:r w:rsidRPr="0048370E">
        <w:rPr>
          <w:rFonts w:ascii="Times New Roman" w:eastAsia="Times New Roman" w:hAnsi="Times New Roman" w:cs="Times New Roman"/>
          <w:sz w:val="24"/>
          <w:szCs w:val="24"/>
        </w:rPr>
        <w:tab/>
        <w:t>__________________________________</w:t>
      </w:r>
    </w:p>
    <w:p w14:paraId="63E8D4FB" w14:textId="77777777" w:rsidR="00121648" w:rsidRDefault="00121648" w:rsidP="00A923EF">
      <w:pPr>
        <w:spacing w:after="0" w:line="240" w:lineRule="auto"/>
        <w:ind w:firstLine="720"/>
        <w:outlineLvl w:val="0"/>
        <w:rPr>
          <w:rFonts w:ascii="Times New Roman" w:eastAsia="Times New Roman" w:hAnsi="Times New Roman" w:cs="Times New Roman"/>
          <w:sz w:val="24"/>
          <w:szCs w:val="24"/>
        </w:rPr>
      </w:pP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00476493">
        <w:rPr>
          <w:rFonts w:ascii="Times New Roman" w:eastAsia="Times New Roman" w:hAnsi="Times New Roman" w:cs="Times New Roman"/>
          <w:sz w:val="24"/>
          <w:szCs w:val="24"/>
        </w:rPr>
        <w:t>Michele Gregg</w:t>
      </w:r>
    </w:p>
    <w:p w14:paraId="763F86B5" w14:textId="77777777" w:rsidR="00476493" w:rsidRDefault="00476493" w:rsidP="00A923EF">
      <w:pPr>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Executive Director</w:t>
      </w:r>
    </w:p>
    <w:p w14:paraId="7E1FD2AC" w14:textId="77777777" w:rsidR="00476493" w:rsidRDefault="00476493" w:rsidP="00A923EF">
      <w:pPr>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Texas Competitive Power Advocates (TCPA)</w:t>
      </w:r>
    </w:p>
    <w:p w14:paraId="25E219AE" w14:textId="77777777" w:rsidR="00476493" w:rsidRDefault="00476493" w:rsidP="00A923EF">
      <w:pPr>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(512) 653-7447</w:t>
      </w:r>
    </w:p>
    <w:p w14:paraId="6DFFF22A" w14:textId="77777777" w:rsidR="00FA7269" w:rsidRPr="0048370E" w:rsidRDefault="00476493" w:rsidP="00FD11B5">
      <w:pPr>
        <w:spacing w:after="0" w:line="240" w:lineRule="auto"/>
        <w:ind w:firstLine="720"/>
        <w:outlineLvl w:val="0"/>
        <w:rPr>
          <w:rFonts w:ascii="Times New Roman" w:eastAsia="Calibri"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8" w:history="1">
        <w:r w:rsidRPr="005E7290">
          <w:rPr>
            <w:rStyle w:val="Hyperlink"/>
            <w:rFonts w:ascii="Times New Roman" w:eastAsia="Times New Roman" w:hAnsi="Times New Roman" w:cs="Times New Roman"/>
            <w:sz w:val="24"/>
            <w:szCs w:val="24"/>
          </w:rPr>
          <w:t>michele@competitivepower.org</w:t>
        </w:r>
      </w:hyperlink>
      <w:r>
        <w:rPr>
          <w:rFonts w:ascii="Times New Roman" w:eastAsia="Times New Roman" w:hAnsi="Times New Roman" w:cs="Times New Roman"/>
          <w:sz w:val="24"/>
          <w:szCs w:val="24"/>
        </w:rPr>
        <w:t xml:space="preserve"> </w:t>
      </w:r>
      <w:r w:rsidR="00121648" w:rsidRPr="0048370E">
        <w:rPr>
          <w:rFonts w:ascii="Times New Roman" w:eastAsia="Times New Roman" w:hAnsi="Times New Roman" w:cs="Times New Roman"/>
          <w:sz w:val="24"/>
          <w:szCs w:val="24"/>
        </w:rPr>
        <w:tab/>
      </w:r>
      <w:r w:rsidR="00121648" w:rsidRPr="0048370E">
        <w:rPr>
          <w:rFonts w:ascii="Times New Roman" w:eastAsia="Times New Roman" w:hAnsi="Times New Roman" w:cs="Times New Roman"/>
          <w:sz w:val="24"/>
          <w:szCs w:val="24"/>
        </w:rPr>
        <w:tab/>
      </w:r>
      <w:r w:rsidR="00121648" w:rsidRPr="0048370E">
        <w:rPr>
          <w:rFonts w:ascii="Times New Roman" w:eastAsia="Times New Roman" w:hAnsi="Times New Roman" w:cs="Times New Roman"/>
          <w:sz w:val="24"/>
          <w:szCs w:val="24"/>
        </w:rPr>
        <w:tab/>
      </w:r>
    </w:p>
    <w:sectPr w:rsidR="00FA7269" w:rsidRPr="0048370E" w:rsidSect="006E55AF">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E93DA" w14:textId="77777777" w:rsidR="00D21A23" w:rsidRDefault="00D21A23" w:rsidP="00F75562">
      <w:pPr>
        <w:spacing w:after="0" w:line="240" w:lineRule="auto"/>
      </w:pPr>
      <w:r>
        <w:separator/>
      </w:r>
    </w:p>
  </w:endnote>
  <w:endnote w:type="continuationSeparator" w:id="0">
    <w:p w14:paraId="4E19261C" w14:textId="77777777" w:rsidR="00D21A23" w:rsidRDefault="00D21A23" w:rsidP="00F7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42659"/>
      <w:docPartObj>
        <w:docPartGallery w:val="Page Numbers (Bottom of Page)"/>
        <w:docPartUnique/>
      </w:docPartObj>
    </w:sdtPr>
    <w:sdtEndPr>
      <w:rPr>
        <w:rFonts w:ascii="Times New Roman" w:hAnsi="Times New Roman" w:cs="Times New Roman"/>
        <w:noProof/>
        <w:sz w:val="24"/>
        <w:szCs w:val="24"/>
      </w:rPr>
    </w:sdtEndPr>
    <w:sdtContent>
      <w:p w14:paraId="082D1C7B" w14:textId="10D53D18" w:rsidR="00AA06B7" w:rsidRPr="00FA1FB8" w:rsidRDefault="00AA06B7">
        <w:pPr>
          <w:pStyle w:val="Footer"/>
          <w:jc w:val="center"/>
          <w:rPr>
            <w:rFonts w:ascii="Times New Roman" w:hAnsi="Times New Roman" w:cs="Times New Roman"/>
            <w:sz w:val="24"/>
            <w:szCs w:val="24"/>
          </w:rPr>
        </w:pPr>
        <w:r w:rsidRPr="00FA1FB8">
          <w:rPr>
            <w:rFonts w:ascii="Times New Roman" w:hAnsi="Times New Roman" w:cs="Times New Roman"/>
            <w:sz w:val="24"/>
            <w:szCs w:val="24"/>
          </w:rPr>
          <w:fldChar w:fldCharType="begin"/>
        </w:r>
        <w:r w:rsidRPr="00FA1FB8">
          <w:rPr>
            <w:rFonts w:ascii="Times New Roman" w:hAnsi="Times New Roman" w:cs="Times New Roman"/>
            <w:sz w:val="24"/>
            <w:szCs w:val="24"/>
          </w:rPr>
          <w:instrText xml:space="preserve"> PAGE   \* MERGEFORMAT </w:instrText>
        </w:r>
        <w:r w:rsidRPr="00FA1FB8">
          <w:rPr>
            <w:rFonts w:ascii="Times New Roman" w:hAnsi="Times New Roman" w:cs="Times New Roman"/>
            <w:sz w:val="24"/>
            <w:szCs w:val="24"/>
          </w:rPr>
          <w:fldChar w:fldCharType="separate"/>
        </w:r>
        <w:r w:rsidR="0059390F">
          <w:rPr>
            <w:rFonts w:ascii="Times New Roman" w:hAnsi="Times New Roman" w:cs="Times New Roman"/>
            <w:noProof/>
            <w:sz w:val="24"/>
            <w:szCs w:val="24"/>
          </w:rPr>
          <w:t>6</w:t>
        </w:r>
        <w:r w:rsidRPr="00FA1FB8">
          <w:rPr>
            <w:rFonts w:ascii="Times New Roman" w:hAnsi="Times New Roman" w:cs="Times New Roman"/>
            <w:noProof/>
            <w:sz w:val="24"/>
            <w:szCs w:val="24"/>
          </w:rPr>
          <w:fldChar w:fldCharType="end"/>
        </w:r>
      </w:p>
    </w:sdtContent>
  </w:sdt>
  <w:p w14:paraId="45AA6187" w14:textId="77777777" w:rsidR="00AA06B7" w:rsidRPr="00DE4A1C" w:rsidRDefault="00AA06B7" w:rsidP="00DE4A1C">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45A6" w14:textId="77777777" w:rsidR="00D21A23" w:rsidRDefault="00D21A23" w:rsidP="00F75562">
      <w:pPr>
        <w:spacing w:after="0" w:line="240" w:lineRule="auto"/>
      </w:pPr>
      <w:r>
        <w:separator/>
      </w:r>
    </w:p>
  </w:footnote>
  <w:footnote w:type="continuationSeparator" w:id="0">
    <w:p w14:paraId="2F4E3E72" w14:textId="77777777" w:rsidR="00D21A23" w:rsidRDefault="00D21A23" w:rsidP="00F75562">
      <w:pPr>
        <w:spacing w:after="0" w:line="240" w:lineRule="auto"/>
      </w:pPr>
      <w:r>
        <w:continuationSeparator/>
      </w:r>
    </w:p>
  </w:footnote>
  <w:footnote w:id="1">
    <w:p w14:paraId="02509573" w14:textId="24B0D92F" w:rsidR="003F027B" w:rsidRPr="003F027B" w:rsidRDefault="003F027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Comments filed by AEP Texas</w:t>
      </w:r>
      <w:r w:rsidR="00DA2E3C">
        <w:rPr>
          <w:rFonts w:ascii="Times New Roman" w:hAnsi="Times New Roman" w:cs="Times New Roman"/>
        </w:rPr>
        <w:t xml:space="preserve"> Inc and Electric Transmission Texas LLC</w:t>
      </w:r>
      <w:r>
        <w:rPr>
          <w:rFonts w:ascii="Times New Roman" w:hAnsi="Times New Roman" w:cs="Times New Roman"/>
        </w:rPr>
        <w:t xml:space="preserve">, </w:t>
      </w:r>
      <w:r w:rsidR="00DA2E3C">
        <w:rPr>
          <w:rFonts w:ascii="Times New Roman" w:hAnsi="Times New Roman" w:cs="Times New Roman"/>
        </w:rPr>
        <w:t xml:space="preserve">Oncor Electric Delivery Company LLC, and </w:t>
      </w:r>
      <w:r>
        <w:rPr>
          <w:rFonts w:ascii="Times New Roman" w:hAnsi="Times New Roman" w:cs="Times New Roman"/>
        </w:rPr>
        <w:t>C</w:t>
      </w:r>
      <w:r w:rsidR="00DA2E3C">
        <w:rPr>
          <w:rFonts w:ascii="Times New Roman" w:hAnsi="Times New Roman" w:cs="Times New Roman"/>
        </w:rPr>
        <w:t xml:space="preserve">enterPoint </w:t>
      </w:r>
      <w:r>
        <w:rPr>
          <w:rFonts w:ascii="Times New Roman" w:hAnsi="Times New Roman" w:cs="Times New Roman"/>
        </w:rPr>
        <w:t>E</w:t>
      </w:r>
      <w:r w:rsidR="00DA2E3C">
        <w:rPr>
          <w:rFonts w:ascii="Times New Roman" w:hAnsi="Times New Roman" w:cs="Times New Roman"/>
        </w:rPr>
        <w:t xml:space="preserve">nergy </w:t>
      </w:r>
      <w:r>
        <w:rPr>
          <w:rFonts w:ascii="Times New Roman" w:hAnsi="Times New Roman" w:cs="Times New Roman"/>
        </w:rPr>
        <w:t>H</w:t>
      </w:r>
      <w:r w:rsidR="00DA2E3C">
        <w:rPr>
          <w:rFonts w:ascii="Times New Roman" w:hAnsi="Times New Roman" w:cs="Times New Roman"/>
        </w:rPr>
        <w:t xml:space="preserve">ouston </w:t>
      </w:r>
      <w:r>
        <w:rPr>
          <w:rFonts w:ascii="Times New Roman" w:hAnsi="Times New Roman" w:cs="Times New Roman"/>
        </w:rPr>
        <w:t>E</w:t>
      </w:r>
      <w:r w:rsidR="00DA2E3C">
        <w:rPr>
          <w:rFonts w:ascii="Times New Roman" w:hAnsi="Times New Roman" w:cs="Times New Roman"/>
        </w:rPr>
        <w:t>lectric LLC in Project 48023, filed on November 2, 2018</w:t>
      </w:r>
      <w:r>
        <w:rPr>
          <w:rFonts w:ascii="Times New Roman" w:hAnsi="Times New Roman" w:cs="Times New Roman"/>
        </w:rPr>
        <w:t xml:space="preserve"> </w:t>
      </w:r>
    </w:p>
  </w:footnote>
  <w:footnote w:id="2">
    <w:p w14:paraId="0E1C680B" w14:textId="2F889E6A" w:rsidR="00171CC4" w:rsidRPr="00171CC4" w:rsidRDefault="00171CC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Oncor Electric Delivery Company LLC’s Response to Questions in Project 48023, filed on November 2, 2018 at footnote 3 on page 3</w:t>
      </w:r>
    </w:p>
  </w:footnote>
  <w:footnote w:id="3">
    <w:p w14:paraId="7AF8FF03" w14:textId="27322725" w:rsidR="00842557" w:rsidRPr="00092029" w:rsidRDefault="00842557">
      <w:pPr>
        <w:pStyle w:val="FootnoteText"/>
        <w:rPr>
          <w:rFonts w:ascii="Times New Roman" w:hAnsi="Times New Roman" w:cs="Times New Roman"/>
        </w:rPr>
      </w:pPr>
      <w:r>
        <w:rPr>
          <w:rStyle w:val="FootnoteReference"/>
        </w:rPr>
        <w:footnoteRef/>
      </w:r>
      <w:r>
        <w:t xml:space="preserve"> </w:t>
      </w:r>
      <w:r w:rsidR="00092029">
        <w:rPr>
          <w:rFonts w:ascii="Times New Roman" w:hAnsi="Times New Roman" w:cs="Times New Roman"/>
        </w:rPr>
        <w:t>CenterPoint Energy Houston Electric LLC Initial Comments, filed November 2, 2018, in Project 48023 at footnote 6 on page 5</w:t>
      </w:r>
    </w:p>
  </w:footnote>
  <w:footnote w:id="4">
    <w:p w14:paraId="7D8F0A36" w14:textId="4ED989A5" w:rsidR="00A129B3" w:rsidRPr="00A129B3" w:rsidRDefault="00A129B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Report to the 83</w:t>
      </w:r>
      <w:r w:rsidRPr="00A129B3">
        <w:rPr>
          <w:rFonts w:ascii="Times New Roman" w:hAnsi="Times New Roman" w:cs="Times New Roman"/>
          <w:vertAlign w:val="superscript"/>
        </w:rPr>
        <w:t>rd</w:t>
      </w:r>
      <w:r>
        <w:rPr>
          <w:rFonts w:ascii="Times New Roman" w:hAnsi="Times New Roman" w:cs="Times New Roman"/>
        </w:rPr>
        <w:t xml:space="preserve"> Texas Legislature: Scope of Competition in Electric Markets in Texas, Public Utility Commission of Texas, January 2013 at page 10</w:t>
      </w:r>
      <w:r w:rsidR="00693B66">
        <w:rPr>
          <w:rFonts w:ascii="Times New Roman" w:hAnsi="Times New Roman" w:cs="Times New Roman"/>
        </w:rPr>
        <w:t xml:space="preserve"> (discussing the adopted amendments to 16 TAC §25.192 relating to transmission service rates).</w:t>
      </w:r>
    </w:p>
  </w:footnote>
  <w:footnote w:id="5">
    <w:p w14:paraId="3FE5B526" w14:textId="3B748FF1" w:rsidR="00A129B3" w:rsidRPr="00A129B3" w:rsidRDefault="00A129B3">
      <w:pPr>
        <w:pStyle w:val="FootnoteText"/>
        <w:rPr>
          <w:rFonts w:ascii="Times New Roman" w:hAnsi="Times New Roman" w:cs="Times New Roman"/>
        </w:rPr>
      </w:pPr>
      <w:r>
        <w:rPr>
          <w:rStyle w:val="FootnoteReference"/>
        </w:rPr>
        <w:footnoteRef/>
      </w:r>
      <w:r>
        <w:t xml:space="preserve"> </w:t>
      </w:r>
      <w:r w:rsidRPr="00A129B3">
        <w:rPr>
          <w:rFonts w:ascii="Times New Roman" w:hAnsi="Times New Roman" w:cs="Times New Roman"/>
        </w:rPr>
        <w:t xml:space="preserve">Order Adopting Amendments </w:t>
      </w:r>
      <w:r>
        <w:rPr>
          <w:rFonts w:ascii="Times New Roman" w:hAnsi="Times New Roman" w:cs="Times New Roman"/>
        </w:rPr>
        <w:t>t</w:t>
      </w:r>
      <w:r w:rsidRPr="00A129B3">
        <w:rPr>
          <w:rFonts w:ascii="Times New Roman" w:hAnsi="Times New Roman" w:cs="Times New Roman"/>
        </w:rPr>
        <w:t xml:space="preserve">o §25.192 </w:t>
      </w:r>
      <w:r>
        <w:rPr>
          <w:rFonts w:ascii="Times New Roman" w:hAnsi="Times New Roman" w:cs="Times New Roman"/>
        </w:rPr>
        <w:t>a</w:t>
      </w:r>
      <w:r w:rsidRPr="00A129B3">
        <w:rPr>
          <w:rFonts w:ascii="Times New Roman" w:hAnsi="Times New Roman" w:cs="Times New Roman"/>
        </w:rPr>
        <w:t xml:space="preserve">nd §25.501 As Approved </w:t>
      </w:r>
      <w:r w:rsidR="00F233EA">
        <w:rPr>
          <w:rFonts w:ascii="Times New Roman" w:hAnsi="Times New Roman" w:cs="Times New Roman"/>
        </w:rPr>
        <w:t>a</w:t>
      </w:r>
      <w:r w:rsidRPr="00A129B3">
        <w:rPr>
          <w:rFonts w:ascii="Times New Roman" w:hAnsi="Times New Roman" w:cs="Times New Roman"/>
        </w:rPr>
        <w:t xml:space="preserve">t </w:t>
      </w:r>
      <w:r w:rsidR="00F233EA">
        <w:rPr>
          <w:rFonts w:ascii="Times New Roman" w:hAnsi="Times New Roman" w:cs="Times New Roman"/>
        </w:rPr>
        <w:t>t</w:t>
      </w:r>
      <w:r w:rsidRPr="00A129B3">
        <w:rPr>
          <w:rFonts w:ascii="Times New Roman" w:hAnsi="Times New Roman" w:cs="Times New Roman"/>
        </w:rPr>
        <w:t>he March 7, 2012 Open Meeting</w:t>
      </w:r>
      <w:r>
        <w:rPr>
          <w:rFonts w:ascii="Times New Roman" w:hAnsi="Times New Roman" w:cs="Times New Roman"/>
        </w:rPr>
        <w:t xml:space="preserve"> in PUC Project 39917, Rulemaking on Energy Storage Issues, filed March 29, 2012 at page 13</w:t>
      </w:r>
    </w:p>
  </w:footnote>
  <w:footnote w:id="6">
    <w:p w14:paraId="13398CB2" w14:textId="136C7C52" w:rsidR="00171CC4" w:rsidRPr="00171CC4" w:rsidRDefault="00171CC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Enrolled SB 943, 83</w:t>
      </w:r>
      <w:r w:rsidRPr="00171CC4">
        <w:rPr>
          <w:rFonts w:ascii="Times New Roman" w:hAnsi="Times New Roman" w:cs="Times New Roman"/>
          <w:vertAlign w:val="superscript"/>
        </w:rPr>
        <w:t>rd</w:t>
      </w:r>
      <w:r>
        <w:rPr>
          <w:rFonts w:ascii="Times New Roman" w:hAnsi="Times New Roman" w:cs="Times New Roman"/>
        </w:rPr>
        <w:t xml:space="preserve"> Regular Session, at 1:12-19</w:t>
      </w:r>
    </w:p>
  </w:footnote>
  <w:footnote w:id="7">
    <w:p w14:paraId="05181065" w14:textId="43E9FFF9" w:rsidR="00B861A5" w:rsidRDefault="00B861A5">
      <w:pPr>
        <w:pStyle w:val="FootnoteText"/>
      </w:pPr>
      <w:r>
        <w:rPr>
          <w:rStyle w:val="FootnoteReference"/>
        </w:rPr>
        <w:footnoteRef/>
      </w:r>
      <w:r>
        <w:t xml:space="preserve"> </w:t>
      </w:r>
      <w:r>
        <w:rPr>
          <w:rFonts w:ascii="Times New Roman" w:hAnsi="Times New Roman" w:cs="Times New Roman"/>
        </w:rPr>
        <w:t>Oncor Electric Delivery Company LLC’s Response to Questions in Project 48023, filed on November 2, 2018 at page 3</w:t>
      </w:r>
    </w:p>
  </w:footnote>
  <w:footnote w:id="8">
    <w:p w14:paraId="64A2BBDD" w14:textId="030DD76A" w:rsidR="003376C2" w:rsidRPr="003376C2" w:rsidRDefault="003376C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PURA </w:t>
      </w:r>
      <w:r w:rsidRPr="003376C2">
        <w:rPr>
          <w:rFonts w:ascii="Times New Roman" w:hAnsi="Times New Roman" w:cs="Times New Roman"/>
        </w:rPr>
        <w:t>§ 39.151</w:t>
      </w:r>
      <w:r>
        <w:rPr>
          <w:rFonts w:ascii="Times New Roman" w:hAnsi="Times New Roman" w:cs="Times New Roman"/>
        </w:rPr>
        <w:t xml:space="preserve"> (a)(2)</w:t>
      </w:r>
    </w:p>
  </w:footnote>
  <w:footnote w:id="9">
    <w:p w14:paraId="287F5121" w14:textId="30B80076" w:rsidR="001D28DA" w:rsidRPr="001D28DA" w:rsidRDefault="001D28D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 PURA </w:t>
      </w:r>
      <w:r w:rsidR="00DA2E3C" w:rsidRPr="003376C2">
        <w:rPr>
          <w:rFonts w:ascii="Times New Roman" w:hAnsi="Times New Roman" w:cs="Times New Roman"/>
        </w:rPr>
        <w:t>§</w:t>
      </w:r>
      <w:r w:rsidR="00DA2E3C">
        <w:rPr>
          <w:rFonts w:ascii="Times New Roman" w:hAnsi="Times New Roman" w:cs="Times New Roman"/>
        </w:rPr>
        <w:t xml:space="preserve"> </w:t>
      </w:r>
      <w:r>
        <w:rPr>
          <w:rFonts w:ascii="Times New Roman" w:hAnsi="Times New Roman" w:cs="Times New Roman"/>
        </w:rPr>
        <w:t>39</w:t>
      </w:r>
      <w:r w:rsidR="00463EBD">
        <w:rPr>
          <w:rFonts w:ascii="Times New Roman" w:hAnsi="Times New Roman" w:cs="Times New Roman"/>
        </w:rPr>
        <w:t>.</w:t>
      </w:r>
      <w:r>
        <w:rPr>
          <w:rFonts w:ascii="Times New Roman" w:hAnsi="Times New Roman" w:cs="Times New Roman"/>
        </w:rPr>
        <w:t>151 (d)</w:t>
      </w:r>
    </w:p>
  </w:footnote>
  <w:footnote w:id="10">
    <w:p w14:paraId="7DADC912" w14:textId="43EB57C5" w:rsidR="00463EBD" w:rsidRPr="00463EBD" w:rsidRDefault="00463EB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CenterPoint Energy Houston Electric LLC Initial Comments, filed November 2, 2018, in Project 48023 at pages 1-2</w:t>
      </w:r>
    </w:p>
  </w:footnote>
  <w:footnote w:id="11">
    <w:p w14:paraId="44689386" w14:textId="2480B594" w:rsidR="00521773" w:rsidRDefault="00521773">
      <w:pPr>
        <w:pStyle w:val="FootnoteText"/>
      </w:pPr>
      <w:r>
        <w:rPr>
          <w:rStyle w:val="FootnoteReference"/>
        </w:rPr>
        <w:footnoteRef/>
      </w:r>
      <w:r>
        <w:t xml:space="preserve"> </w:t>
      </w:r>
      <w:r>
        <w:rPr>
          <w:rFonts w:ascii="Times New Roman" w:hAnsi="Times New Roman" w:cs="Times New Roman"/>
        </w:rPr>
        <w:t xml:space="preserve">PURA </w:t>
      </w:r>
      <w:r w:rsidRPr="003376C2">
        <w:rPr>
          <w:rFonts w:ascii="Times New Roman" w:hAnsi="Times New Roman" w:cs="Times New Roman"/>
        </w:rPr>
        <w:t>§</w:t>
      </w:r>
      <w:r>
        <w:rPr>
          <w:rFonts w:ascii="Times New Roman" w:hAnsi="Times New Roman" w:cs="Times New Roman"/>
        </w:rPr>
        <w:t xml:space="preserve"> </w:t>
      </w:r>
      <w:r w:rsidR="00044E9C">
        <w:rPr>
          <w:rFonts w:ascii="Times New Roman" w:hAnsi="Times New Roman" w:cs="Times New Roman"/>
        </w:rPr>
        <w:t>11.002(b)</w:t>
      </w:r>
    </w:p>
  </w:footnote>
  <w:footnote w:id="12">
    <w:p w14:paraId="1DF5D83C" w14:textId="15ED192C" w:rsidR="00463EBD" w:rsidRPr="00463EBD" w:rsidRDefault="00463EB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PURA </w:t>
      </w:r>
      <w:r w:rsidR="00DA2E3C" w:rsidRPr="003376C2">
        <w:rPr>
          <w:rFonts w:ascii="Times New Roman" w:hAnsi="Times New Roman" w:cs="Times New Roman"/>
        </w:rPr>
        <w:t>§</w:t>
      </w:r>
      <w:r w:rsidR="00DA2E3C">
        <w:rPr>
          <w:rFonts w:ascii="Times New Roman" w:hAnsi="Times New Roman" w:cs="Times New Roman"/>
        </w:rPr>
        <w:t xml:space="preserve"> </w:t>
      </w:r>
      <w:r>
        <w:rPr>
          <w:rFonts w:ascii="Times New Roman" w:hAnsi="Times New Roman" w:cs="Times New Roman"/>
        </w:rPr>
        <w:t>39.001 (d)</w:t>
      </w:r>
    </w:p>
  </w:footnote>
  <w:footnote w:id="13">
    <w:p w14:paraId="6BE34B59" w14:textId="3692EF8B" w:rsidR="001850D1" w:rsidRDefault="001850D1">
      <w:pPr>
        <w:pStyle w:val="FootnoteText"/>
      </w:pPr>
      <w:r>
        <w:rPr>
          <w:rStyle w:val="FootnoteReference"/>
        </w:rPr>
        <w:footnoteRef/>
      </w:r>
      <w:r>
        <w:t xml:space="preserve"> </w:t>
      </w:r>
      <w:r>
        <w:rPr>
          <w:rFonts w:ascii="Times New Roman" w:hAnsi="Times New Roman" w:cs="Times New Roman"/>
        </w:rPr>
        <w:t>CenterPoint Energy Houston Electric LLC Initial Comments, filed November 2, 2018, in Project 48023 at page 3-4</w:t>
      </w:r>
    </w:p>
  </w:footnote>
  <w:footnote w:id="14">
    <w:p w14:paraId="0D07097B" w14:textId="202BF23C" w:rsidR="001850D1" w:rsidRPr="001850D1" w:rsidRDefault="001850D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PURA </w:t>
      </w:r>
      <w:r w:rsidR="00DA2E3C" w:rsidRPr="003376C2">
        <w:rPr>
          <w:rFonts w:ascii="Times New Roman" w:hAnsi="Times New Roman" w:cs="Times New Roman"/>
        </w:rPr>
        <w:t>§§</w:t>
      </w:r>
      <w:r w:rsidR="00DA2E3C">
        <w:rPr>
          <w:rFonts w:ascii="Times New Roman" w:hAnsi="Times New Roman" w:cs="Times New Roman"/>
        </w:rPr>
        <w:t xml:space="preserve"> </w:t>
      </w:r>
      <w:r>
        <w:rPr>
          <w:rFonts w:ascii="Times New Roman" w:hAnsi="Times New Roman" w:cs="Times New Roman"/>
        </w:rPr>
        <w:t>31.002 (10), 35.151, and 35.152</w:t>
      </w:r>
    </w:p>
  </w:footnote>
  <w:footnote w:id="15">
    <w:p w14:paraId="63A1F149" w14:textId="0DBD680B" w:rsidR="00607776" w:rsidRPr="002F15C5" w:rsidRDefault="00607776">
      <w:pPr>
        <w:pStyle w:val="FootnoteText"/>
        <w:rPr>
          <w:rFonts w:ascii="Times New Roman" w:hAnsi="Times New Roman" w:cs="Times New Roman"/>
        </w:rPr>
      </w:pPr>
      <w:r>
        <w:rPr>
          <w:rStyle w:val="FootnoteReference"/>
        </w:rPr>
        <w:footnoteRef/>
      </w:r>
      <w:r>
        <w:t xml:space="preserve"> </w:t>
      </w:r>
      <w:r w:rsidR="002F15C5" w:rsidRPr="002F15C5">
        <w:rPr>
          <w:rFonts w:ascii="Times New Roman" w:hAnsi="Times New Roman" w:cs="Times New Roman"/>
        </w:rPr>
        <w:t xml:space="preserve">Lower Colorado River Authority </w:t>
      </w:r>
      <w:r w:rsidR="002F15C5">
        <w:rPr>
          <w:rFonts w:ascii="Times New Roman" w:hAnsi="Times New Roman" w:cs="Times New Roman"/>
        </w:rPr>
        <w:t>a</w:t>
      </w:r>
      <w:r w:rsidR="002F15C5" w:rsidRPr="002F15C5">
        <w:rPr>
          <w:rFonts w:ascii="Times New Roman" w:hAnsi="Times New Roman" w:cs="Times New Roman"/>
        </w:rPr>
        <w:t xml:space="preserve">nd </w:t>
      </w:r>
      <w:r w:rsidR="002F15C5">
        <w:rPr>
          <w:rFonts w:ascii="Times New Roman" w:hAnsi="Times New Roman" w:cs="Times New Roman"/>
        </w:rPr>
        <w:t>LCRA</w:t>
      </w:r>
      <w:r w:rsidR="002F15C5" w:rsidRPr="002F15C5">
        <w:rPr>
          <w:rFonts w:ascii="Times New Roman" w:hAnsi="Times New Roman" w:cs="Times New Roman"/>
        </w:rPr>
        <w:t xml:space="preserve"> Transmission Services Corporation's Response </w:t>
      </w:r>
      <w:r w:rsidR="00BE0768">
        <w:rPr>
          <w:rFonts w:ascii="Times New Roman" w:hAnsi="Times New Roman" w:cs="Times New Roman"/>
        </w:rPr>
        <w:t>t</w:t>
      </w:r>
      <w:r w:rsidR="002F15C5" w:rsidRPr="002F15C5">
        <w:rPr>
          <w:rFonts w:ascii="Times New Roman" w:hAnsi="Times New Roman" w:cs="Times New Roman"/>
        </w:rPr>
        <w:t xml:space="preserve">o The Commission's Request </w:t>
      </w:r>
      <w:r w:rsidR="00BE0768">
        <w:rPr>
          <w:rFonts w:ascii="Times New Roman" w:hAnsi="Times New Roman" w:cs="Times New Roman"/>
        </w:rPr>
        <w:t>f</w:t>
      </w:r>
      <w:r w:rsidR="002F15C5" w:rsidRPr="002F15C5">
        <w:rPr>
          <w:rFonts w:ascii="Times New Roman" w:hAnsi="Times New Roman" w:cs="Times New Roman"/>
        </w:rPr>
        <w:t>or Comments</w:t>
      </w:r>
      <w:r w:rsidR="002F15C5">
        <w:rPr>
          <w:rFonts w:ascii="Times New Roman" w:hAnsi="Times New Roman" w:cs="Times New Roman"/>
        </w:rPr>
        <w:t>, filed November 2, 2018, in Project 48023 at page 2-3</w:t>
      </w:r>
      <w:bookmarkStart w:id="1" w:name="_GoBack"/>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8EA"/>
    <w:multiLevelType w:val="hybridMultilevel"/>
    <w:tmpl w:val="033422C0"/>
    <w:lvl w:ilvl="0" w:tplc="5BE0F34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3200AC2"/>
    <w:multiLevelType w:val="hybridMultilevel"/>
    <w:tmpl w:val="7D8C0A08"/>
    <w:lvl w:ilvl="0" w:tplc="D6FE6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90803"/>
    <w:multiLevelType w:val="hybridMultilevel"/>
    <w:tmpl w:val="628C0E78"/>
    <w:lvl w:ilvl="0" w:tplc="A4003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F3233"/>
    <w:multiLevelType w:val="hybridMultilevel"/>
    <w:tmpl w:val="A596DCDC"/>
    <w:lvl w:ilvl="0" w:tplc="13F0473E">
      <w:start w:val="1"/>
      <w:numFmt w:val="upp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E0168"/>
    <w:multiLevelType w:val="hybridMultilevel"/>
    <w:tmpl w:val="415A6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B76AC7"/>
    <w:multiLevelType w:val="hybridMultilevel"/>
    <w:tmpl w:val="93D0106E"/>
    <w:lvl w:ilvl="0" w:tplc="4FD0633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E1A5B"/>
    <w:multiLevelType w:val="hybridMultilevel"/>
    <w:tmpl w:val="8048F12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7" w15:restartNumberingAfterBreak="0">
    <w:nsid w:val="2BBB6680"/>
    <w:multiLevelType w:val="hybridMultilevel"/>
    <w:tmpl w:val="75A24EC2"/>
    <w:lvl w:ilvl="0" w:tplc="92FEA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A583A"/>
    <w:multiLevelType w:val="hybridMultilevel"/>
    <w:tmpl w:val="0BCC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75261"/>
    <w:multiLevelType w:val="hybridMultilevel"/>
    <w:tmpl w:val="481248AE"/>
    <w:lvl w:ilvl="0" w:tplc="B7EA3C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BB1F64"/>
    <w:multiLevelType w:val="hybridMultilevel"/>
    <w:tmpl w:val="019E5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AAD1816"/>
    <w:multiLevelType w:val="multilevel"/>
    <w:tmpl w:val="D6EC9E3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2E6D39"/>
    <w:multiLevelType w:val="hybridMultilevel"/>
    <w:tmpl w:val="CB109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D5C19"/>
    <w:multiLevelType w:val="hybridMultilevel"/>
    <w:tmpl w:val="502E4DBE"/>
    <w:lvl w:ilvl="0" w:tplc="622A3C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FB4EFC"/>
    <w:multiLevelType w:val="hybridMultilevel"/>
    <w:tmpl w:val="47341BFA"/>
    <w:lvl w:ilvl="0" w:tplc="9288012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B1F4B17"/>
    <w:multiLevelType w:val="hybridMultilevel"/>
    <w:tmpl w:val="45065150"/>
    <w:lvl w:ilvl="0" w:tplc="0409000F">
      <w:start w:val="1"/>
      <w:numFmt w:val="decimal"/>
      <w:pStyle w:val="bullet4level1"/>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2725188"/>
    <w:multiLevelType w:val="hybridMultilevel"/>
    <w:tmpl w:val="103A042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7" w15:restartNumberingAfterBreak="0">
    <w:nsid w:val="77D87DBF"/>
    <w:multiLevelType w:val="hybridMultilevel"/>
    <w:tmpl w:val="0AE8A47C"/>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6"/>
  </w:num>
  <w:num w:numId="4">
    <w:abstractNumId w:val="13"/>
  </w:num>
  <w:num w:numId="5">
    <w:abstractNumId w:val="17"/>
  </w:num>
  <w:num w:numId="6">
    <w:abstractNumId w:val="12"/>
  </w:num>
  <w:num w:numId="7">
    <w:abstractNumId w:val="9"/>
  </w:num>
  <w:num w:numId="8">
    <w:abstractNumId w:val="1"/>
  </w:num>
  <w:num w:numId="9">
    <w:abstractNumId w:val="15"/>
  </w:num>
  <w:num w:numId="10">
    <w:abstractNumId w:val="15"/>
    <w:lvlOverride w:ilvl="0">
      <w:startOverride w:val="9"/>
    </w:lvlOverride>
  </w:num>
  <w:num w:numId="11">
    <w:abstractNumId w:val="8"/>
  </w:num>
  <w:num w:numId="12">
    <w:abstractNumId w:val="15"/>
  </w:num>
  <w:num w:numId="13">
    <w:abstractNumId w:val="5"/>
  </w:num>
  <w:num w:numId="14">
    <w:abstractNumId w:val="4"/>
  </w:num>
  <w:num w:numId="15">
    <w:abstractNumId w:val="10"/>
  </w:num>
  <w:num w:numId="16">
    <w:abstractNumId w:val="6"/>
  </w:num>
  <w:num w:numId="17">
    <w:abstractNumId w:val="7"/>
  </w:num>
  <w:num w:numId="18">
    <w:abstractNumId w:val="0"/>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2A"/>
    <w:rsid w:val="00010075"/>
    <w:rsid w:val="00014944"/>
    <w:rsid w:val="0002240E"/>
    <w:rsid w:val="000307CD"/>
    <w:rsid w:val="00031251"/>
    <w:rsid w:val="0003371E"/>
    <w:rsid w:val="0003477C"/>
    <w:rsid w:val="00036921"/>
    <w:rsid w:val="00042EF0"/>
    <w:rsid w:val="00044E9C"/>
    <w:rsid w:val="00045229"/>
    <w:rsid w:val="00046768"/>
    <w:rsid w:val="00051A5D"/>
    <w:rsid w:val="00054347"/>
    <w:rsid w:val="000571E2"/>
    <w:rsid w:val="000607FF"/>
    <w:rsid w:val="00061659"/>
    <w:rsid w:val="0006748C"/>
    <w:rsid w:val="0006777B"/>
    <w:rsid w:val="00071F62"/>
    <w:rsid w:val="000732E0"/>
    <w:rsid w:val="00075B12"/>
    <w:rsid w:val="00092029"/>
    <w:rsid w:val="000955AD"/>
    <w:rsid w:val="00096E26"/>
    <w:rsid w:val="00097506"/>
    <w:rsid w:val="00097689"/>
    <w:rsid w:val="000A0F6F"/>
    <w:rsid w:val="000A37D9"/>
    <w:rsid w:val="000A5731"/>
    <w:rsid w:val="000A79B5"/>
    <w:rsid w:val="000B51B5"/>
    <w:rsid w:val="000B5DE9"/>
    <w:rsid w:val="000C0D48"/>
    <w:rsid w:val="000C36D3"/>
    <w:rsid w:val="000C3B7E"/>
    <w:rsid w:val="000C5978"/>
    <w:rsid w:val="000D06A7"/>
    <w:rsid w:val="000D21B1"/>
    <w:rsid w:val="000E0524"/>
    <w:rsid w:val="000E2B2D"/>
    <w:rsid w:val="000E677D"/>
    <w:rsid w:val="000E7B5F"/>
    <w:rsid w:val="000F46BC"/>
    <w:rsid w:val="00103F50"/>
    <w:rsid w:val="001105F6"/>
    <w:rsid w:val="00121648"/>
    <w:rsid w:val="00123CBB"/>
    <w:rsid w:val="0012447A"/>
    <w:rsid w:val="001304BD"/>
    <w:rsid w:val="00137E19"/>
    <w:rsid w:val="00154015"/>
    <w:rsid w:val="001572FC"/>
    <w:rsid w:val="001578F3"/>
    <w:rsid w:val="001628CB"/>
    <w:rsid w:val="00163B6B"/>
    <w:rsid w:val="00166969"/>
    <w:rsid w:val="00167A82"/>
    <w:rsid w:val="00170117"/>
    <w:rsid w:val="001702F0"/>
    <w:rsid w:val="00171CC4"/>
    <w:rsid w:val="0018490A"/>
    <w:rsid w:val="001850D1"/>
    <w:rsid w:val="00190776"/>
    <w:rsid w:val="0019298F"/>
    <w:rsid w:val="00192C6E"/>
    <w:rsid w:val="00192CC8"/>
    <w:rsid w:val="001935D1"/>
    <w:rsid w:val="00193720"/>
    <w:rsid w:val="001938E2"/>
    <w:rsid w:val="00194B40"/>
    <w:rsid w:val="00195B5A"/>
    <w:rsid w:val="001962FF"/>
    <w:rsid w:val="001B302B"/>
    <w:rsid w:val="001D07D6"/>
    <w:rsid w:val="001D28DA"/>
    <w:rsid w:val="001D4FA4"/>
    <w:rsid w:val="001D6158"/>
    <w:rsid w:val="001E0E5C"/>
    <w:rsid w:val="001E2AAB"/>
    <w:rsid w:val="001F40DA"/>
    <w:rsid w:val="001F4BDD"/>
    <w:rsid w:val="001F4EBD"/>
    <w:rsid w:val="001F5AEB"/>
    <w:rsid w:val="00200305"/>
    <w:rsid w:val="0020067B"/>
    <w:rsid w:val="00205243"/>
    <w:rsid w:val="00205D0C"/>
    <w:rsid w:val="002067AC"/>
    <w:rsid w:val="00207B19"/>
    <w:rsid w:val="00213D64"/>
    <w:rsid w:val="00216C26"/>
    <w:rsid w:val="00227A7D"/>
    <w:rsid w:val="00232B97"/>
    <w:rsid w:val="00242FD3"/>
    <w:rsid w:val="002512D8"/>
    <w:rsid w:val="00251B7C"/>
    <w:rsid w:val="00252014"/>
    <w:rsid w:val="00253B79"/>
    <w:rsid w:val="00255E09"/>
    <w:rsid w:val="0026067E"/>
    <w:rsid w:val="00261180"/>
    <w:rsid w:val="00262B70"/>
    <w:rsid w:val="00266E3F"/>
    <w:rsid w:val="00273648"/>
    <w:rsid w:val="00273E67"/>
    <w:rsid w:val="00274379"/>
    <w:rsid w:val="0027450E"/>
    <w:rsid w:val="002745DE"/>
    <w:rsid w:val="00287E68"/>
    <w:rsid w:val="00291D2C"/>
    <w:rsid w:val="00294D9C"/>
    <w:rsid w:val="00296531"/>
    <w:rsid w:val="002A1981"/>
    <w:rsid w:val="002A4D83"/>
    <w:rsid w:val="002A522C"/>
    <w:rsid w:val="002A614C"/>
    <w:rsid w:val="002B3775"/>
    <w:rsid w:val="002B5E28"/>
    <w:rsid w:val="002B7F45"/>
    <w:rsid w:val="002C12ED"/>
    <w:rsid w:val="002C1DCB"/>
    <w:rsid w:val="002C3B37"/>
    <w:rsid w:val="002C3FDB"/>
    <w:rsid w:val="002C5749"/>
    <w:rsid w:val="002C74F9"/>
    <w:rsid w:val="002D474F"/>
    <w:rsid w:val="002D47C2"/>
    <w:rsid w:val="002D5EF1"/>
    <w:rsid w:val="002D7408"/>
    <w:rsid w:val="002D7A15"/>
    <w:rsid w:val="002E06D4"/>
    <w:rsid w:val="002E6058"/>
    <w:rsid w:val="002F15C5"/>
    <w:rsid w:val="002F3373"/>
    <w:rsid w:val="003000FA"/>
    <w:rsid w:val="00302EA6"/>
    <w:rsid w:val="003045BD"/>
    <w:rsid w:val="00310577"/>
    <w:rsid w:val="003168C1"/>
    <w:rsid w:val="00322636"/>
    <w:rsid w:val="003271A1"/>
    <w:rsid w:val="0033473A"/>
    <w:rsid w:val="00334F49"/>
    <w:rsid w:val="003376C2"/>
    <w:rsid w:val="00337FAE"/>
    <w:rsid w:val="00341CCF"/>
    <w:rsid w:val="00342F37"/>
    <w:rsid w:val="003436BD"/>
    <w:rsid w:val="0034686C"/>
    <w:rsid w:val="003505C9"/>
    <w:rsid w:val="00351721"/>
    <w:rsid w:val="003518D2"/>
    <w:rsid w:val="00351DD7"/>
    <w:rsid w:val="0035291C"/>
    <w:rsid w:val="00357097"/>
    <w:rsid w:val="00360BC4"/>
    <w:rsid w:val="00367BF2"/>
    <w:rsid w:val="0037172E"/>
    <w:rsid w:val="00375AF6"/>
    <w:rsid w:val="00386473"/>
    <w:rsid w:val="00386622"/>
    <w:rsid w:val="00393354"/>
    <w:rsid w:val="003946A4"/>
    <w:rsid w:val="003A2492"/>
    <w:rsid w:val="003A2A12"/>
    <w:rsid w:val="003A384B"/>
    <w:rsid w:val="003B73E3"/>
    <w:rsid w:val="003C0381"/>
    <w:rsid w:val="003C32F3"/>
    <w:rsid w:val="003C37A3"/>
    <w:rsid w:val="003C7AF6"/>
    <w:rsid w:val="003D7037"/>
    <w:rsid w:val="003D71A1"/>
    <w:rsid w:val="003D72B3"/>
    <w:rsid w:val="003D7DB6"/>
    <w:rsid w:val="003E0E39"/>
    <w:rsid w:val="003E15AD"/>
    <w:rsid w:val="003E24DE"/>
    <w:rsid w:val="003E3484"/>
    <w:rsid w:val="003E6C93"/>
    <w:rsid w:val="003E7AC6"/>
    <w:rsid w:val="003E7BF5"/>
    <w:rsid w:val="003F027B"/>
    <w:rsid w:val="003F1018"/>
    <w:rsid w:val="003F3017"/>
    <w:rsid w:val="003F4465"/>
    <w:rsid w:val="00401872"/>
    <w:rsid w:val="00402512"/>
    <w:rsid w:val="00403061"/>
    <w:rsid w:val="004112F6"/>
    <w:rsid w:val="00416537"/>
    <w:rsid w:val="004202E4"/>
    <w:rsid w:val="00420657"/>
    <w:rsid w:val="00421971"/>
    <w:rsid w:val="00422B62"/>
    <w:rsid w:val="00422FFD"/>
    <w:rsid w:val="004301C1"/>
    <w:rsid w:val="00442514"/>
    <w:rsid w:val="00442CD2"/>
    <w:rsid w:val="004453EB"/>
    <w:rsid w:val="00453DFA"/>
    <w:rsid w:val="00456605"/>
    <w:rsid w:val="00456B28"/>
    <w:rsid w:val="00460964"/>
    <w:rsid w:val="00463EBD"/>
    <w:rsid w:val="0046592A"/>
    <w:rsid w:val="004659AC"/>
    <w:rsid w:val="0047309F"/>
    <w:rsid w:val="004736E9"/>
    <w:rsid w:val="00476493"/>
    <w:rsid w:val="0048010A"/>
    <w:rsid w:val="00480DCE"/>
    <w:rsid w:val="00481573"/>
    <w:rsid w:val="0048370E"/>
    <w:rsid w:val="0048570C"/>
    <w:rsid w:val="00486B34"/>
    <w:rsid w:val="0049069F"/>
    <w:rsid w:val="004944DB"/>
    <w:rsid w:val="0049726E"/>
    <w:rsid w:val="004A48CE"/>
    <w:rsid w:val="004A6051"/>
    <w:rsid w:val="004A6B7E"/>
    <w:rsid w:val="004B005F"/>
    <w:rsid w:val="004B05C4"/>
    <w:rsid w:val="004B15F8"/>
    <w:rsid w:val="004B3900"/>
    <w:rsid w:val="004B4D3C"/>
    <w:rsid w:val="004B63FA"/>
    <w:rsid w:val="004C28BC"/>
    <w:rsid w:val="004C341F"/>
    <w:rsid w:val="004C4619"/>
    <w:rsid w:val="004D1B6D"/>
    <w:rsid w:val="004D545E"/>
    <w:rsid w:val="004D69B9"/>
    <w:rsid w:val="004E4800"/>
    <w:rsid w:val="004E67C6"/>
    <w:rsid w:val="004E73ED"/>
    <w:rsid w:val="004F06DF"/>
    <w:rsid w:val="004F0E5C"/>
    <w:rsid w:val="004F458F"/>
    <w:rsid w:val="004F7A4B"/>
    <w:rsid w:val="0050125D"/>
    <w:rsid w:val="00501EDE"/>
    <w:rsid w:val="00507614"/>
    <w:rsid w:val="00512CAA"/>
    <w:rsid w:val="005138FF"/>
    <w:rsid w:val="00516B2C"/>
    <w:rsid w:val="0052006B"/>
    <w:rsid w:val="00521773"/>
    <w:rsid w:val="00523240"/>
    <w:rsid w:val="00523920"/>
    <w:rsid w:val="0053147F"/>
    <w:rsid w:val="0053303B"/>
    <w:rsid w:val="00533362"/>
    <w:rsid w:val="0053412A"/>
    <w:rsid w:val="0053445C"/>
    <w:rsid w:val="00534C97"/>
    <w:rsid w:val="005350ED"/>
    <w:rsid w:val="005351A0"/>
    <w:rsid w:val="00535AFB"/>
    <w:rsid w:val="0054069F"/>
    <w:rsid w:val="00543962"/>
    <w:rsid w:val="00543EF0"/>
    <w:rsid w:val="0054482C"/>
    <w:rsid w:val="00550B6E"/>
    <w:rsid w:val="00554BCF"/>
    <w:rsid w:val="00563AB2"/>
    <w:rsid w:val="00563D57"/>
    <w:rsid w:val="005726D7"/>
    <w:rsid w:val="0057376B"/>
    <w:rsid w:val="0057664E"/>
    <w:rsid w:val="00577402"/>
    <w:rsid w:val="00577953"/>
    <w:rsid w:val="00580056"/>
    <w:rsid w:val="005810FF"/>
    <w:rsid w:val="0058232C"/>
    <w:rsid w:val="005837D7"/>
    <w:rsid w:val="00583852"/>
    <w:rsid w:val="00585B1C"/>
    <w:rsid w:val="0059390F"/>
    <w:rsid w:val="0059488D"/>
    <w:rsid w:val="005A06B8"/>
    <w:rsid w:val="005A0BFF"/>
    <w:rsid w:val="005A3128"/>
    <w:rsid w:val="005A4476"/>
    <w:rsid w:val="005A590A"/>
    <w:rsid w:val="005A7447"/>
    <w:rsid w:val="005B4EF8"/>
    <w:rsid w:val="005B7F26"/>
    <w:rsid w:val="005C0660"/>
    <w:rsid w:val="005C5B1D"/>
    <w:rsid w:val="005C6ED9"/>
    <w:rsid w:val="005C7A60"/>
    <w:rsid w:val="005D2045"/>
    <w:rsid w:val="005D5BF5"/>
    <w:rsid w:val="005D6220"/>
    <w:rsid w:val="005D6D79"/>
    <w:rsid w:val="005E3915"/>
    <w:rsid w:val="005E3DA5"/>
    <w:rsid w:val="005E4ABB"/>
    <w:rsid w:val="005E7C8B"/>
    <w:rsid w:val="005F2475"/>
    <w:rsid w:val="005F3E8A"/>
    <w:rsid w:val="005F4A22"/>
    <w:rsid w:val="005F4EF4"/>
    <w:rsid w:val="005F7E12"/>
    <w:rsid w:val="00601243"/>
    <w:rsid w:val="00601D3C"/>
    <w:rsid w:val="006023FA"/>
    <w:rsid w:val="006036B6"/>
    <w:rsid w:val="0060436A"/>
    <w:rsid w:val="006051C0"/>
    <w:rsid w:val="00607776"/>
    <w:rsid w:val="00615790"/>
    <w:rsid w:val="00616BA6"/>
    <w:rsid w:val="00621084"/>
    <w:rsid w:val="00625386"/>
    <w:rsid w:val="00630B3E"/>
    <w:rsid w:val="00632630"/>
    <w:rsid w:val="0063287F"/>
    <w:rsid w:val="00634846"/>
    <w:rsid w:val="00642F78"/>
    <w:rsid w:val="00643A83"/>
    <w:rsid w:val="00644382"/>
    <w:rsid w:val="00647A5D"/>
    <w:rsid w:val="00652641"/>
    <w:rsid w:val="00653171"/>
    <w:rsid w:val="006631FD"/>
    <w:rsid w:val="00665A5E"/>
    <w:rsid w:val="00673E53"/>
    <w:rsid w:val="00676E78"/>
    <w:rsid w:val="006806D1"/>
    <w:rsid w:val="0068212D"/>
    <w:rsid w:val="00682353"/>
    <w:rsid w:val="00684555"/>
    <w:rsid w:val="006865B5"/>
    <w:rsid w:val="00691BC3"/>
    <w:rsid w:val="0069392E"/>
    <w:rsid w:val="00693B66"/>
    <w:rsid w:val="006963EB"/>
    <w:rsid w:val="00696FAA"/>
    <w:rsid w:val="006A69E1"/>
    <w:rsid w:val="006B0E5A"/>
    <w:rsid w:val="006B13F2"/>
    <w:rsid w:val="006B4FB1"/>
    <w:rsid w:val="006C1654"/>
    <w:rsid w:val="006C6A40"/>
    <w:rsid w:val="006C7B8C"/>
    <w:rsid w:val="006D337D"/>
    <w:rsid w:val="006D4C81"/>
    <w:rsid w:val="006D687A"/>
    <w:rsid w:val="006E16AD"/>
    <w:rsid w:val="006E1D14"/>
    <w:rsid w:val="006E346F"/>
    <w:rsid w:val="006E434C"/>
    <w:rsid w:val="006E43F5"/>
    <w:rsid w:val="006E55AF"/>
    <w:rsid w:val="006F189D"/>
    <w:rsid w:val="006F20D6"/>
    <w:rsid w:val="006F2AE8"/>
    <w:rsid w:val="006F42C9"/>
    <w:rsid w:val="006F4967"/>
    <w:rsid w:val="007015A7"/>
    <w:rsid w:val="00702CAC"/>
    <w:rsid w:val="00704061"/>
    <w:rsid w:val="00707AF0"/>
    <w:rsid w:val="0071048C"/>
    <w:rsid w:val="00710DB0"/>
    <w:rsid w:val="0071256C"/>
    <w:rsid w:val="00720517"/>
    <w:rsid w:val="00720814"/>
    <w:rsid w:val="00726973"/>
    <w:rsid w:val="007275B4"/>
    <w:rsid w:val="00727686"/>
    <w:rsid w:val="00731027"/>
    <w:rsid w:val="00743CA6"/>
    <w:rsid w:val="00744065"/>
    <w:rsid w:val="007518FE"/>
    <w:rsid w:val="0076364F"/>
    <w:rsid w:val="0077413E"/>
    <w:rsid w:val="00776784"/>
    <w:rsid w:val="00783E5C"/>
    <w:rsid w:val="007855A7"/>
    <w:rsid w:val="00793A0E"/>
    <w:rsid w:val="00793FA7"/>
    <w:rsid w:val="00794CDC"/>
    <w:rsid w:val="00797C3B"/>
    <w:rsid w:val="007A05F6"/>
    <w:rsid w:val="007A069A"/>
    <w:rsid w:val="007A3AE4"/>
    <w:rsid w:val="007A51B5"/>
    <w:rsid w:val="007A65EB"/>
    <w:rsid w:val="007A7F89"/>
    <w:rsid w:val="007B09F9"/>
    <w:rsid w:val="007B59D1"/>
    <w:rsid w:val="007B5A31"/>
    <w:rsid w:val="007B5B7E"/>
    <w:rsid w:val="007B74F7"/>
    <w:rsid w:val="007C45C7"/>
    <w:rsid w:val="007D0A8E"/>
    <w:rsid w:val="007D315C"/>
    <w:rsid w:val="007D68CE"/>
    <w:rsid w:val="007E475B"/>
    <w:rsid w:val="007E64D4"/>
    <w:rsid w:val="007F1B6D"/>
    <w:rsid w:val="007F6352"/>
    <w:rsid w:val="007F68E4"/>
    <w:rsid w:val="00801380"/>
    <w:rsid w:val="0080470A"/>
    <w:rsid w:val="00810997"/>
    <w:rsid w:val="00811303"/>
    <w:rsid w:val="00812A5E"/>
    <w:rsid w:val="008130DD"/>
    <w:rsid w:val="00813C18"/>
    <w:rsid w:val="00814F19"/>
    <w:rsid w:val="008152B7"/>
    <w:rsid w:val="00821BB7"/>
    <w:rsid w:val="008228CD"/>
    <w:rsid w:val="00827ED4"/>
    <w:rsid w:val="00831625"/>
    <w:rsid w:val="00834006"/>
    <w:rsid w:val="008361EF"/>
    <w:rsid w:val="00842557"/>
    <w:rsid w:val="008429DC"/>
    <w:rsid w:val="00843778"/>
    <w:rsid w:val="008478E0"/>
    <w:rsid w:val="00854E6C"/>
    <w:rsid w:val="008567E0"/>
    <w:rsid w:val="00857D57"/>
    <w:rsid w:val="008614FE"/>
    <w:rsid w:val="00864A38"/>
    <w:rsid w:val="00867684"/>
    <w:rsid w:val="00870F2B"/>
    <w:rsid w:val="008715FB"/>
    <w:rsid w:val="00874B17"/>
    <w:rsid w:val="00874DCA"/>
    <w:rsid w:val="00877424"/>
    <w:rsid w:val="00890E7E"/>
    <w:rsid w:val="008916F0"/>
    <w:rsid w:val="00891DFE"/>
    <w:rsid w:val="00892B9E"/>
    <w:rsid w:val="00895D51"/>
    <w:rsid w:val="008A06EE"/>
    <w:rsid w:val="008A28EC"/>
    <w:rsid w:val="008B2C47"/>
    <w:rsid w:val="008C278E"/>
    <w:rsid w:val="008C3D7D"/>
    <w:rsid w:val="008C47C3"/>
    <w:rsid w:val="008D2297"/>
    <w:rsid w:val="008D38FE"/>
    <w:rsid w:val="008D3FCD"/>
    <w:rsid w:val="008D6CF1"/>
    <w:rsid w:val="008E58EF"/>
    <w:rsid w:val="008F05D3"/>
    <w:rsid w:val="008F11D2"/>
    <w:rsid w:val="008F4528"/>
    <w:rsid w:val="008F471B"/>
    <w:rsid w:val="008F5947"/>
    <w:rsid w:val="008F72C1"/>
    <w:rsid w:val="00900FB7"/>
    <w:rsid w:val="009040B4"/>
    <w:rsid w:val="00906CBB"/>
    <w:rsid w:val="0090787E"/>
    <w:rsid w:val="00910C19"/>
    <w:rsid w:val="00911E21"/>
    <w:rsid w:val="00915628"/>
    <w:rsid w:val="009160B1"/>
    <w:rsid w:val="00916206"/>
    <w:rsid w:val="0091767B"/>
    <w:rsid w:val="00920A4E"/>
    <w:rsid w:val="0092368C"/>
    <w:rsid w:val="0092379C"/>
    <w:rsid w:val="0093425C"/>
    <w:rsid w:val="00934977"/>
    <w:rsid w:val="00941960"/>
    <w:rsid w:val="009537D0"/>
    <w:rsid w:val="0095655C"/>
    <w:rsid w:val="009606AB"/>
    <w:rsid w:val="00961D8F"/>
    <w:rsid w:val="00962E4F"/>
    <w:rsid w:val="0096334C"/>
    <w:rsid w:val="00965CAF"/>
    <w:rsid w:val="00971A1F"/>
    <w:rsid w:val="00974886"/>
    <w:rsid w:val="00976844"/>
    <w:rsid w:val="00983F69"/>
    <w:rsid w:val="00985D40"/>
    <w:rsid w:val="0098614D"/>
    <w:rsid w:val="009979A1"/>
    <w:rsid w:val="009A2315"/>
    <w:rsid w:val="009A27EB"/>
    <w:rsid w:val="009A39DF"/>
    <w:rsid w:val="009A44C3"/>
    <w:rsid w:val="009A50F2"/>
    <w:rsid w:val="009A7140"/>
    <w:rsid w:val="009B571F"/>
    <w:rsid w:val="009C5F54"/>
    <w:rsid w:val="009C7640"/>
    <w:rsid w:val="009C7B1E"/>
    <w:rsid w:val="009D303C"/>
    <w:rsid w:val="009D6C12"/>
    <w:rsid w:val="009E014E"/>
    <w:rsid w:val="009E18D0"/>
    <w:rsid w:val="009E4220"/>
    <w:rsid w:val="009E569C"/>
    <w:rsid w:val="009F1AC8"/>
    <w:rsid w:val="009F63CA"/>
    <w:rsid w:val="009F68AF"/>
    <w:rsid w:val="00A02864"/>
    <w:rsid w:val="00A04721"/>
    <w:rsid w:val="00A05E85"/>
    <w:rsid w:val="00A0782E"/>
    <w:rsid w:val="00A11D6F"/>
    <w:rsid w:val="00A129B3"/>
    <w:rsid w:val="00A166A1"/>
    <w:rsid w:val="00A20B3F"/>
    <w:rsid w:val="00A21A90"/>
    <w:rsid w:val="00A24866"/>
    <w:rsid w:val="00A26DE3"/>
    <w:rsid w:val="00A274ED"/>
    <w:rsid w:val="00A31A3A"/>
    <w:rsid w:val="00A31D2E"/>
    <w:rsid w:val="00A36DF0"/>
    <w:rsid w:val="00A46914"/>
    <w:rsid w:val="00A50CD8"/>
    <w:rsid w:val="00A5116B"/>
    <w:rsid w:val="00A5433F"/>
    <w:rsid w:val="00A55A34"/>
    <w:rsid w:val="00A56D0B"/>
    <w:rsid w:val="00A5720F"/>
    <w:rsid w:val="00A5764B"/>
    <w:rsid w:val="00A57F29"/>
    <w:rsid w:val="00A64EFD"/>
    <w:rsid w:val="00A6592C"/>
    <w:rsid w:val="00A66D55"/>
    <w:rsid w:val="00A711BD"/>
    <w:rsid w:val="00A7326E"/>
    <w:rsid w:val="00A7479A"/>
    <w:rsid w:val="00A76AAC"/>
    <w:rsid w:val="00A82564"/>
    <w:rsid w:val="00A867B1"/>
    <w:rsid w:val="00A8730B"/>
    <w:rsid w:val="00A87B1A"/>
    <w:rsid w:val="00A910DC"/>
    <w:rsid w:val="00A91A13"/>
    <w:rsid w:val="00A91B01"/>
    <w:rsid w:val="00A923EF"/>
    <w:rsid w:val="00A92660"/>
    <w:rsid w:val="00A934BB"/>
    <w:rsid w:val="00A96898"/>
    <w:rsid w:val="00A96E53"/>
    <w:rsid w:val="00AA06B7"/>
    <w:rsid w:val="00AA1201"/>
    <w:rsid w:val="00AA21DA"/>
    <w:rsid w:val="00AA61DE"/>
    <w:rsid w:val="00AA719C"/>
    <w:rsid w:val="00AB14A5"/>
    <w:rsid w:val="00AB23F5"/>
    <w:rsid w:val="00AB40AF"/>
    <w:rsid w:val="00AB549D"/>
    <w:rsid w:val="00AC49A9"/>
    <w:rsid w:val="00AC5141"/>
    <w:rsid w:val="00AD1628"/>
    <w:rsid w:val="00AD3527"/>
    <w:rsid w:val="00AD43D1"/>
    <w:rsid w:val="00AD7AD3"/>
    <w:rsid w:val="00AD7E75"/>
    <w:rsid w:val="00AE3021"/>
    <w:rsid w:val="00AE4AE7"/>
    <w:rsid w:val="00AF0DBB"/>
    <w:rsid w:val="00AF7F6F"/>
    <w:rsid w:val="00B038D0"/>
    <w:rsid w:val="00B04561"/>
    <w:rsid w:val="00B04994"/>
    <w:rsid w:val="00B05E4B"/>
    <w:rsid w:val="00B12DCF"/>
    <w:rsid w:val="00B147DC"/>
    <w:rsid w:val="00B16421"/>
    <w:rsid w:val="00B21A2A"/>
    <w:rsid w:val="00B2318C"/>
    <w:rsid w:val="00B31EF6"/>
    <w:rsid w:val="00B34687"/>
    <w:rsid w:val="00B34F7E"/>
    <w:rsid w:val="00B40FE0"/>
    <w:rsid w:val="00B47E43"/>
    <w:rsid w:val="00B50566"/>
    <w:rsid w:val="00B514D3"/>
    <w:rsid w:val="00B526DE"/>
    <w:rsid w:val="00B552A5"/>
    <w:rsid w:val="00B62AC8"/>
    <w:rsid w:val="00B6309A"/>
    <w:rsid w:val="00B71B3C"/>
    <w:rsid w:val="00B72B5D"/>
    <w:rsid w:val="00B75B5C"/>
    <w:rsid w:val="00B8273D"/>
    <w:rsid w:val="00B861A5"/>
    <w:rsid w:val="00B87F52"/>
    <w:rsid w:val="00B91293"/>
    <w:rsid w:val="00B9225D"/>
    <w:rsid w:val="00B958AF"/>
    <w:rsid w:val="00BA2304"/>
    <w:rsid w:val="00BA5179"/>
    <w:rsid w:val="00BA7433"/>
    <w:rsid w:val="00BB6335"/>
    <w:rsid w:val="00BC51FC"/>
    <w:rsid w:val="00BE0768"/>
    <w:rsid w:val="00BE4090"/>
    <w:rsid w:val="00BF7557"/>
    <w:rsid w:val="00BF7E67"/>
    <w:rsid w:val="00C00D97"/>
    <w:rsid w:val="00C0255A"/>
    <w:rsid w:val="00C03ED5"/>
    <w:rsid w:val="00C0423A"/>
    <w:rsid w:val="00C04743"/>
    <w:rsid w:val="00C04C39"/>
    <w:rsid w:val="00C117AB"/>
    <w:rsid w:val="00C12459"/>
    <w:rsid w:val="00C1362F"/>
    <w:rsid w:val="00C16EC2"/>
    <w:rsid w:val="00C214B9"/>
    <w:rsid w:val="00C217B2"/>
    <w:rsid w:val="00C32FD5"/>
    <w:rsid w:val="00C46392"/>
    <w:rsid w:val="00C46A33"/>
    <w:rsid w:val="00C5129B"/>
    <w:rsid w:val="00C53E29"/>
    <w:rsid w:val="00C63075"/>
    <w:rsid w:val="00C63668"/>
    <w:rsid w:val="00C63965"/>
    <w:rsid w:val="00C657D5"/>
    <w:rsid w:val="00C67E19"/>
    <w:rsid w:val="00C7246E"/>
    <w:rsid w:val="00C83641"/>
    <w:rsid w:val="00C83B4F"/>
    <w:rsid w:val="00C83FF3"/>
    <w:rsid w:val="00C87E04"/>
    <w:rsid w:val="00C87E4D"/>
    <w:rsid w:val="00C90CEF"/>
    <w:rsid w:val="00C9107F"/>
    <w:rsid w:val="00C92B10"/>
    <w:rsid w:val="00C94D91"/>
    <w:rsid w:val="00C971C6"/>
    <w:rsid w:val="00CA15E4"/>
    <w:rsid w:val="00CA1AB6"/>
    <w:rsid w:val="00CA4762"/>
    <w:rsid w:val="00CA739D"/>
    <w:rsid w:val="00CA7A66"/>
    <w:rsid w:val="00CB16B5"/>
    <w:rsid w:val="00CB370B"/>
    <w:rsid w:val="00CB5475"/>
    <w:rsid w:val="00CC160D"/>
    <w:rsid w:val="00CC4016"/>
    <w:rsid w:val="00CC4081"/>
    <w:rsid w:val="00CC525B"/>
    <w:rsid w:val="00CC7C6E"/>
    <w:rsid w:val="00CD0118"/>
    <w:rsid w:val="00CD5002"/>
    <w:rsid w:val="00CD62CC"/>
    <w:rsid w:val="00CE359C"/>
    <w:rsid w:val="00CE4896"/>
    <w:rsid w:val="00CE4FE6"/>
    <w:rsid w:val="00CE5233"/>
    <w:rsid w:val="00CE5D61"/>
    <w:rsid w:val="00CE7736"/>
    <w:rsid w:val="00CF29B5"/>
    <w:rsid w:val="00CF3239"/>
    <w:rsid w:val="00CF4743"/>
    <w:rsid w:val="00CF55FF"/>
    <w:rsid w:val="00D01054"/>
    <w:rsid w:val="00D016A0"/>
    <w:rsid w:val="00D04111"/>
    <w:rsid w:val="00D06B51"/>
    <w:rsid w:val="00D07317"/>
    <w:rsid w:val="00D1211C"/>
    <w:rsid w:val="00D12AB9"/>
    <w:rsid w:val="00D15E3F"/>
    <w:rsid w:val="00D16364"/>
    <w:rsid w:val="00D2140B"/>
    <w:rsid w:val="00D21A23"/>
    <w:rsid w:val="00D22634"/>
    <w:rsid w:val="00D23516"/>
    <w:rsid w:val="00D246CD"/>
    <w:rsid w:val="00D3197F"/>
    <w:rsid w:val="00D32ED6"/>
    <w:rsid w:val="00D34D27"/>
    <w:rsid w:val="00D43326"/>
    <w:rsid w:val="00D43756"/>
    <w:rsid w:val="00D444EE"/>
    <w:rsid w:val="00D44601"/>
    <w:rsid w:val="00D47A7D"/>
    <w:rsid w:val="00D517AE"/>
    <w:rsid w:val="00D53B62"/>
    <w:rsid w:val="00D55B68"/>
    <w:rsid w:val="00D62913"/>
    <w:rsid w:val="00D65371"/>
    <w:rsid w:val="00D6576E"/>
    <w:rsid w:val="00D72990"/>
    <w:rsid w:val="00D76C64"/>
    <w:rsid w:val="00D772B0"/>
    <w:rsid w:val="00D82789"/>
    <w:rsid w:val="00D850DA"/>
    <w:rsid w:val="00D87348"/>
    <w:rsid w:val="00D8782E"/>
    <w:rsid w:val="00D90BC0"/>
    <w:rsid w:val="00D90F66"/>
    <w:rsid w:val="00D926AA"/>
    <w:rsid w:val="00D952B5"/>
    <w:rsid w:val="00D977E6"/>
    <w:rsid w:val="00DA2E3C"/>
    <w:rsid w:val="00DA407F"/>
    <w:rsid w:val="00DA49BD"/>
    <w:rsid w:val="00DB26C5"/>
    <w:rsid w:val="00DB3ED7"/>
    <w:rsid w:val="00DB4446"/>
    <w:rsid w:val="00DB646F"/>
    <w:rsid w:val="00DC1770"/>
    <w:rsid w:val="00DC2AF1"/>
    <w:rsid w:val="00DC320E"/>
    <w:rsid w:val="00DC6A09"/>
    <w:rsid w:val="00DC6AF3"/>
    <w:rsid w:val="00DD1D1F"/>
    <w:rsid w:val="00DD3CB5"/>
    <w:rsid w:val="00DD6D86"/>
    <w:rsid w:val="00DD76AD"/>
    <w:rsid w:val="00DE024B"/>
    <w:rsid w:val="00DE1BA1"/>
    <w:rsid w:val="00DE2AE9"/>
    <w:rsid w:val="00DE4A1C"/>
    <w:rsid w:val="00DE6557"/>
    <w:rsid w:val="00DF0C8A"/>
    <w:rsid w:val="00DF4F4F"/>
    <w:rsid w:val="00DF5FEB"/>
    <w:rsid w:val="00E02E67"/>
    <w:rsid w:val="00E03753"/>
    <w:rsid w:val="00E0417F"/>
    <w:rsid w:val="00E10373"/>
    <w:rsid w:val="00E1269C"/>
    <w:rsid w:val="00E13A27"/>
    <w:rsid w:val="00E15263"/>
    <w:rsid w:val="00E15AE7"/>
    <w:rsid w:val="00E20D63"/>
    <w:rsid w:val="00E210A1"/>
    <w:rsid w:val="00E226F9"/>
    <w:rsid w:val="00E231E5"/>
    <w:rsid w:val="00E30238"/>
    <w:rsid w:val="00E32250"/>
    <w:rsid w:val="00E3512B"/>
    <w:rsid w:val="00E4329C"/>
    <w:rsid w:val="00E455E7"/>
    <w:rsid w:val="00E47247"/>
    <w:rsid w:val="00E50D0A"/>
    <w:rsid w:val="00E56096"/>
    <w:rsid w:val="00E57DF1"/>
    <w:rsid w:val="00E60C0F"/>
    <w:rsid w:val="00E60F84"/>
    <w:rsid w:val="00E64DF8"/>
    <w:rsid w:val="00E6664D"/>
    <w:rsid w:val="00E72046"/>
    <w:rsid w:val="00E842E7"/>
    <w:rsid w:val="00E873F4"/>
    <w:rsid w:val="00E87E88"/>
    <w:rsid w:val="00E90EC7"/>
    <w:rsid w:val="00E90FA6"/>
    <w:rsid w:val="00E92A4C"/>
    <w:rsid w:val="00E95FD3"/>
    <w:rsid w:val="00EB3CD8"/>
    <w:rsid w:val="00EB480C"/>
    <w:rsid w:val="00EB63C1"/>
    <w:rsid w:val="00EB7F72"/>
    <w:rsid w:val="00EC1A00"/>
    <w:rsid w:val="00EC2147"/>
    <w:rsid w:val="00EC3B68"/>
    <w:rsid w:val="00EC5AEF"/>
    <w:rsid w:val="00ED0C77"/>
    <w:rsid w:val="00ED1662"/>
    <w:rsid w:val="00ED3241"/>
    <w:rsid w:val="00ED5769"/>
    <w:rsid w:val="00EE4124"/>
    <w:rsid w:val="00EF4CA6"/>
    <w:rsid w:val="00F01803"/>
    <w:rsid w:val="00F07390"/>
    <w:rsid w:val="00F07C65"/>
    <w:rsid w:val="00F12100"/>
    <w:rsid w:val="00F14E9B"/>
    <w:rsid w:val="00F169EC"/>
    <w:rsid w:val="00F20A76"/>
    <w:rsid w:val="00F233EA"/>
    <w:rsid w:val="00F312C6"/>
    <w:rsid w:val="00F32A01"/>
    <w:rsid w:val="00F34A7E"/>
    <w:rsid w:val="00F42998"/>
    <w:rsid w:val="00F44DB2"/>
    <w:rsid w:val="00F4663B"/>
    <w:rsid w:val="00F50D4C"/>
    <w:rsid w:val="00F512B9"/>
    <w:rsid w:val="00F53F84"/>
    <w:rsid w:val="00F56215"/>
    <w:rsid w:val="00F604E6"/>
    <w:rsid w:val="00F62CF8"/>
    <w:rsid w:val="00F63A09"/>
    <w:rsid w:val="00F666F7"/>
    <w:rsid w:val="00F678CB"/>
    <w:rsid w:val="00F72635"/>
    <w:rsid w:val="00F75562"/>
    <w:rsid w:val="00F779C8"/>
    <w:rsid w:val="00F80475"/>
    <w:rsid w:val="00F8155D"/>
    <w:rsid w:val="00F840FE"/>
    <w:rsid w:val="00F90019"/>
    <w:rsid w:val="00F91575"/>
    <w:rsid w:val="00F9273F"/>
    <w:rsid w:val="00FA1FB8"/>
    <w:rsid w:val="00FA6A94"/>
    <w:rsid w:val="00FA6FD7"/>
    <w:rsid w:val="00FA7269"/>
    <w:rsid w:val="00FB59DA"/>
    <w:rsid w:val="00FB5F4E"/>
    <w:rsid w:val="00FC013D"/>
    <w:rsid w:val="00FC14F2"/>
    <w:rsid w:val="00FC4A77"/>
    <w:rsid w:val="00FC6BEB"/>
    <w:rsid w:val="00FD0D6A"/>
    <w:rsid w:val="00FD11B5"/>
    <w:rsid w:val="00FD1C6E"/>
    <w:rsid w:val="00FE0BCC"/>
    <w:rsid w:val="00FE0E24"/>
    <w:rsid w:val="00FE2D29"/>
    <w:rsid w:val="00FE2DFF"/>
    <w:rsid w:val="00FE5713"/>
    <w:rsid w:val="00FE7A6A"/>
    <w:rsid w:val="00FE7BD0"/>
    <w:rsid w:val="00FF29FB"/>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FC23"/>
  <w15:docId w15:val="{7289CBA8-B4A2-4406-9FF7-73E83D52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ttes">
    <w:name w:val="annette's"/>
    <w:basedOn w:val="Normal"/>
    <w:qFormat/>
    <w:rsid w:val="00A96E53"/>
    <w:pPr>
      <w:spacing w:line="360" w:lineRule="auto"/>
      <w:jc w:val="both"/>
    </w:pPr>
    <w:rPr>
      <w:rFonts w:ascii="Times New Roman" w:hAnsi="Times New Roman"/>
      <w:sz w:val="24"/>
    </w:rPr>
  </w:style>
  <w:style w:type="paragraph" w:styleId="ListParagraph">
    <w:name w:val="List Paragraph"/>
    <w:basedOn w:val="Normal"/>
    <w:uiPriority w:val="34"/>
    <w:qFormat/>
    <w:rsid w:val="00E13A27"/>
    <w:pPr>
      <w:spacing w:after="0" w:line="480" w:lineRule="auto"/>
      <w:ind w:left="720"/>
      <w:contextualSpacing/>
    </w:pPr>
  </w:style>
  <w:style w:type="paragraph" w:styleId="FootnoteText">
    <w:name w:val="footnote text"/>
    <w:basedOn w:val="Normal"/>
    <w:link w:val="FootnoteTextChar"/>
    <w:uiPriority w:val="99"/>
    <w:unhideWhenUsed/>
    <w:rsid w:val="00F75562"/>
    <w:pPr>
      <w:spacing w:after="0" w:line="240" w:lineRule="auto"/>
    </w:pPr>
    <w:rPr>
      <w:sz w:val="20"/>
      <w:szCs w:val="20"/>
    </w:rPr>
  </w:style>
  <w:style w:type="character" w:customStyle="1" w:styleId="FootnoteTextChar">
    <w:name w:val="Footnote Text Char"/>
    <w:basedOn w:val="DefaultParagraphFont"/>
    <w:link w:val="FootnoteText"/>
    <w:uiPriority w:val="99"/>
    <w:rsid w:val="00F75562"/>
    <w:rPr>
      <w:sz w:val="20"/>
      <w:szCs w:val="20"/>
    </w:rPr>
  </w:style>
  <w:style w:type="character" w:styleId="FootnoteReference">
    <w:name w:val="footnote reference"/>
    <w:basedOn w:val="DefaultParagraphFont"/>
    <w:uiPriority w:val="99"/>
    <w:unhideWhenUsed/>
    <w:rsid w:val="00F75562"/>
    <w:rPr>
      <w:vertAlign w:val="superscript"/>
    </w:rPr>
  </w:style>
  <w:style w:type="table" w:styleId="TableGrid">
    <w:name w:val="Table Grid"/>
    <w:basedOn w:val="TableNormal"/>
    <w:uiPriority w:val="59"/>
    <w:rsid w:val="00FA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A1C"/>
  </w:style>
  <w:style w:type="paragraph" w:styleId="Footer">
    <w:name w:val="footer"/>
    <w:basedOn w:val="Normal"/>
    <w:link w:val="FooterChar"/>
    <w:uiPriority w:val="99"/>
    <w:unhideWhenUsed/>
    <w:rsid w:val="00DE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A1C"/>
  </w:style>
  <w:style w:type="paragraph" w:styleId="BalloonText">
    <w:name w:val="Balloon Text"/>
    <w:basedOn w:val="Normal"/>
    <w:link w:val="BalloonTextChar"/>
    <w:uiPriority w:val="99"/>
    <w:semiHidden/>
    <w:unhideWhenUsed/>
    <w:rsid w:val="0085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57"/>
    <w:rPr>
      <w:rFonts w:ascii="Tahoma" w:hAnsi="Tahoma" w:cs="Tahoma"/>
      <w:sz w:val="16"/>
      <w:szCs w:val="16"/>
    </w:rPr>
  </w:style>
  <w:style w:type="character" w:styleId="Hyperlink">
    <w:name w:val="Hyperlink"/>
    <w:basedOn w:val="DefaultParagraphFont"/>
    <w:uiPriority w:val="99"/>
    <w:unhideWhenUsed/>
    <w:rsid w:val="00DA407F"/>
    <w:rPr>
      <w:color w:val="0000FF" w:themeColor="hyperlink"/>
      <w:u w:val="single"/>
    </w:rPr>
  </w:style>
  <w:style w:type="character" w:styleId="CommentReference">
    <w:name w:val="annotation reference"/>
    <w:basedOn w:val="DefaultParagraphFont"/>
    <w:uiPriority w:val="99"/>
    <w:semiHidden/>
    <w:unhideWhenUsed/>
    <w:rsid w:val="009B571F"/>
    <w:rPr>
      <w:sz w:val="16"/>
      <w:szCs w:val="16"/>
    </w:rPr>
  </w:style>
  <w:style w:type="paragraph" w:styleId="CommentText">
    <w:name w:val="annotation text"/>
    <w:basedOn w:val="Normal"/>
    <w:link w:val="CommentTextChar"/>
    <w:uiPriority w:val="99"/>
    <w:semiHidden/>
    <w:unhideWhenUsed/>
    <w:rsid w:val="009B571F"/>
    <w:pPr>
      <w:spacing w:line="240" w:lineRule="auto"/>
    </w:pPr>
    <w:rPr>
      <w:sz w:val="20"/>
      <w:szCs w:val="20"/>
    </w:rPr>
  </w:style>
  <w:style w:type="character" w:customStyle="1" w:styleId="CommentTextChar">
    <w:name w:val="Comment Text Char"/>
    <w:basedOn w:val="DefaultParagraphFont"/>
    <w:link w:val="CommentText"/>
    <w:uiPriority w:val="99"/>
    <w:semiHidden/>
    <w:rsid w:val="009B571F"/>
    <w:rPr>
      <w:sz w:val="20"/>
      <w:szCs w:val="20"/>
    </w:rPr>
  </w:style>
  <w:style w:type="paragraph" w:styleId="CommentSubject">
    <w:name w:val="annotation subject"/>
    <w:basedOn w:val="CommentText"/>
    <w:next w:val="CommentText"/>
    <w:link w:val="CommentSubjectChar"/>
    <w:uiPriority w:val="99"/>
    <w:semiHidden/>
    <w:unhideWhenUsed/>
    <w:rsid w:val="009B571F"/>
    <w:rPr>
      <w:b/>
      <w:bCs/>
    </w:rPr>
  </w:style>
  <w:style w:type="character" w:customStyle="1" w:styleId="CommentSubjectChar">
    <w:name w:val="Comment Subject Char"/>
    <w:basedOn w:val="CommentTextChar"/>
    <w:link w:val="CommentSubject"/>
    <w:uiPriority w:val="99"/>
    <w:semiHidden/>
    <w:rsid w:val="009B571F"/>
    <w:rPr>
      <w:b/>
      <w:bCs/>
      <w:sz w:val="20"/>
      <w:szCs w:val="20"/>
    </w:rPr>
  </w:style>
  <w:style w:type="paragraph" w:styleId="EndnoteText">
    <w:name w:val="endnote text"/>
    <w:basedOn w:val="Normal"/>
    <w:link w:val="EndnoteTextChar"/>
    <w:uiPriority w:val="99"/>
    <w:semiHidden/>
    <w:unhideWhenUsed/>
    <w:rsid w:val="00906C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6CBB"/>
    <w:rPr>
      <w:sz w:val="20"/>
      <w:szCs w:val="20"/>
    </w:rPr>
  </w:style>
  <w:style w:type="character" w:styleId="EndnoteReference">
    <w:name w:val="endnote reference"/>
    <w:basedOn w:val="DefaultParagraphFont"/>
    <w:uiPriority w:val="99"/>
    <w:semiHidden/>
    <w:unhideWhenUsed/>
    <w:rsid w:val="00906CBB"/>
    <w:rPr>
      <w:vertAlign w:val="superscript"/>
    </w:rPr>
  </w:style>
  <w:style w:type="character" w:customStyle="1" w:styleId="label1">
    <w:name w:val="label1"/>
    <w:basedOn w:val="DefaultParagraphFont"/>
    <w:rsid w:val="006B4FB1"/>
    <w:rPr>
      <w:sz w:val="20"/>
      <w:szCs w:val="20"/>
    </w:rPr>
  </w:style>
  <w:style w:type="paragraph" w:customStyle="1" w:styleId="bullet4level1">
    <w:name w:val="bullet4 level1"/>
    <w:basedOn w:val="Normal"/>
    <w:rsid w:val="00192C6E"/>
    <w:pPr>
      <w:numPr>
        <w:numId w:val="9"/>
      </w:numPr>
      <w:tabs>
        <w:tab w:val="left" w:pos="3060"/>
      </w:tabs>
      <w:spacing w:after="120" w:line="260" w:lineRule="exact"/>
    </w:pPr>
    <w:rPr>
      <w:rFonts w:ascii="Arial" w:eastAsia="Times New Roman" w:hAnsi="Arial" w:cs="Times New Roman"/>
      <w:color w:val="1F497D" w:themeColor="text2"/>
      <w:sz w:val="21"/>
      <w:szCs w:val="24"/>
    </w:rPr>
  </w:style>
  <w:style w:type="paragraph" w:customStyle="1" w:styleId="m-8885962025766907527msolistparagraph">
    <w:name w:val="m_-8885962025766907527msolistparagraph"/>
    <w:basedOn w:val="Normal"/>
    <w:rsid w:val="00190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90776"/>
  </w:style>
  <w:style w:type="character" w:customStyle="1" w:styleId="UnresolvedMention1">
    <w:name w:val="Unresolved Mention1"/>
    <w:basedOn w:val="DefaultParagraphFont"/>
    <w:uiPriority w:val="99"/>
    <w:semiHidden/>
    <w:unhideWhenUsed/>
    <w:rsid w:val="00476493"/>
    <w:rPr>
      <w:color w:val="605E5C"/>
      <w:shd w:val="clear" w:color="auto" w:fill="E1DFDD"/>
    </w:rPr>
  </w:style>
  <w:style w:type="character" w:styleId="FollowedHyperlink">
    <w:name w:val="FollowedHyperlink"/>
    <w:basedOn w:val="DefaultParagraphFont"/>
    <w:uiPriority w:val="99"/>
    <w:semiHidden/>
    <w:unhideWhenUsed/>
    <w:rsid w:val="00D44601"/>
    <w:rPr>
      <w:color w:val="800080" w:themeColor="followedHyperlink"/>
      <w:u w:val="single"/>
    </w:rPr>
  </w:style>
  <w:style w:type="character" w:customStyle="1" w:styleId="UnresolvedMention2">
    <w:name w:val="Unresolved Mention2"/>
    <w:basedOn w:val="DefaultParagraphFont"/>
    <w:uiPriority w:val="99"/>
    <w:semiHidden/>
    <w:unhideWhenUsed/>
    <w:rsid w:val="00FE2DFF"/>
    <w:rPr>
      <w:color w:val="808080"/>
      <w:shd w:val="clear" w:color="auto" w:fill="E6E6E6"/>
    </w:rPr>
  </w:style>
  <w:style w:type="paragraph" w:styleId="Revision">
    <w:name w:val="Revision"/>
    <w:hidden/>
    <w:uiPriority w:val="99"/>
    <w:semiHidden/>
    <w:rsid w:val="00FE2D29"/>
    <w:pPr>
      <w:spacing w:after="0" w:line="240" w:lineRule="auto"/>
    </w:pPr>
  </w:style>
  <w:style w:type="paragraph" w:customStyle="1" w:styleId="Default">
    <w:name w:val="Default"/>
    <w:rsid w:val="00337FAE"/>
    <w:pPr>
      <w:autoSpaceDE w:val="0"/>
      <w:autoSpaceDN w:val="0"/>
      <w:adjustRightInd w:val="0"/>
      <w:spacing w:after="0" w:line="240" w:lineRule="auto"/>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C32FD5"/>
    <w:rPr>
      <w:color w:val="605E5C"/>
      <w:shd w:val="clear" w:color="auto" w:fill="E1DFDD"/>
    </w:rPr>
  </w:style>
  <w:style w:type="paragraph" w:customStyle="1" w:styleId="m-5891451319331576464msocommenttext">
    <w:name w:val="m_-5891451319331576464msocommenttext"/>
    <w:basedOn w:val="Normal"/>
    <w:rsid w:val="0065264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A52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301">
      <w:bodyDiv w:val="1"/>
      <w:marLeft w:val="75"/>
      <w:marRight w:val="75"/>
      <w:marTop w:val="0"/>
      <w:marBottom w:val="0"/>
      <w:divBdr>
        <w:top w:val="none" w:sz="0" w:space="0" w:color="auto"/>
        <w:left w:val="none" w:sz="0" w:space="0" w:color="auto"/>
        <w:bottom w:val="none" w:sz="0" w:space="0" w:color="auto"/>
        <w:right w:val="none" w:sz="0" w:space="0" w:color="auto"/>
      </w:divBdr>
    </w:div>
    <w:div w:id="105973432">
      <w:bodyDiv w:val="1"/>
      <w:marLeft w:val="0"/>
      <w:marRight w:val="0"/>
      <w:marTop w:val="0"/>
      <w:marBottom w:val="0"/>
      <w:divBdr>
        <w:top w:val="none" w:sz="0" w:space="0" w:color="auto"/>
        <w:left w:val="none" w:sz="0" w:space="0" w:color="auto"/>
        <w:bottom w:val="none" w:sz="0" w:space="0" w:color="auto"/>
        <w:right w:val="none" w:sz="0" w:space="0" w:color="auto"/>
      </w:divBdr>
    </w:div>
    <w:div w:id="312609157">
      <w:bodyDiv w:val="1"/>
      <w:marLeft w:val="0"/>
      <w:marRight w:val="0"/>
      <w:marTop w:val="0"/>
      <w:marBottom w:val="0"/>
      <w:divBdr>
        <w:top w:val="none" w:sz="0" w:space="0" w:color="auto"/>
        <w:left w:val="none" w:sz="0" w:space="0" w:color="auto"/>
        <w:bottom w:val="none" w:sz="0" w:space="0" w:color="auto"/>
        <w:right w:val="none" w:sz="0" w:space="0" w:color="auto"/>
      </w:divBdr>
    </w:div>
    <w:div w:id="717900606">
      <w:bodyDiv w:val="1"/>
      <w:marLeft w:val="0"/>
      <w:marRight w:val="0"/>
      <w:marTop w:val="0"/>
      <w:marBottom w:val="0"/>
      <w:divBdr>
        <w:top w:val="none" w:sz="0" w:space="0" w:color="auto"/>
        <w:left w:val="none" w:sz="0" w:space="0" w:color="auto"/>
        <w:bottom w:val="none" w:sz="0" w:space="0" w:color="auto"/>
        <w:right w:val="none" w:sz="0" w:space="0" w:color="auto"/>
      </w:divBdr>
    </w:div>
    <w:div w:id="976453460">
      <w:bodyDiv w:val="1"/>
      <w:marLeft w:val="0"/>
      <w:marRight w:val="0"/>
      <w:marTop w:val="0"/>
      <w:marBottom w:val="0"/>
      <w:divBdr>
        <w:top w:val="none" w:sz="0" w:space="0" w:color="auto"/>
        <w:left w:val="none" w:sz="0" w:space="0" w:color="auto"/>
        <w:bottom w:val="none" w:sz="0" w:space="0" w:color="auto"/>
        <w:right w:val="none" w:sz="0" w:space="0" w:color="auto"/>
      </w:divBdr>
    </w:div>
    <w:div w:id="1166167299">
      <w:bodyDiv w:val="1"/>
      <w:marLeft w:val="0"/>
      <w:marRight w:val="0"/>
      <w:marTop w:val="0"/>
      <w:marBottom w:val="0"/>
      <w:divBdr>
        <w:top w:val="none" w:sz="0" w:space="0" w:color="auto"/>
        <w:left w:val="none" w:sz="0" w:space="0" w:color="auto"/>
        <w:bottom w:val="none" w:sz="0" w:space="0" w:color="auto"/>
        <w:right w:val="none" w:sz="0" w:space="0" w:color="auto"/>
      </w:divBdr>
    </w:div>
    <w:div w:id="126723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competitivepow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52C2-C673-41AC-BC8C-CBB12556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dc:creator>
  <cp:lastModifiedBy>Michele Gregg</cp:lastModifiedBy>
  <cp:revision>2</cp:revision>
  <cp:lastPrinted>2018-11-02T13:05:00Z</cp:lastPrinted>
  <dcterms:created xsi:type="dcterms:W3CDTF">2018-11-13T19:57:00Z</dcterms:created>
  <dcterms:modified xsi:type="dcterms:W3CDTF">2018-11-13T19:57:00Z</dcterms:modified>
</cp:coreProperties>
</file>