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48</w:t>
      </w:r>
      <w:r w:rsidR="001145CD">
        <w:rPr>
          <w:rFonts w:ascii="Times New Roman" w:hAnsi="Times New Roman" w:cs="Times New Roman"/>
          <w:b/>
          <w:caps/>
          <w:sz w:val="24"/>
          <w:szCs w:val="24"/>
        </w:rPr>
        <w:t>721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359"/>
        <w:gridCol w:w="4412"/>
      </w:tblGrid>
      <w:tr w:rsidR="00FA7269" w:rsidRPr="009537D0" w:rsidTr="008B2C47">
        <w:tc>
          <w:tcPr>
            <w:tcW w:w="4698" w:type="dxa"/>
          </w:tcPr>
          <w:p w:rsidR="00FA7269" w:rsidRPr="00192C6E" w:rsidRDefault="004E4800" w:rsidP="00DE1BA1">
            <w:pPr>
              <w:rPr>
                <w:rFonts w:ascii="Times New Roman" w:hAnsi="Times New Roman" w:cs="Times New Roman"/>
                <w:b/>
                <w:caps/>
                <w:sz w:val="24"/>
                <w:szCs w:val="24"/>
              </w:rPr>
            </w:pPr>
            <w:r>
              <w:rPr>
                <w:rFonts w:ascii="Times New Roman" w:hAnsi="Times New Roman" w:cs="Times New Roman"/>
                <w:b/>
                <w:color w:val="333333"/>
                <w:sz w:val="24"/>
                <w:szCs w:val="24"/>
                <w:lang w:val="en"/>
              </w:rPr>
              <w:t xml:space="preserve">RULEMAKING </w:t>
            </w:r>
            <w:r w:rsidR="006E63DA">
              <w:rPr>
                <w:rFonts w:ascii="Times New Roman" w:hAnsi="Times New Roman" w:cs="Times New Roman"/>
                <w:b/>
                <w:color w:val="333333"/>
                <w:sz w:val="24"/>
                <w:szCs w:val="24"/>
                <w:lang w:val="en"/>
              </w:rPr>
              <w:t>PROCEEDING TO AMEND 16 TAC §25.505,</w:t>
            </w:r>
            <w:r>
              <w:rPr>
                <w:rFonts w:ascii="Times New Roman" w:hAnsi="Times New Roman" w:cs="Times New Roman"/>
                <w:b/>
                <w:color w:val="333333"/>
                <w:sz w:val="24"/>
                <w:szCs w:val="24"/>
                <w:lang w:val="en"/>
              </w:rPr>
              <w:t xml:space="preserve"> </w:t>
            </w:r>
            <w:r w:rsidR="006E63DA">
              <w:rPr>
                <w:rFonts w:ascii="Times New Roman" w:hAnsi="Times New Roman" w:cs="Times New Roman"/>
                <w:b/>
                <w:color w:val="333333"/>
                <w:sz w:val="24"/>
                <w:szCs w:val="24"/>
                <w:lang w:val="en"/>
              </w:rPr>
              <w:t>RELATING TO RESOURCE ADEQUACY IN THE ELECTRIC RELIABILITY COUNCIL OF TEXAS POWER REGION</w:t>
            </w:r>
          </w:p>
        </w:tc>
        <w:tc>
          <w:tcPr>
            <w:tcW w:w="360" w:type="dxa"/>
          </w:tcPr>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5350ED" w:rsidRDefault="00B552A5" w:rsidP="007F68E4">
            <w:pPr>
              <w:rPr>
                <w:rFonts w:ascii="Times New Roman" w:hAnsi="Times New Roman" w:cs="Times New Roman"/>
                <w:b/>
                <w:caps/>
                <w:sz w:val="24"/>
                <w:szCs w:val="24"/>
              </w:rPr>
            </w:pPr>
          </w:p>
        </w:tc>
        <w:tc>
          <w:tcPr>
            <w:tcW w:w="4518" w:type="dxa"/>
          </w:tcPr>
          <w:p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rsidR="006E55AF" w:rsidRPr="00D6576E" w:rsidRDefault="006E55AF" w:rsidP="00FA7269">
      <w:pPr>
        <w:spacing w:after="0" w:line="240" w:lineRule="auto"/>
        <w:jc w:val="center"/>
        <w:rPr>
          <w:rFonts w:ascii="Times New Roman" w:hAnsi="Times New Roman" w:cs="Times New Roman"/>
          <w:b/>
          <w:sz w:val="24"/>
          <w:szCs w:val="24"/>
        </w:rPr>
      </w:pPr>
    </w:p>
    <w:p w:rsidR="00BA2304" w:rsidRPr="00D6576E" w:rsidRDefault="00BA2304" w:rsidP="00FA7269">
      <w:pPr>
        <w:spacing w:after="0" w:line="240" w:lineRule="auto"/>
        <w:jc w:val="center"/>
        <w:rPr>
          <w:rFonts w:ascii="Times New Roman" w:hAnsi="Times New Roman" w:cs="Times New Roman"/>
          <w:b/>
          <w:sz w:val="24"/>
          <w:szCs w:val="24"/>
        </w:rPr>
      </w:pPr>
    </w:p>
    <w:p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TEXAS COMPETITIVE POWER ADVOCATES (TCPA)</w:t>
      </w:r>
      <w:r w:rsidR="001D0FB6">
        <w:rPr>
          <w:rFonts w:ascii="Times New Roman" w:hAnsi="Times New Roman" w:cs="Times New Roman"/>
          <w:b/>
          <w:sz w:val="24"/>
          <w:szCs w:val="24"/>
        </w:rPr>
        <w:t xml:space="preserve"> REPLY</w:t>
      </w:r>
      <w:r>
        <w:rPr>
          <w:rFonts w:ascii="Times New Roman" w:hAnsi="Times New Roman" w:cs="Times New Roman"/>
          <w:b/>
          <w:sz w:val="24"/>
          <w:szCs w:val="24"/>
        </w:rPr>
        <w:t xml:space="preserve"> </w:t>
      </w:r>
      <w:r w:rsidR="006E63DA">
        <w:rPr>
          <w:rFonts w:ascii="Times New Roman" w:hAnsi="Times New Roman" w:cs="Times New Roman"/>
          <w:b/>
          <w:sz w:val="24"/>
          <w:szCs w:val="24"/>
        </w:rPr>
        <w:t>COMMENTS ON THE PROPOSAL FOR PUBLICATION</w:t>
      </w:r>
    </w:p>
    <w:p w:rsidR="005D6220" w:rsidRPr="0048370E" w:rsidRDefault="005D6220" w:rsidP="00FA7269">
      <w:pPr>
        <w:spacing w:after="0" w:line="240" w:lineRule="auto"/>
        <w:jc w:val="center"/>
        <w:rPr>
          <w:rFonts w:ascii="Times New Roman" w:hAnsi="Times New Roman" w:cs="Times New Roman"/>
          <w:b/>
          <w:sz w:val="24"/>
          <w:szCs w:val="24"/>
        </w:rPr>
      </w:pPr>
    </w:p>
    <w:p w:rsidR="009537D0" w:rsidRPr="0048370E" w:rsidRDefault="009537D0" w:rsidP="00FA7269">
      <w:pPr>
        <w:spacing w:after="0" w:line="240" w:lineRule="auto"/>
        <w:jc w:val="center"/>
        <w:rPr>
          <w:rFonts w:ascii="Times New Roman" w:hAnsi="Times New Roman" w:cs="Times New Roman"/>
          <w:b/>
          <w:sz w:val="24"/>
          <w:szCs w:val="24"/>
        </w:rPr>
      </w:pPr>
    </w:p>
    <w:p w:rsidR="00E50E7E" w:rsidRDefault="00042EF0" w:rsidP="004F07B0">
      <w:pPr>
        <w:spacing w:line="360" w:lineRule="auto"/>
        <w:ind w:firstLine="720"/>
        <w:jc w:val="both"/>
        <w:rPr>
          <w:rFonts w:ascii="Times New Roman" w:hAnsi="Times New Roman" w:cs="Times New Roman"/>
          <w:sz w:val="24"/>
          <w:szCs w:val="24"/>
        </w:rPr>
      </w:pPr>
      <w:r w:rsidRPr="00042EF0">
        <w:rPr>
          <w:rFonts w:ascii="Times New Roman" w:hAnsi="Times New Roman" w:cs="Times New Roman"/>
          <w:sz w:val="24"/>
          <w:szCs w:val="24"/>
        </w:rPr>
        <w:t xml:space="preserve">Texas Competitive Power Advocates (TCPA) is a trade association representing power generation companies, wholesale power marketers, and retail electric providers with investments in Texas and the Electric Reliability Council of Texas (ERCOT) wholesale electric market. </w:t>
      </w:r>
      <w:r>
        <w:rPr>
          <w:rFonts w:ascii="Times New Roman" w:hAnsi="Times New Roman" w:cs="Times New Roman"/>
          <w:sz w:val="24"/>
          <w:szCs w:val="24"/>
        </w:rPr>
        <w:t>TCPA members and their affiliates provide a wide range of important market functions and services in ERCOT, including the development, operation, and management of power generation assets, the scheduling and marketing of power, the provision of energy management services</w:t>
      </w:r>
      <w:r w:rsidR="007C0C14">
        <w:rPr>
          <w:rFonts w:ascii="Times New Roman" w:hAnsi="Times New Roman" w:cs="Times New Roman"/>
          <w:sz w:val="24"/>
          <w:szCs w:val="24"/>
        </w:rPr>
        <w:t>,</w:t>
      </w:r>
      <w:r>
        <w:rPr>
          <w:rFonts w:ascii="Times New Roman" w:hAnsi="Times New Roman" w:cs="Times New Roman"/>
          <w:sz w:val="24"/>
          <w:szCs w:val="24"/>
        </w:rPr>
        <w:t xml:space="preserve"> and the sales of competitive electric service to consumers. TCPA members provide </w:t>
      </w:r>
      <w:r w:rsidR="006E63DA">
        <w:rPr>
          <w:rFonts w:ascii="Times New Roman" w:hAnsi="Times New Roman" w:cs="Times New Roman"/>
          <w:sz w:val="24"/>
          <w:szCs w:val="24"/>
        </w:rPr>
        <w:t>approximately</w:t>
      </w:r>
      <w:r>
        <w:rPr>
          <w:rFonts w:ascii="Times New Roman" w:hAnsi="Times New Roman" w:cs="Times New Roman"/>
          <w:sz w:val="24"/>
          <w:szCs w:val="24"/>
        </w:rPr>
        <w:t xml:space="preserve"> </w:t>
      </w:r>
      <w:r w:rsidR="006E63DA">
        <w:rPr>
          <w:rFonts w:ascii="Times New Roman" w:hAnsi="Times New Roman" w:cs="Times New Roman"/>
          <w:sz w:val="24"/>
          <w:szCs w:val="24"/>
        </w:rPr>
        <w:t>sixty</w:t>
      </w:r>
      <w:r>
        <w:rPr>
          <w:rFonts w:ascii="Times New Roman" w:hAnsi="Times New Roman" w:cs="Times New Roman"/>
          <w:sz w:val="24"/>
          <w:szCs w:val="24"/>
        </w:rPr>
        <w:t xml:space="preserve"> percent (</w:t>
      </w:r>
      <w:r w:rsidR="006E63DA">
        <w:rPr>
          <w:rFonts w:ascii="Times New Roman" w:hAnsi="Times New Roman" w:cs="Times New Roman"/>
          <w:sz w:val="24"/>
          <w:szCs w:val="24"/>
        </w:rPr>
        <w:t>6</w:t>
      </w:r>
      <w:r>
        <w:rPr>
          <w:rFonts w:ascii="Times New Roman" w:hAnsi="Times New Roman" w:cs="Times New Roman"/>
          <w:sz w:val="24"/>
          <w:szCs w:val="24"/>
        </w:rPr>
        <w:t xml:space="preserve">0%) of the total net operable electric generating capacity in ERCOT, representing billions of dollars of investment in the </w:t>
      </w:r>
      <w:proofErr w:type="gramStart"/>
      <w:r>
        <w:rPr>
          <w:rFonts w:ascii="Times New Roman" w:hAnsi="Times New Roman" w:cs="Times New Roman"/>
          <w:sz w:val="24"/>
          <w:szCs w:val="24"/>
        </w:rPr>
        <w:t>state, and</w:t>
      </w:r>
      <w:proofErr w:type="gramEnd"/>
      <w:r>
        <w:rPr>
          <w:rFonts w:ascii="Times New Roman" w:hAnsi="Times New Roman" w:cs="Times New Roman"/>
          <w:sz w:val="24"/>
          <w:szCs w:val="24"/>
        </w:rPr>
        <w:t xml:space="preserve"> employing thousands of Texans. </w:t>
      </w:r>
    </w:p>
    <w:p w:rsidR="008D079A" w:rsidRDefault="00042EF0" w:rsidP="004F07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TCPA </w:t>
      </w:r>
      <w:r w:rsidR="00643A83">
        <w:rPr>
          <w:rFonts w:ascii="Times New Roman" w:hAnsi="Times New Roman" w:cs="Times New Roman"/>
          <w:sz w:val="24"/>
          <w:szCs w:val="24"/>
        </w:rPr>
        <w:t>appreciates the opportunity to provide</w:t>
      </w:r>
      <w:r w:rsidR="001D0FB6">
        <w:rPr>
          <w:rFonts w:ascii="Times New Roman" w:hAnsi="Times New Roman" w:cs="Times New Roman"/>
          <w:sz w:val="24"/>
          <w:szCs w:val="24"/>
        </w:rPr>
        <w:t xml:space="preserve"> the following replies to </w:t>
      </w:r>
      <w:r w:rsidR="003F4A9F">
        <w:rPr>
          <w:rFonts w:ascii="Times New Roman" w:hAnsi="Times New Roman" w:cs="Times New Roman"/>
          <w:sz w:val="24"/>
          <w:szCs w:val="24"/>
        </w:rPr>
        <w:t>the initial comments</w:t>
      </w:r>
      <w:r w:rsidR="001D0FB6">
        <w:rPr>
          <w:rFonts w:ascii="Times New Roman" w:hAnsi="Times New Roman" w:cs="Times New Roman"/>
          <w:sz w:val="24"/>
          <w:szCs w:val="24"/>
        </w:rPr>
        <w:t xml:space="preserve"> in this proceeding</w:t>
      </w:r>
      <w:r w:rsidR="008D079A">
        <w:rPr>
          <w:rFonts w:ascii="Times New Roman" w:hAnsi="Times New Roman" w:cs="Times New Roman"/>
          <w:sz w:val="24"/>
          <w:szCs w:val="24"/>
        </w:rPr>
        <w:t>:</w:t>
      </w:r>
    </w:p>
    <w:p w:rsidR="008D079A" w:rsidRDefault="00FB55EB" w:rsidP="003074CE">
      <w:pPr>
        <w:pStyle w:val="ListParagraph"/>
        <w:numPr>
          <w:ilvl w:val="0"/>
          <w:numId w:val="24"/>
        </w:numPr>
        <w:spacing w:after="24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The Commission should reject the lukewarm suggestions to retain the Low System-Wide Offer Cap (LCAP), as well as the suggestion to place an artificial cap on Operating Reser</w:t>
      </w:r>
      <w:r w:rsidR="003074CE">
        <w:rPr>
          <w:rFonts w:ascii="Times New Roman" w:hAnsi="Times New Roman" w:cs="Times New Roman"/>
          <w:sz w:val="24"/>
          <w:szCs w:val="24"/>
        </w:rPr>
        <w:t>ve Demand Curve (ORDC) revenues.</w:t>
      </w:r>
    </w:p>
    <w:p w:rsidR="00FB55EB" w:rsidRDefault="00FB55EB" w:rsidP="003074CE">
      <w:pPr>
        <w:pStyle w:val="ListParagraph"/>
        <w:numPr>
          <w:ilvl w:val="1"/>
          <w:numId w:val="24"/>
        </w:numPr>
        <w:spacing w:after="240" w:line="24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Alternatively,</w:t>
      </w:r>
      <w:r w:rsidR="00617E91">
        <w:rPr>
          <w:rFonts w:ascii="Times New Roman" w:hAnsi="Times New Roman" w:cs="Times New Roman"/>
          <w:sz w:val="24"/>
          <w:szCs w:val="24"/>
        </w:rPr>
        <w:t xml:space="preserve"> if the Commission retains the LCAP,</w:t>
      </w:r>
      <w:r>
        <w:rPr>
          <w:rFonts w:ascii="Times New Roman" w:hAnsi="Times New Roman" w:cs="Times New Roman"/>
          <w:sz w:val="24"/>
          <w:szCs w:val="24"/>
        </w:rPr>
        <w:t xml:space="preserve"> the Commission </w:t>
      </w:r>
      <w:r w:rsidR="00FB6333">
        <w:rPr>
          <w:rFonts w:ascii="Times New Roman" w:hAnsi="Times New Roman" w:cs="Times New Roman"/>
          <w:sz w:val="24"/>
          <w:szCs w:val="24"/>
        </w:rPr>
        <w:t>should adopt the recommendations</w:t>
      </w:r>
      <w:r w:rsidR="00617E91">
        <w:rPr>
          <w:rFonts w:ascii="Times New Roman" w:hAnsi="Times New Roman" w:cs="Times New Roman"/>
          <w:sz w:val="24"/>
          <w:szCs w:val="24"/>
        </w:rPr>
        <w:t xml:space="preserve"> by TCPA and others</w:t>
      </w:r>
      <w:r>
        <w:rPr>
          <w:rFonts w:ascii="Times New Roman" w:hAnsi="Times New Roman" w:cs="Times New Roman"/>
          <w:sz w:val="24"/>
          <w:szCs w:val="24"/>
        </w:rPr>
        <w:t xml:space="preserve">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t>
      </w:r>
      <w:r w:rsidR="00E50E7E">
        <w:rPr>
          <w:rFonts w:ascii="Times New Roman" w:hAnsi="Times New Roman" w:cs="Times New Roman"/>
          <w:sz w:val="24"/>
          <w:szCs w:val="24"/>
        </w:rPr>
        <w:t xml:space="preserve">retain the ORDC and Reliability Deployment Price Adder (RDPA); (ii) </w:t>
      </w:r>
      <w:r>
        <w:rPr>
          <w:rFonts w:ascii="Times New Roman" w:hAnsi="Times New Roman" w:cs="Times New Roman"/>
          <w:sz w:val="24"/>
          <w:szCs w:val="24"/>
        </w:rPr>
        <w:t>reset the Value of Lost Load (VOLL) to LCAP in the event the LCAP is triggered, rather than suspend the ORDC or RDPA</w:t>
      </w:r>
      <w:r w:rsidR="00E50E7E">
        <w:rPr>
          <w:rFonts w:ascii="Times New Roman" w:hAnsi="Times New Roman" w:cs="Times New Roman"/>
          <w:sz w:val="24"/>
          <w:szCs w:val="24"/>
        </w:rPr>
        <w:t xml:space="preserve">; </w:t>
      </w:r>
      <w:r>
        <w:rPr>
          <w:rFonts w:ascii="Times New Roman" w:hAnsi="Times New Roman" w:cs="Times New Roman"/>
          <w:sz w:val="24"/>
          <w:szCs w:val="24"/>
        </w:rPr>
        <w:t>and (ii</w:t>
      </w:r>
      <w:r w:rsidR="00E50E7E">
        <w:rPr>
          <w:rFonts w:ascii="Times New Roman" w:hAnsi="Times New Roman" w:cs="Times New Roman"/>
          <w:sz w:val="24"/>
          <w:szCs w:val="24"/>
        </w:rPr>
        <w:t>i</w:t>
      </w:r>
      <w:r>
        <w:rPr>
          <w:rFonts w:ascii="Times New Roman" w:hAnsi="Times New Roman" w:cs="Times New Roman"/>
          <w:sz w:val="24"/>
          <w:szCs w:val="24"/>
        </w:rPr>
        <w:t xml:space="preserve">) increase the LCAP to a higher level </w:t>
      </w:r>
      <w:r w:rsidR="00906213">
        <w:rPr>
          <w:rFonts w:ascii="Times New Roman" w:hAnsi="Times New Roman" w:cs="Times New Roman"/>
          <w:sz w:val="24"/>
          <w:szCs w:val="24"/>
        </w:rPr>
        <w:t xml:space="preserve">that is more commensurate with actual Real-Time Market (RTM) potential price outcomes </w:t>
      </w:r>
      <w:r>
        <w:rPr>
          <w:rFonts w:ascii="Times New Roman" w:hAnsi="Times New Roman" w:cs="Times New Roman"/>
          <w:sz w:val="24"/>
          <w:szCs w:val="24"/>
        </w:rPr>
        <w:t>(TCPA continues to recommend $4,500/MWh).</w:t>
      </w:r>
    </w:p>
    <w:p w:rsidR="00FB55EB" w:rsidRDefault="00FB55EB" w:rsidP="003074CE">
      <w:pPr>
        <w:pStyle w:val="ListParagraph"/>
        <w:numPr>
          <w:ilvl w:val="0"/>
          <w:numId w:val="24"/>
        </w:numPr>
        <w:spacing w:after="24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Commission should reject calls for modifying the </w:t>
      </w:r>
      <w:proofErr w:type="spellStart"/>
      <w:r>
        <w:rPr>
          <w:rFonts w:ascii="Times New Roman" w:hAnsi="Times New Roman" w:cs="Times New Roman"/>
          <w:sz w:val="24"/>
          <w:szCs w:val="24"/>
        </w:rPr>
        <w:t>peaker</w:t>
      </w:r>
      <w:proofErr w:type="spellEnd"/>
      <w:r>
        <w:rPr>
          <w:rFonts w:ascii="Times New Roman" w:hAnsi="Times New Roman" w:cs="Times New Roman"/>
          <w:sz w:val="24"/>
          <w:szCs w:val="24"/>
        </w:rPr>
        <w:t xml:space="preserve"> net margin (PNM) calculation, </w:t>
      </w:r>
      <w:r w:rsidR="003074CE">
        <w:rPr>
          <w:rFonts w:ascii="Times New Roman" w:hAnsi="Times New Roman" w:cs="Times New Roman"/>
          <w:sz w:val="24"/>
          <w:szCs w:val="24"/>
        </w:rPr>
        <w:t>and</w:t>
      </w:r>
      <w:r>
        <w:rPr>
          <w:rFonts w:ascii="Times New Roman" w:hAnsi="Times New Roman" w:cs="Times New Roman"/>
          <w:sz w:val="24"/>
          <w:szCs w:val="24"/>
        </w:rPr>
        <w:t xml:space="preserve"> </w:t>
      </w:r>
      <w:r w:rsidR="003074CE">
        <w:rPr>
          <w:rFonts w:ascii="Times New Roman" w:hAnsi="Times New Roman" w:cs="Times New Roman"/>
          <w:sz w:val="24"/>
          <w:szCs w:val="24"/>
        </w:rPr>
        <w:t xml:space="preserve">the rule </w:t>
      </w:r>
      <w:r>
        <w:rPr>
          <w:rFonts w:ascii="Times New Roman" w:hAnsi="Times New Roman" w:cs="Times New Roman"/>
          <w:sz w:val="24"/>
          <w:szCs w:val="24"/>
        </w:rPr>
        <w:t xml:space="preserve">should retain </w:t>
      </w:r>
      <w:r w:rsidR="00E50E7E">
        <w:rPr>
          <w:rFonts w:ascii="Times New Roman" w:hAnsi="Times New Roman" w:cs="Times New Roman"/>
          <w:sz w:val="24"/>
          <w:szCs w:val="24"/>
        </w:rPr>
        <w:t xml:space="preserve">a requirement for ERCOT to maintain </w:t>
      </w:r>
      <w:r w:rsidR="003074CE">
        <w:rPr>
          <w:rFonts w:ascii="Times New Roman" w:hAnsi="Times New Roman" w:cs="Times New Roman"/>
          <w:sz w:val="24"/>
          <w:szCs w:val="24"/>
        </w:rPr>
        <w:t xml:space="preserve">that calculation </w:t>
      </w:r>
      <w:r>
        <w:rPr>
          <w:rFonts w:ascii="Times New Roman" w:hAnsi="Times New Roman" w:cs="Times New Roman"/>
          <w:sz w:val="24"/>
          <w:szCs w:val="24"/>
        </w:rPr>
        <w:t>regardless of whether the Commission eliminates</w:t>
      </w:r>
      <w:r w:rsidR="00DE693D">
        <w:rPr>
          <w:rFonts w:ascii="Times New Roman" w:hAnsi="Times New Roman" w:cs="Times New Roman"/>
          <w:sz w:val="24"/>
          <w:szCs w:val="24"/>
        </w:rPr>
        <w:t xml:space="preserve"> or retains</w:t>
      </w:r>
      <w:r>
        <w:rPr>
          <w:rFonts w:ascii="Times New Roman" w:hAnsi="Times New Roman" w:cs="Times New Roman"/>
          <w:sz w:val="24"/>
          <w:szCs w:val="24"/>
        </w:rPr>
        <w:t xml:space="preserve"> the LCAP mechanism.</w:t>
      </w:r>
    </w:p>
    <w:p w:rsidR="00FB55EB" w:rsidRPr="008D079A" w:rsidRDefault="00FB55EB" w:rsidP="003074CE">
      <w:pPr>
        <w:pStyle w:val="ListParagraph"/>
        <w:numPr>
          <w:ilvl w:val="0"/>
          <w:numId w:val="24"/>
        </w:numPr>
        <w:spacing w:after="24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Commission should adopt recommendations </w:t>
      </w:r>
      <w:r w:rsidR="003074CE">
        <w:rPr>
          <w:rFonts w:ascii="Times New Roman" w:hAnsi="Times New Roman" w:cs="Times New Roman"/>
          <w:sz w:val="24"/>
          <w:szCs w:val="24"/>
        </w:rPr>
        <w:t xml:space="preserve">by TCPA and others </w:t>
      </w:r>
      <w:r>
        <w:rPr>
          <w:rFonts w:ascii="Times New Roman" w:hAnsi="Times New Roman" w:cs="Times New Roman"/>
          <w:sz w:val="24"/>
          <w:szCs w:val="24"/>
        </w:rPr>
        <w:t xml:space="preserve">to retain the rule language in subsection (f) requiring ERCOT to report various data to the market. </w:t>
      </w:r>
    </w:p>
    <w:p w:rsidR="00FA6A94" w:rsidRPr="0048370E" w:rsidRDefault="00FA6A94" w:rsidP="008D079A">
      <w:pPr>
        <w:spacing w:before="360" w:line="360" w:lineRule="auto"/>
        <w:jc w:val="center"/>
        <w:rPr>
          <w:rFonts w:ascii="Times New Roman" w:hAnsi="Times New Roman" w:cs="Times New Roman"/>
          <w:b/>
          <w:sz w:val="24"/>
          <w:szCs w:val="24"/>
        </w:rPr>
      </w:pPr>
      <w:r w:rsidRPr="0048370E">
        <w:rPr>
          <w:rFonts w:ascii="Times New Roman" w:hAnsi="Times New Roman" w:cs="Times New Roman"/>
          <w:b/>
          <w:sz w:val="24"/>
          <w:szCs w:val="24"/>
        </w:rPr>
        <w:t xml:space="preserve">I. </w:t>
      </w:r>
      <w:r w:rsidR="005350ED">
        <w:rPr>
          <w:rFonts w:ascii="Times New Roman" w:hAnsi="Times New Roman" w:cs="Times New Roman"/>
          <w:b/>
          <w:sz w:val="24"/>
          <w:szCs w:val="24"/>
        </w:rPr>
        <w:t xml:space="preserve"> </w:t>
      </w:r>
      <w:r w:rsidR="003F4A9F">
        <w:rPr>
          <w:rFonts w:ascii="Times New Roman" w:hAnsi="Times New Roman" w:cs="Times New Roman"/>
          <w:b/>
          <w:sz w:val="24"/>
          <w:szCs w:val="24"/>
        </w:rPr>
        <w:t>Replies</w:t>
      </w:r>
    </w:p>
    <w:p w:rsidR="00190776" w:rsidRDefault="003F4A9F" w:rsidP="003F4A9F">
      <w:pPr>
        <w:ind w:left="720" w:hanging="720"/>
        <w:rPr>
          <w:rFonts w:ascii="Times New Roman" w:hAnsi="Times New Roman" w:cs="Times New Roman"/>
          <w:sz w:val="24"/>
          <w:szCs w:val="24"/>
        </w:rPr>
      </w:pPr>
      <w:r w:rsidRPr="003F4A9F">
        <w:rPr>
          <w:rFonts w:ascii="Times New Roman" w:hAnsi="Times New Roman" w:cs="Times New Roman"/>
          <w:sz w:val="24"/>
          <w:szCs w:val="24"/>
        </w:rPr>
        <w:t>A.</w:t>
      </w:r>
      <w:r w:rsidRPr="003F4A9F">
        <w:rPr>
          <w:rFonts w:ascii="Times New Roman" w:hAnsi="Times New Roman" w:cs="Times New Roman"/>
          <w:sz w:val="24"/>
          <w:szCs w:val="24"/>
        </w:rPr>
        <w:tab/>
      </w:r>
      <w:r w:rsidRPr="003F4A9F">
        <w:rPr>
          <w:rFonts w:ascii="Times New Roman" w:hAnsi="Times New Roman" w:cs="Times New Roman"/>
          <w:sz w:val="24"/>
          <w:szCs w:val="24"/>
          <w:u w:val="single"/>
        </w:rPr>
        <w:t>Replies to initial comments regarding LCAP mechanism and PNM</w:t>
      </w:r>
    </w:p>
    <w:p w:rsidR="003F4A9F" w:rsidRDefault="00CF5AA1" w:rsidP="00CF5AA1">
      <w:pPr>
        <w:spacing w:after="240" w:line="240" w:lineRule="auto"/>
        <w:ind w:left="1440" w:hanging="720"/>
        <w:jc w:val="both"/>
        <w:rPr>
          <w:rFonts w:ascii="Times New Roman" w:hAnsi="Times New Roman" w:cs="Times New Roman"/>
          <w:i/>
          <w:sz w:val="24"/>
          <w:szCs w:val="24"/>
        </w:rPr>
      </w:pPr>
      <w:r w:rsidRPr="00CF5AA1">
        <w:rPr>
          <w:rFonts w:ascii="Times New Roman" w:hAnsi="Times New Roman" w:cs="Times New Roman"/>
          <w:i/>
          <w:sz w:val="24"/>
          <w:szCs w:val="24"/>
        </w:rPr>
        <w:t>1.</w:t>
      </w:r>
      <w:r>
        <w:rPr>
          <w:rFonts w:ascii="Times New Roman" w:hAnsi="Times New Roman" w:cs="Times New Roman"/>
          <w:sz w:val="24"/>
          <w:szCs w:val="24"/>
        </w:rPr>
        <w:tab/>
      </w:r>
      <w:r>
        <w:rPr>
          <w:rFonts w:ascii="Times New Roman" w:hAnsi="Times New Roman" w:cs="Times New Roman"/>
          <w:i/>
          <w:sz w:val="24"/>
          <w:szCs w:val="24"/>
        </w:rPr>
        <w:t>In an energy-only market, competitive generators cannot “over-earn” or have “excessive”</w:t>
      </w:r>
      <w:r w:rsidR="00104910">
        <w:rPr>
          <w:rFonts w:ascii="Times New Roman" w:hAnsi="Times New Roman" w:cs="Times New Roman"/>
          <w:i/>
          <w:sz w:val="24"/>
          <w:szCs w:val="24"/>
        </w:rPr>
        <w:t xml:space="preserve"> revenues, and the Commission should </w:t>
      </w:r>
      <w:r w:rsidR="006938BA">
        <w:rPr>
          <w:rFonts w:ascii="Times New Roman" w:hAnsi="Times New Roman" w:cs="Times New Roman"/>
          <w:i/>
          <w:sz w:val="24"/>
          <w:szCs w:val="24"/>
        </w:rPr>
        <w:t xml:space="preserve">eliminate the LCAP mechanism and </w:t>
      </w:r>
      <w:r w:rsidR="00104910">
        <w:rPr>
          <w:rFonts w:ascii="Times New Roman" w:hAnsi="Times New Roman" w:cs="Times New Roman"/>
          <w:i/>
          <w:sz w:val="24"/>
          <w:szCs w:val="24"/>
        </w:rPr>
        <w:t>reject any suggestion to cap ORDC revenues.</w:t>
      </w:r>
    </w:p>
    <w:p w:rsidR="00104910" w:rsidRDefault="00995B4C" w:rsidP="00CF5A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Calls to retain the LCAP mechanism were largely unenthusiastic, with the primary argument being that there should be some stop-gap measure to </w:t>
      </w:r>
      <w:r w:rsidR="00317BB7">
        <w:rPr>
          <w:rFonts w:ascii="Times New Roman" w:hAnsi="Times New Roman" w:cs="Times New Roman"/>
          <w:sz w:val="24"/>
          <w:szCs w:val="24"/>
        </w:rPr>
        <w:t xml:space="preserve">prevent generators from </w:t>
      </w:r>
      <w:r w:rsidR="00906213">
        <w:rPr>
          <w:rFonts w:ascii="Times New Roman" w:hAnsi="Times New Roman" w:cs="Times New Roman"/>
          <w:sz w:val="24"/>
          <w:szCs w:val="24"/>
        </w:rPr>
        <w:t>“</w:t>
      </w:r>
      <w:r w:rsidR="00E50117">
        <w:rPr>
          <w:rFonts w:ascii="Times New Roman" w:hAnsi="Times New Roman" w:cs="Times New Roman"/>
          <w:sz w:val="24"/>
          <w:szCs w:val="24"/>
        </w:rPr>
        <w:t>over-earning</w:t>
      </w:r>
      <w:r w:rsidR="00906213">
        <w:rPr>
          <w:rFonts w:ascii="Times New Roman" w:hAnsi="Times New Roman" w:cs="Times New Roman"/>
          <w:sz w:val="24"/>
          <w:szCs w:val="24"/>
        </w:rPr>
        <w:t>”</w:t>
      </w:r>
      <w:r w:rsidR="00317BB7">
        <w:rPr>
          <w:rFonts w:ascii="Times New Roman" w:hAnsi="Times New Roman" w:cs="Times New Roman"/>
          <w:sz w:val="24"/>
          <w:szCs w:val="24"/>
        </w:rPr>
        <w:t xml:space="preserve"> or earning </w:t>
      </w:r>
      <w:r w:rsidR="00906213">
        <w:rPr>
          <w:rFonts w:ascii="Times New Roman" w:hAnsi="Times New Roman" w:cs="Times New Roman"/>
          <w:sz w:val="24"/>
          <w:szCs w:val="24"/>
        </w:rPr>
        <w:t>“</w:t>
      </w:r>
      <w:r w:rsidR="00E50117">
        <w:rPr>
          <w:rFonts w:ascii="Times New Roman" w:hAnsi="Times New Roman" w:cs="Times New Roman"/>
          <w:sz w:val="24"/>
          <w:szCs w:val="24"/>
        </w:rPr>
        <w:t>excessive revenues</w:t>
      </w:r>
      <w:r w:rsidR="00906213">
        <w:rPr>
          <w:rFonts w:ascii="Times New Roman" w:hAnsi="Times New Roman" w:cs="Times New Roman"/>
          <w:sz w:val="24"/>
          <w:szCs w:val="24"/>
        </w:rPr>
        <w:t>”</w:t>
      </w:r>
      <w:r>
        <w:rPr>
          <w:rFonts w:ascii="Times New Roman" w:hAnsi="Times New Roman" w:cs="Times New Roman"/>
          <w:sz w:val="24"/>
          <w:szCs w:val="24"/>
        </w:rPr>
        <w:t xml:space="preserve"> and </w:t>
      </w:r>
      <w:r w:rsidR="00545172">
        <w:rPr>
          <w:rFonts w:ascii="Times New Roman" w:hAnsi="Times New Roman" w:cs="Times New Roman"/>
          <w:sz w:val="24"/>
          <w:szCs w:val="24"/>
        </w:rPr>
        <w:t xml:space="preserve">that </w:t>
      </w:r>
      <w:r>
        <w:rPr>
          <w:rFonts w:ascii="Times New Roman" w:hAnsi="Times New Roman" w:cs="Times New Roman"/>
          <w:sz w:val="24"/>
          <w:szCs w:val="24"/>
        </w:rPr>
        <w:t>the LCAP, while not particularly helpful, is the only one in existence.</w:t>
      </w:r>
      <w:r w:rsidR="00317BB7">
        <w:rPr>
          <w:rStyle w:val="FootnoteReference"/>
          <w:rFonts w:ascii="Times New Roman" w:hAnsi="Times New Roman" w:cs="Times New Roman"/>
          <w:sz w:val="24"/>
          <w:szCs w:val="24"/>
        </w:rPr>
        <w:footnoteReference w:id="1"/>
      </w:r>
      <w:r w:rsidR="00104910">
        <w:rPr>
          <w:rFonts w:ascii="Times New Roman" w:hAnsi="Times New Roman" w:cs="Times New Roman"/>
          <w:sz w:val="24"/>
          <w:szCs w:val="24"/>
        </w:rPr>
        <w:t xml:space="preserve"> </w:t>
      </w:r>
      <w:r>
        <w:rPr>
          <w:rFonts w:ascii="Times New Roman" w:hAnsi="Times New Roman" w:cs="Times New Roman"/>
          <w:sz w:val="24"/>
          <w:szCs w:val="24"/>
        </w:rPr>
        <w:t xml:space="preserve">Another </w:t>
      </w:r>
      <w:r w:rsidR="00104910">
        <w:rPr>
          <w:rFonts w:ascii="Times New Roman" w:hAnsi="Times New Roman" w:cs="Times New Roman"/>
          <w:sz w:val="24"/>
          <w:szCs w:val="24"/>
        </w:rPr>
        <w:t>commenter</w:t>
      </w:r>
      <w:r>
        <w:rPr>
          <w:rFonts w:ascii="Times New Roman" w:hAnsi="Times New Roman" w:cs="Times New Roman"/>
          <w:sz w:val="24"/>
          <w:szCs w:val="24"/>
        </w:rPr>
        <w:t xml:space="preserve"> more forcefully</w:t>
      </w:r>
      <w:r w:rsidR="00104910">
        <w:rPr>
          <w:rFonts w:ascii="Times New Roman" w:hAnsi="Times New Roman" w:cs="Times New Roman"/>
          <w:sz w:val="24"/>
          <w:szCs w:val="24"/>
        </w:rPr>
        <w:t xml:space="preserve"> suggested that the Commission set a fixed earnings cap on ORDC revenues for the same purpose</w:t>
      </w:r>
      <w:r w:rsidR="00906213">
        <w:rPr>
          <w:rFonts w:ascii="Times New Roman" w:hAnsi="Times New Roman" w:cs="Times New Roman"/>
          <w:sz w:val="24"/>
          <w:szCs w:val="24"/>
        </w:rPr>
        <w:t xml:space="preserve">, arguing incorrectly that the ORDC </w:t>
      </w:r>
      <w:r w:rsidR="0011353B">
        <w:rPr>
          <w:rFonts w:ascii="Times New Roman" w:hAnsi="Times New Roman" w:cs="Times New Roman"/>
          <w:sz w:val="24"/>
          <w:szCs w:val="24"/>
        </w:rPr>
        <w:t>is “an external market intervention</w:t>
      </w:r>
      <w:r w:rsidR="00E50117">
        <w:rPr>
          <w:rFonts w:ascii="Times New Roman" w:hAnsi="Times New Roman" w:cs="Times New Roman"/>
          <w:sz w:val="24"/>
          <w:szCs w:val="24"/>
        </w:rPr>
        <w:t>.</w:t>
      </w:r>
      <w:r w:rsidR="0011353B">
        <w:rPr>
          <w:rFonts w:ascii="Times New Roman" w:hAnsi="Times New Roman" w:cs="Times New Roman"/>
          <w:sz w:val="24"/>
          <w:szCs w:val="24"/>
        </w:rPr>
        <w:t>”</w:t>
      </w:r>
      <w:r w:rsidR="0011353B">
        <w:rPr>
          <w:rStyle w:val="FootnoteReference"/>
          <w:rFonts w:ascii="Times New Roman" w:hAnsi="Times New Roman" w:cs="Times New Roman"/>
          <w:sz w:val="24"/>
          <w:szCs w:val="24"/>
        </w:rPr>
        <w:footnoteReference w:id="2"/>
      </w:r>
      <w:r w:rsidR="00E50117">
        <w:rPr>
          <w:rFonts w:ascii="Times New Roman" w:hAnsi="Times New Roman" w:cs="Times New Roman"/>
          <w:sz w:val="24"/>
          <w:szCs w:val="24"/>
        </w:rPr>
        <w:t xml:space="preserve"> </w:t>
      </w:r>
      <w:r>
        <w:rPr>
          <w:rFonts w:ascii="Times New Roman" w:hAnsi="Times New Roman" w:cs="Times New Roman"/>
          <w:sz w:val="24"/>
          <w:szCs w:val="24"/>
        </w:rPr>
        <w:t>For the reasons discussed below and in TCPA’s initial comments, t</w:t>
      </w:r>
      <w:r w:rsidR="00104910">
        <w:rPr>
          <w:rFonts w:ascii="Times New Roman" w:hAnsi="Times New Roman" w:cs="Times New Roman"/>
          <w:sz w:val="24"/>
          <w:szCs w:val="24"/>
        </w:rPr>
        <w:t>he Commission should reject</w:t>
      </w:r>
      <w:r>
        <w:rPr>
          <w:rFonts w:ascii="Times New Roman" w:hAnsi="Times New Roman" w:cs="Times New Roman"/>
          <w:sz w:val="24"/>
          <w:szCs w:val="24"/>
        </w:rPr>
        <w:t xml:space="preserve"> both of</w:t>
      </w:r>
      <w:r w:rsidR="00104910">
        <w:rPr>
          <w:rFonts w:ascii="Times New Roman" w:hAnsi="Times New Roman" w:cs="Times New Roman"/>
          <w:sz w:val="24"/>
          <w:szCs w:val="24"/>
        </w:rPr>
        <w:t xml:space="preserve"> these suggestions.</w:t>
      </w:r>
    </w:p>
    <w:p w:rsidR="00745DC3" w:rsidRDefault="00E50117" w:rsidP="00CF5A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concept of “over-earning” or “excessive” revenues is misplaced in an energy-only competitive market construct in which the </w:t>
      </w:r>
      <w:r w:rsidR="00B26586">
        <w:rPr>
          <w:rFonts w:ascii="Times New Roman" w:hAnsi="Times New Roman" w:cs="Times New Roman"/>
          <w:sz w:val="24"/>
          <w:szCs w:val="24"/>
        </w:rPr>
        <w:t xml:space="preserve">market </w:t>
      </w:r>
      <w:r>
        <w:rPr>
          <w:rFonts w:ascii="Times New Roman" w:hAnsi="Times New Roman" w:cs="Times New Roman"/>
          <w:sz w:val="24"/>
          <w:szCs w:val="24"/>
        </w:rPr>
        <w:t>price of energy</w:t>
      </w:r>
      <w:r w:rsidR="00745DC3">
        <w:rPr>
          <w:rFonts w:ascii="Times New Roman" w:hAnsi="Times New Roman" w:cs="Times New Roman"/>
          <w:sz w:val="24"/>
          <w:szCs w:val="24"/>
        </w:rPr>
        <w:t xml:space="preserve"> dictates generator revenues</w:t>
      </w:r>
      <w:r w:rsidR="00246234">
        <w:rPr>
          <w:rFonts w:ascii="Times New Roman" w:hAnsi="Times New Roman" w:cs="Times New Roman"/>
          <w:sz w:val="24"/>
          <w:szCs w:val="24"/>
        </w:rPr>
        <w:t>.</w:t>
      </w:r>
      <w:r w:rsidR="00745DC3">
        <w:rPr>
          <w:rFonts w:ascii="Times New Roman" w:hAnsi="Times New Roman" w:cs="Times New Roman"/>
          <w:sz w:val="24"/>
          <w:szCs w:val="24"/>
        </w:rPr>
        <w:t xml:space="preserve"> </w:t>
      </w:r>
      <w:r w:rsidR="00246234">
        <w:rPr>
          <w:rFonts w:ascii="Times New Roman" w:hAnsi="Times New Roman" w:cs="Times New Roman"/>
          <w:sz w:val="24"/>
          <w:szCs w:val="24"/>
        </w:rPr>
        <w:t>T</w:t>
      </w:r>
      <w:r w:rsidR="00745DC3">
        <w:rPr>
          <w:rFonts w:ascii="Times New Roman" w:hAnsi="Times New Roman" w:cs="Times New Roman"/>
          <w:sz w:val="24"/>
          <w:szCs w:val="24"/>
        </w:rPr>
        <w:t xml:space="preserve">he </w:t>
      </w:r>
      <w:r w:rsidR="00246234">
        <w:rPr>
          <w:rFonts w:ascii="Times New Roman" w:hAnsi="Times New Roman" w:cs="Times New Roman"/>
          <w:sz w:val="24"/>
          <w:szCs w:val="24"/>
        </w:rPr>
        <w:t xml:space="preserve">market </w:t>
      </w:r>
      <w:r w:rsidR="00745DC3">
        <w:rPr>
          <w:rFonts w:ascii="Times New Roman" w:hAnsi="Times New Roman" w:cs="Times New Roman"/>
          <w:sz w:val="24"/>
          <w:szCs w:val="24"/>
        </w:rPr>
        <w:t>price of energy generally reflects the short-run marginal cost</w:t>
      </w:r>
      <w:r w:rsidR="00246234">
        <w:rPr>
          <w:rFonts w:ascii="Times New Roman" w:hAnsi="Times New Roman" w:cs="Times New Roman"/>
          <w:sz w:val="24"/>
          <w:szCs w:val="24"/>
        </w:rPr>
        <w:t>s and risks</w:t>
      </w:r>
      <w:r w:rsidR="00745DC3">
        <w:rPr>
          <w:rFonts w:ascii="Times New Roman" w:hAnsi="Times New Roman" w:cs="Times New Roman"/>
          <w:sz w:val="24"/>
          <w:szCs w:val="24"/>
        </w:rPr>
        <w:t xml:space="preserve"> of the marginal resource, absent scarcity conditions. During scarcity conditions, the scarcity pricing mechanism (i.e., the ORD</w:t>
      </w:r>
      <w:r w:rsidR="00377B68">
        <w:rPr>
          <w:rFonts w:ascii="Times New Roman" w:hAnsi="Times New Roman" w:cs="Times New Roman"/>
          <w:sz w:val="24"/>
          <w:szCs w:val="24"/>
        </w:rPr>
        <w:t>C</w:t>
      </w:r>
      <w:r w:rsidR="00745DC3">
        <w:rPr>
          <w:rFonts w:ascii="Times New Roman" w:hAnsi="Times New Roman" w:cs="Times New Roman"/>
          <w:sz w:val="24"/>
          <w:szCs w:val="24"/>
        </w:rPr>
        <w:t>) result</w:t>
      </w:r>
      <w:r w:rsidR="00473324">
        <w:rPr>
          <w:rFonts w:ascii="Times New Roman" w:hAnsi="Times New Roman" w:cs="Times New Roman"/>
          <w:sz w:val="24"/>
          <w:szCs w:val="24"/>
        </w:rPr>
        <w:t>s</w:t>
      </w:r>
      <w:r w:rsidR="00745DC3">
        <w:rPr>
          <w:rFonts w:ascii="Times New Roman" w:hAnsi="Times New Roman" w:cs="Times New Roman"/>
          <w:sz w:val="24"/>
          <w:szCs w:val="24"/>
        </w:rPr>
        <w:t xml:space="preserve"> in an </w:t>
      </w:r>
      <w:proofErr w:type="spellStart"/>
      <w:r w:rsidR="00745DC3">
        <w:rPr>
          <w:rFonts w:ascii="Times New Roman" w:hAnsi="Times New Roman" w:cs="Times New Roman"/>
          <w:sz w:val="24"/>
          <w:szCs w:val="24"/>
        </w:rPr>
        <w:t>adder</w:t>
      </w:r>
      <w:proofErr w:type="spellEnd"/>
      <w:r w:rsidR="00745DC3">
        <w:rPr>
          <w:rFonts w:ascii="Times New Roman" w:hAnsi="Times New Roman" w:cs="Times New Roman"/>
          <w:sz w:val="24"/>
          <w:szCs w:val="24"/>
        </w:rPr>
        <w:t xml:space="preserve"> to the price of energy </w:t>
      </w:r>
      <w:r w:rsidR="00246234">
        <w:rPr>
          <w:rFonts w:ascii="Times New Roman" w:hAnsi="Times New Roman" w:cs="Times New Roman"/>
          <w:sz w:val="24"/>
          <w:szCs w:val="24"/>
        </w:rPr>
        <w:t xml:space="preserve">to reflect </w:t>
      </w:r>
      <w:r w:rsidR="00745DC3">
        <w:rPr>
          <w:rFonts w:ascii="Times New Roman" w:hAnsi="Times New Roman" w:cs="Times New Roman"/>
          <w:sz w:val="24"/>
          <w:szCs w:val="24"/>
        </w:rPr>
        <w:t xml:space="preserve">the value of </w:t>
      </w:r>
      <w:r w:rsidR="00246234">
        <w:rPr>
          <w:rFonts w:ascii="Times New Roman" w:hAnsi="Times New Roman" w:cs="Times New Roman"/>
          <w:sz w:val="24"/>
          <w:szCs w:val="24"/>
        </w:rPr>
        <w:t xml:space="preserve">diminishing </w:t>
      </w:r>
      <w:r w:rsidR="00745DC3">
        <w:rPr>
          <w:rFonts w:ascii="Times New Roman" w:hAnsi="Times New Roman" w:cs="Times New Roman"/>
          <w:sz w:val="24"/>
          <w:szCs w:val="24"/>
        </w:rPr>
        <w:t>operating reserves—as reserves deplete and the probability of a loss of load event increases in real-time, the ORDC operates to increase the energy price until it reaches the value that the Commission has determined (with input from a consultant</w:t>
      </w:r>
      <w:r w:rsidR="0014425D">
        <w:rPr>
          <w:rFonts w:ascii="Times New Roman" w:hAnsi="Times New Roman" w:cs="Times New Roman"/>
          <w:sz w:val="24"/>
          <w:szCs w:val="24"/>
        </w:rPr>
        <w:t xml:space="preserve"> and following months of deliberation</w:t>
      </w:r>
      <w:r w:rsidR="007712BC">
        <w:rPr>
          <w:rStyle w:val="FootnoteReference"/>
          <w:rFonts w:ascii="Times New Roman" w:hAnsi="Times New Roman" w:cs="Times New Roman"/>
          <w:sz w:val="24"/>
          <w:szCs w:val="24"/>
        </w:rPr>
        <w:footnoteReference w:id="3"/>
      </w:r>
      <w:r w:rsidR="00745DC3">
        <w:rPr>
          <w:rFonts w:ascii="Times New Roman" w:hAnsi="Times New Roman" w:cs="Times New Roman"/>
          <w:sz w:val="24"/>
          <w:szCs w:val="24"/>
        </w:rPr>
        <w:t xml:space="preserve">) that </w:t>
      </w:r>
      <w:r w:rsidR="00745DC3">
        <w:rPr>
          <w:rFonts w:ascii="Times New Roman" w:hAnsi="Times New Roman" w:cs="Times New Roman"/>
          <w:sz w:val="24"/>
          <w:szCs w:val="24"/>
        </w:rPr>
        <w:lastRenderedPageBreak/>
        <w:t xml:space="preserve">customers are willing to pay to avoid a loss of load event (i.e., the $9,000 </w:t>
      </w:r>
      <w:r w:rsidR="00F54BDD">
        <w:rPr>
          <w:rFonts w:ascii="Times New Roman" w:hAnsi="Times New Roman" w:cs="Times New Roman"/>
          <w:sz w:val="24"/>
          <w:szCs w:val="24"/>
        </w:rPr>
        <w:t>VOLL</w:t>
      </w:r>
      <w:r w:rsidR="00745DC3">
        <w:rPr>
          <w:rFonts w:ascii="Times New Roman" w:hAnsi="Times New Roman" w:cs="Times New Roman"/>
          <w:sz w:val="24"/>
          <w:szCs w:val="24"/>
        </w:rPr>
        <w:t xml:space="preserve">). Further, such scarcity pricing </w:t>
      </w:r>
      <w:r w:rsidR="00246234">
        <w:rPr>
          <w:rFonts w:ascii="Times New Roman" w:hAnsi="Times New Roman" w:cs="Times New Roman"/>
          <w:sz w:val="24"/>
          <w:szCs w:val="24"/>
        </w:rPr>
        <w:t xml:space="preserve">provides important </w:t>
      </w:r>
      <w:r w:rsidR="00745DC3">
        <w:rPr>
          <w:rFonts w:ascii="Times New Roman" w:hAnsi="Times New Roman" w:cs="Times New Roman"/>
          <w:sz w:val="24"/>
          <w:szCs w:val="24"/>
        </w:rPr>
        <w:t>signal</w:t>
      </w:r>
      <w:r w:rsidR="00473324">
        <w:rPr>
          <w:rFonts w:ascii="Times New Roman" w:hAnsi="Times New Roman" w:cs="Times New Roman"/>
          <w:sz w:val="24"/>
          <w:szCs w:val="24"/>
        </w:rPr>
        <w:t>s</w:t>
      </w:r>
      <w:r w:rsidR="00745DC3">
        <w:rPr>
          <w:rFonts w:ascii="Times New Roman" w:hAnsi="Times New Roman" w:cs="Times New Roman"/>
          <w:sz w:val="24"/>
          <w:szCs w:val="24"/>
        </w:rPr>
        <w:t xml:space="preserve"> to the market that additional </w:t>
      </w:r>
      <w:r w:rsidR="0095320D">
        <w:rPr>
          <w:rFonts w:ascii="Times New Roman" w:hAnsi="Times New Roman" w:cs="Times New Roman"/>
          <w:sz w:val="24"/>
          <w:szCs w:val="24"/>
        </w:rPr>
        <w:t xml:space="preserve">generation </w:t>
      </w:r>
      <w:r w:rsidR="00745DC3">
        <w:rPr>
          <w:rFonts w:ascii="Times New Roman" w:hAnsi="Times New Roman" w:cs="Times New Roman"/>
          <w:sz w:val="24"/>
          <w:szCs w:val="24"/>
        </w:rPr>
        <w:t>resources are needed</w:t>
      </w:r>
      <w:r w:rsidR="00473324">
        <w:rPr>
          <w:rFonts w:ascii="Times New Roman" w:hAnsi="Times New Roman" w:cs="Times New Roman"/>
          <w:sz w:val="24"/>
          <w:szCs w:val="24"/>
        </w:rPr>
        <w:t xml:space="preserve"> both immediate</w:t>
      </w:r>
      <w:r w:rsidR="00075F59">
        <w:rPr>
          <w:rFonts w:ascii="Times New Roman" w:hAnsi="Times New Roman" w:cs="Times New Roman"/>
          <w:sz w:val="24"/>
          <w:szCs w:val="24"/>
        </w:rPr>
        <w:t>ly</w:t>
      </w:r>
      <w:r w:rsidR="00473324">
        <w:rPr>
          <w:rFonts w:ascii="Times New Roman" w:hAnsi="Times New Roman" w:cs="Times New Roman"/>
          <w:sz w:val="24"/>
          <w:szCs w:val="24"/>
        </w:rPr>
        <w:t xml:space="preserve"> and </w:t>
      </w:r>
      <w:r w:rsidR="00075F59">
        <w:rPr>
          <w:rFonts w:ascii="Times New Roman" w:hAnsi="Times New Roman" w:cs="Times New Roman"/>
          <w:sz w:val="24"/>
          <w:szCs w:val="24"/>
        </w:rPr>
        <w:t>in the long</w:t>
      </w:r>
      <w:r w:rsidR="00473324">
        <w:rPr>
          <w:rFonts w:ascii="Times New Roman" w:hAnsi="Times New Roman" w:cs="Times New Roman"/>
          <w:sz w:val="24"/>
          <w:szCs w:val="24"/>
        </w:rPr>
        <w:t xml:space="preserve"> term</w:t>
      </w:r>
      <w:r w:rsidR="00C34C4B">
        <w:rPr>
          <w:rFonts w:ascii="Times New Roman" w:hAnsi="Times New Roman" w:cs="Times New Roman"/>
          <w:sz w:val="24"/>
          <w:szCs w:val="24"/>
        </w:rPr>
        <w:t>;</w:t>
      </w:r>
      <w:r w:rsidR="00745DC3">
        <w:rPr>
          <w:rFonts w:ascii="Times New Roman" w:hAnsi="Times New Roman" w:cs="Times New Roman"/>
          <w:sz w:val="24"/>
          <w:szCs w:val="24"/>
        </w:rPr>
        <w:t xml:space="preserve"> and the market will respond </w:t>
      </w:r>
      <w:r w:rsidR="00075F59">
        <w:rPr>
          <w:rFonts w:ascii="Times New Roman" w:hAnsi="Times New Roman" w:cs="Times New Roman"/>
          <w:sz w:val="24"/>
          <w:szCs w:val="24"/>
        </w:rPr>
        <w:t xml:space="preserve">to those signals </w:t>
      </w:r>
      <w:r w:rsidR="00745DC3">
        <w:rPr>
          <w:rFonts w:ascii="Times New Roman" w:hAnsi="Times New Roman" w:cs="Times New Roman"/>
          <w:sz w:val="24"/>
          <w:szCs w:val="24"/>
        </w:rPr>
        <w:t xml:space="preserve">by </w:t>
      </w:r>
      <w:r w:rsidR="00473324">
        <w:rPr>
          <w:rFonts w:ascii="Times New Roman" w:hAnsi="Times New Roman" w:cs="Times New Roman"/>
          <w:sz w:val="24"/>
          <w:szCs w:val="24"/>
        </w:rPr>
        <w:t xml:space="preserve">making additional resources available in real-time, as well as </w:t>
      </w:r>
      <w:r w:rsidR="00745DC3">
        <w:rPr>
          <w:rFonts w:ascii="Times New Roman" w:hAnsi="Times New Roman" w:cs="Times New Roman"/>
          <w:sz w:val="24"/>
          <w:szCs w:val="24"/>
        </w:rPr>
        <w:t xml:space="preserve">investing in new </w:t>
      </w:r>
      <w:r w:rsidR="00246234">
        <w:rPr>
          <w:rFonts w:ascii="Times New Roman" w:hAnsi="Times New Roman" w:cs="Times New Roman"/>
          <w:sz w:val="24"/>
          <w:szCs w:val="24"/>
        </w:rPr>
        <w:t xml:space="preserve">and existing </w:t>
      </w:r>
      <w:r w:rsidR="00745DC3">
        <w:rPr>
          <w:rFonts w:ascii="Times New Roman" w:hAnsi="Times New Roman" w:cs="Times New Roman"/>
          <w:sz w:val="24"/>
          <w:szCs w:val="24"/>
        </w:rPr>
        <w:t xml:space="preserve">resources, bringing </w:t>
      </w:r>
      <w:r w:rsidR="00246234">
        <w:rPr>
          <w:rFonts w:ascii="Times New Roman" w:hAnsi="Times New Roman" w:cs="Times New Roman"/>
          <w:sz w:val="24"/>
          <w:szCs w:val="24"/>
        </w:rPr>
        <w:t xml:space="preserve">mothballed </w:t>
      </w:r>
      <w:r w:rsidR="00745DC3">
        <w:rPr>
          <w:rFonts w:ascii="Times New Roman" w:hAnsi="Times New Roman" w:cs="Times New Roman"/>
          <w:sz w:val="24"/>
          <w:szCs w:val="24"/>
        </w:rPr>
        <w:t xml:space="preserve">resources </w:t>
      </w:r>
      <w:r w:rsidR="00246234">
        <w:rPr>
          <w:rFonts w:ascii="Times New Roman" w:hAnsi="Times New Roman" w:cs="Times New Roman"/>
          <w:sz w:val="24"/>
          <w:szCs w:val="24"/>
        </w:rPr>
        <w:t xml:space="preserve">back to operating </w:t>
      </w:r>
      <w:r w:rsidR="00745DC3">
        <w:rPr>
          <w:rFonts w:ascii="Times New Roman" w:hAnsi="Times New Roman" w:cs="Times New Roman"/>
          <w:sz w:val="24"/>
          <w:szCs w:val="24"/>
        </w:rPr>
        <w:t>status,</w:t>
      </w:r>
      <w:r w:rsidR="00075F59">
        <w:rPr>
          <w:rFonts w:ascii="Times New Roman" w:hAnsi="Times New Roman" w:cs="Times New Roman"/>
          <w:sz w:val="24"/>
          <w:szCs w:val="24"/>
        </w:rPr>
        <w:t xml:space="preserve"> and</w:t>
      </w:r>
      <w:r w:rsidR="00745DC3">
        <w:rPr>
          <w:rFonts w:ascii="Times New Roman" w:hAnsi="Times New Roman" w:cs="Times New Roman"/>
          <w:sz w:val="24"/>
          <w:szCs w:val="24"/>
        </w:rPr>
        <w:t xml:space="preserve"> accelerating the timeline for</w:t>
      </w:r>
      <w:r w:rsidR="001260C5">
        <w:rPr>
          <w:rFonts w:ascii="Times New Roman" w:hAnsi="Times New Roman" w:cs="Times New Roman"/>
          <w:sz w:val="24"/>
          <w:szCs w:val="24"/>
        </w:rPr>
        <w:t xml:space="preserve"> new resource development and</w:t>
      </w:r>
      <w:r w:rsidR="00745DC3">
        <w:rPr>
          <w:rFonts w:ascii="Times New Roman" w:hAnsi="Times New Roman" w:cs="Times New Roman"/>
          <w:sz w:val="24"/>
          <w:szCs w:val="24"/>
        </w:rPr>
        <w:t xml:space="preserve"> upgrades</w:t>
      </w:r>
      <w:r w:rsidR="00075F59">
        <w:rPr>
          <w:rFonts w:ascii="Times New Roman" w:hAnsi="Times New Roman" w:cs="Times New Roman"/>
          <w:sz w:val="24"/>
          <w:szCs w:val="24"/>
        </w:rPr>
        <w:t xml:space="preserve"> to existing resources</w:t>
      </w:r>
      <w:r w:rsidR="00473324">
        <w:rPr>
          <w:rFonts w:ascii="Times New Roman" w:hAnsi="Times New Roman" w:cs="Times New Roman"/>
          <w:sz w:val="24"/>
          <w:szCs w:val="24"/>
        </w:rPr>
        <w:t>.</w:t>
      </w:r>
      <w:r w:rsidR="008604CF">
        <w:rPr>
          <w:rFonts w:ascii="Times New Roman" w:hAnsi="Times New Roman" w:cs="Times New Roman"/>
          <w:sz w:val="24"/>
          <w:szCs w:val="24"/>
        </w:rPr>
        <w:t xml:space="preserve"> </w:t>
      </w:r>
      <w:r w:rsidR="001260C5">
        <w:rPr>
          <w:rFonts w:ascii="Times New Roman" w:hAnsi="Times New Roman" w:cs="Times New Roman"/>
          <w:sz w:val="24"/>
          <w:szCs w:val="24"/>
        </w:rPr>
        <w:t>In other words, s</w:t>
      </w:r>
      <w:r w:rsidR="008604CF">
        <w:rPr>
          <w:rFonts w:ascii="Times New Roman" w:hAnsi="Times New Roman" w:cs="Times New Roman"/>
          <w:sz w:val="24"/>
          <w:szCs w:val="24"/>
        </w:rPr>
        <w:t xml:space="preserve">carcity pricing is what incentivizes investors and existing resource owners to invest in new and existing resources. </w:t>
      </w:r>
    </w:p>
    <w:p w:rsidR="00F900BD" w:rsidRDefault="008D33B5" w:rsidP="00CF5A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45DC3">
        <w:rPr>
          <w:rFonts w:ascii="Times New Roman" w:hAnsi="Times New Roman" w:cs="Times New Roman"/>
          <w:sz w:val="24"/>
          <w:szCs w:val="24"/>
        </w:rPr>
        <w:t xml:space="preserve">n a competitive energy-only market, </w:t>
      </w:r>
      <w:r w:rsidR="008604CF">
        <w:rPr>
          <w:rFonts w:ascii="Times New Roman" w:hAnsi="Times New Roman" w:cs="Times New Roman"/>
          <w:sz w:val="24"/>
          <w:szCs w:val="24"/>
        </w:rPr>
        <w:t xml:space="preserve">generators will earn the revenues </w:t>
      </w:r>
      <w:r w:rsidR="00104910">
        <w:rPr>
          <w:rFonts w:ascii="Times New Roman" w:hAnsi="Times New Roman" w:cs="Times New Roman"/>
          <w:sz w:val="24"/>
          <w:szCs w:val="24"/>
        </w:rPr>
        <w:t xml:space="preserve">that reflect the </w:t>
      </w:r>
      <w:r w:rsidR="00377B68">
        <w:rPr>
          <w:rFonts w:ascii="Times New Roman" w:hAnsi="Times New Roman" w:cs="Times New Roman"/>
          <w:sz w:val="24"/>
          <w:szCs w:val="24"/>
        </w:rPr>
        <w:t xml:space="preserve">value of </w:t>
      </w:r>
      <w:r w:rsidR="00104910">
        <w:rPr>
          <w:rFonts w:ascii="Times New Roman" w:hAnsi="Times New Roman" w:cs="Times New Roman"/>
          <w:sz w:val="24"/>
          <w:szCs w:val="24"/>
        </w:rPr>
        <w:t xml:space="preserve">available </w:t>
      </w:r>
      <w:r w:rsidR="00D2261F">
        <w:rPr>
          <w:rFonts w:ascii="Times New Roman" w:hAnsi="Times New Roman" w:cs="Times New Roman"/>
          <w:sz w:val="24"/>
          <w:szCs w:val="24"/>
        </w:rPr>
        <w:t xml:space="preserve">supply </w:t>
      </w:r>
      <w:r w:rsidR="00104910">
        <w:rPr>
          <w:rFonts w:ascii="Times New Roman" w:hAnsi="Times New Roman" w:cs="Times New Roman"/>
          <w:sz w:val="24"/>
          <w:szCs w:val="24"/>
        </w:rPr>
        <w:t xml:space="preserve">on the grid. The idea that generators could “over-earn” or earn “excessive” revenues is </w:t>
      </w:r>
      <w:r w:rsidR="00EC1557">
        <w:rPr>
          <w:rFonts w:ascii="Times New Roman" w:hAnsi="Times New Roman" w:cs="Times New Roman"/>
          <w:sz w:val="24"/>
          <w:szCs w:val="24"/>
        </w:rPr>
        <w:t xml:space="preserve">a vestigial one </w:t>
      </w:r>
      <w:r w:rsidR="00104910">
        <w:rPr>
          <w:rFonts w:ascii="Times New Roman" w:hAnsi="Times New Roman" w:cs="Times New Roman"/>
          <w:sz w:val="24"/>
          <w:szCs w:val="24"/>
        </w:rPr>
        <w:t xml:space="preserve">rooted in </w:t>
      </w:r>
      <w:r w:rsidR="00EC1557">
        <w:rPr>
          <w:rFonts w:ascii="Times New Roman" w:hAnsi="Times New Roman" w:cs="Times New Roman"/>
          <w:sz w:val="24"/>
          <w:szCs w:val="24"/>
        </w:rPr>
        <w:t>the</w:t>
      </w:r>
      <w:r w:rsidR="00104910">
        <w:rPr>
          <w:rFonts w:ascii="Times New Roman" w:hAnsi="Times New Roman" w:cs="Times New Roman"/>
          <w:sz w:val="24"/>
          <w:szCs w:val="24"/>
        </w:rPr>
        <w:t xml:space="preserve"> regulated utility construct, where </w:t>
      </w:r>
      <w:r w:rsidR="00AD780B">
        <w:rPr>
          <w:rFonts w:ascii="Times New Roman" w:hAnsi="Times New Roman" w:cs="Times New Roman"/>
          <w:sz w:val="24"/>
          <w:szCs w:val="24"/>
        </w:rPr>
        <w:t>rates</w:t>
      </w:r>
      <w:r w:rsidR="00104910">
        <w:rPr>
          <w:rFonts w:ascii="Times New Roman" w:hAnsi="Times New Roman" w:cs="Times New Roman"/>
          <w:sz w:val="24"/>
          <w:szCs w:val="24"/>
        </w:rPr>
        <w:t xml:space="preserve"> are set by a regulatory body</w:t>
      </w:r>
      <w:r w:rsidR="00454FDD">
        <w:rPr>
          <w:rFonts w:ascii="Times New Roman" w:hAnsi="Times New Roman" w:cs="Times New Roman"/>
          <w:sz w:val="24"/>
          <w:szCs w:val="24"/>
        </w:rPr>
        <w:t xml:space="preserve"> and paid by captive customers</w:t>
      </w:r>
      <w:r w:rsidR="00EC1557">
        <w:rPr>
          <w:rFonts w:ascii="Times New Roman" w:hAnsi="Times New Roman" w:cs="Times New Roman"/>
          <w:sz w:val="24"/>
          <w:szCs w:val="24"/>
        </w:rPr>
        <w:t>,</w:t>
      </w:r>
      <w:r w:rsidR="00104910">
        <w:rPr>
          <w:rFonts w:ascii="Times New Roman" w:hAnsi="Times New Roman" w:cs="Times New Roman"/>
          <w:sz w:val="24"/>
          <w:szCs w:val="24"/>
        </w:rPr>
        <w:t xml:space="preserve"> and</w:t>
      </w:r>
      <w:r w:rsidR="00454FDD">
        <w:rPr>
          <w:rFonts w:ascii="Times New Roman" w:hAnsi="Times New Roman" w:cs="Times New Roman"/>
          <w:sz w:val="24"/>
          <w:szCs w:val="24"/>
        </w:rPr>
        <w:t xml:space="preserve"> where</w:t>
      </w:r>
      <w:r w:rsidR="00104910">
        <w:rPr>
          <w:rFonts w:ascii="Times New Roman" w:hAnsi="Times New Roman" w:cs="Times New Roman"/>
          <w:sz w:val="24"/>
          <w:szCs w:val="24"/>
        </w:rPr>
        <w:t xml:space="preserve"> there are no market forces to discipline the</w:t>
      </w:r>
      <w:r w:rsidR="00377B68">
        <w:rPr>
          <w:rFonts w:ascii="Times New Roman" w:hAnsi="Times New Roman" w:cs="Times New Roman"/>
          <w:sz w:val="24"/>
          <w:szCs w:val="24"/>
        </w:rPr>
        <w:t xml:space="preserve"> amount of</w:t>
      </w:r>
      <w:r w:rsidR="00104910">
        <w:rPr>
          <w:rFonts w:ascii="Times New Roman" w:hAnsi="Times New Roman" w:cs="Times New Roman"/>
          <w:sz w:val="24"/>
          <w:szCs w:val="24"/>
        </w:rPr>
        <w:t xml:space="preserve"> revenues received.</w:t>
      </w:r>
      <w:r w:rsidR="000F0DB3" w:rsidRPr="000F0DB3">
        <w:t xml:space="preserve"> </w:t>
      </w:r>
      <w:r w:rsidR="000F0DB3" w:rsidRPr="000F0DB3">
        <w:rPr>
          <w:rFonts w:ascii="Times New Roman" w:hAnsi="Times New Roman" w:cs="Times New Roman"/>
          <w:sz w:val="24"/>
          <w:szCs w:val="24"/>
        </w:rPr>
        <w:t xml:space="preserve">Indeed, </w:t>
      </w:r>
      <w:r w:rsidR="00A21316">
        <w:rPr>
          <w:rFonts w:ascii="Times New Roman" w:hAnsi="Times New Roman" w:cs="Times New Roman"/>
          <w:sz w:val="24"/>
          <w:szCs w:val="24"/>
        </w:rPr>
        <w:t>the Public Utilities Regulatory Act (</w:t>
      </w:r>
      <w:r w:rsidR="000F0DB3" w:rsidRPr="000F0DB3">
        <w:rPr>
          <w:rFonts w:ascii="Times New Roman" w:hAnsi="Times New Roman" w:cs="Times New Roman"/>
          <w:sz w:val="24"/>
          <w:szCs w:val="24"/>
        </w:rPr>
        <w:t>PURA</w:t>
      </w:r>
      <w:r w:rsidR="00A21316">
        <w:rPr>
          <w:rFonts w:ascii="Times New Roman" w:hAnsi="Times New Roman" w:cs="Times New Roman"/>
          <w:sz w:val="24"/>
          <w:szCs w:val="24"/>
        </w:rPr>
        <w:t>)</w:t>
      </w:r>
      <w:r w:rsidR="00FC4E5A">
        <w:rPr>
          <w:rStyle w:val="FootnoteReference"/>
          <w:rFonts w:ascii="Times New Roman" w:hAnsi="Times New Roman" w:cs="Times New Roman"/>
          <w:sz w:val="24"/>
          <w:szCs w:val="24"/>
        </w:rPr>
        <w:footnoteReference w:id="4"/>
      </w:r>
      <w:r w:rsidR="000F0DB3" w:rsidRPr="000F0DB3">
        <w:rPr>
          <w:rFonts w:ascii="Times New Roman" w:hAnsi="Times New Roman" w:cs="Times New Roman"/>
          <w:sz w:val="24"/>
          <w:szCs w:val="24"/>
        </w:rPr>
        <w:t xml:space="preserve"> §</w:t>
      </w:r>
      <w:r w:rsidR="009B1C0C" w:rsidRPr="000F0DB3">
        <w:rPr>
          <w:rFonts w:ascii="Times New Roman" w:hAnsi="Times New Roman" w:cs="Times New Roman"/>
          <w:sz w:val="24"/>
          <w:szCs w:val="24"/>
        </w:rPr>
        <w:t>§</w:t>
      </w:r>
      <w:r w:rsidR="000F0DB3" w:rsidRPr="000F0DB3">
        <w:rPr>
          <w:rFonts w:ascii="Times New Roman" w:hAnsi="Times New Roman" w:cs="Times New Roman"/>
          <w:sz w:val="24"/>
          <w:szCs w:val="24"/>
        </w:rPr>
        <w:t xml:space="preserve"> 11.002 </w:t>
      </w:r>
      <w:r w:rsidR="009B1C0C">
        <w:rPr>
          <w:rFonts w:ascii="Times New Roman" w:hAnsi="Times New Roman" w:cs="Times New Roman"/>
          <w:sz w:val="24"/>
          <w:szCs w:val="24"/>
        </w:rPr>
        <w:t xml:space="preserve">and 31.001 </w:t>
      </w:r>
      <w:r w:rsidR="000F0DB3" w:rsidRPr="000F0DB3">
        <w:rPr>
          <w:rFonts w:ascii="Times New Roman" w:hAnsi="Times New Roman" w:cs="Times New Roman"/>
          <w:sz w:val="24"/>
          <w:szCs w:val="24"/>
        </w:rPr>
        <w:t>specif</w:t>
      </w:r>
      <w:r w:rsidR="009B1C0C">
        <w:rPr>
          <w:rFonts w:ascii="Times New Roman" w:hAnsi="Times New Roman" w:cs="Times New Roman"/>
          <w:sz w:val="24"/>
          <w:szCs w:val="24"/>
        </w:rPr>
        <w:t>y</w:t>
      </w:r>
      <w:r w:rsidR="000F0DB3" w:rsidRPr="000F0DB3">
        <w:rPr>
          <w:rFonts w:ascii="Times New Roman" w:hAnsi="Times New Roman" w:cs="Times New Roman"/>
          <w:sz w:val="24"/>
          <w:szCs w:val="24"/>
        </w:rPr>
        <w:t xml:space="preserve"> that “public agencies regulate utility rates, operations, and service as a substitute for competition” because public utilities are “</w:t>
      </w:r>
      <w:proofErr w:type="gramStart"/>
      <w:r w:rsidR="000F0DB3" w:rsidRPr="000F0DB3">
        <w:rPr>
          <w:rFonts w:ascii="Times New Roman" w:hAnsi="Times New Roman" w:cs="Times New Roman"/>
          <w:sz w:val="24"/>
          <w:szCs w:val="24"/>
        </w:rPr>
        <w:t>by definition monopolies</w:t>
      </w:r>
      <w:proofErr w:type="gramEnd"/>
      <w:r w:rsidR="000F0DB3" w:rsidRPr="000F0DB3">
        <w:rPr>
          <w:rFonts w:ascii="Times New Roman" w:hAnsi="Times New Roman" w:cs="Times New Roman"/>
          <w:sz w:val="24"/>
          <w:szCs w:val="24"/>
        </w:rPr>
        <w:t xml:space="preserve"> in the areas they serve” such that “the normal forces of competition that regulate prices in a free enterprise society do not operate.”</w:t>
      </w:r>
      <w:r w:rsidR="00A21316">
        <w:rPr>
          <w:rFonts w:ascii="Times New Roman" w:hAnsi="Times New Roman" w:cs="Times New Roman"/>
          <w:sz w:val="24"/>
          <w:szCs w:val="24"/>
        </w:rPr>
        <w:t xml:space="preserve"> The legislature, in unbundling the ERCOT utilities to establish the competitive electricity market in Texas, found explicitly that “the production and sale of electricity is not a monopoly warranting regulation of </w:t>
      </w:r>
      <w:r w:rsidR="00F900BD">
        <w:rPr>
          <w:rFonts w:ascii="Times New Roman" w:hAnsi="Times New Roman" w:cs="Times New Roman"/>
          <w:sz w:val="24"/>
          <w:szCs w:val="24"/>
        </w:rPr>
        <w:t>rates, operations, and services</w:t>
      </w:r>
      <w:r w:rsidR="009B1C0C">
        <w:rPr>
          <w:rFonts w:ascii="Times New Roman" w:hAnsi="Times New Roman" w:cs="Times New Roman"/>
          <w:sz w:val="24"/>
          <w:szCs w:val="24"/>
        </w:rPr>
        <w:t>,</w:t>
      </w:r>
      <w:r w:rsidR="00A21316">
        <w:rPr>
          <w:rFonts w:ascii="Times New Roman" w:hAnsi="Times New Roman" w:cs="Times New Roman"/>
          <w:sz w:val="24"/>
          <w:szCs w:val="24"/>
        </w:rPr>
        <w:t>”</w:t>
      </w:r>
      <w:r w:rsidR="00A21316">
        <w:rPr>
          <w:rStyle w:val="FootnoteReference"/>
          <w:rFonts w:ascii="Times New Roman" w:hAnsi="Times New Roman" w:cs="Times New Roman"/>
          <w:sz w:val="24"/>
          <w:szCs w:val="24"/>
        </w:rPr>
        <w:footnoteReference w:id="5"/>
      </w:r>
      <w:r w:rsidR="009B1C0C">
        <w:rPr>
          <w:rFonts w:ascii="Times New Roman" w:hAnsi="Times New Roman" w:cs="Times New Roman"/>
          <w:sz w:val="24"/>
          <w:szCs w:val="24"/>
        </w:rPr>
        <w:t xml:space="preserve"> and that “the wholesale electric industry … is becoming a more competitive industry that does not lend itself to traditional electric utility regulatory rules, policies, and principles.”</w:t>
      </w:r>
      <w:r w:rsidR="009B1C0C">
        <w:rPr>
          <w:rStyle w:val="FootnoteReference"/>
          <w:rFonts w:ascii="Times New Roman" w:hAnsi="Times New Roman" w:cs="Times New Roman"/>
          <w:sz w:val="24"/>
          <w:szCs w:val="24"/>
        </w:rPr>
        <w:footnoteReference w:id="6"/>
      </w:r>
      <w:r w:rsidR="00104910">
        <w:rPr>
          <w:rFonts w:ascii="Times New Roman" w:hAnsi="Times New Roman" w:cs="Times New Roman"/>
          <w:sz w:val="24"/>
          <w:szCs w:val="24"/>
        </w:rPr>
        <w:t xml:space="preserve"> </w:t>
      </w:r>
      <w:r w:rsidR="00F900BD">
        <w:rPr>
          <w:rFonts w:ascii="Times New Roman" w:hAnsi="Times New Roman" w:cs="Times New Roman"/>
          <w:sz w:val="24"/>
          <w:szCs w:val="24"/>
        </w:rPr>
        <w:t>Tellingly, the only mention of “excess revenue” in all of PURA is in relation to the abuse of market power and the Commission’s ability to order disgorgement of excess revenues deemed to have accrued due to a violation of PURA’s prohibition on market power abuse.</w:t>
      </w:r>
      <w:r w:rsidR="00F900BD">
        <w:rPr>
          <w:rStyle w:val="FootnoteReference"/>
          <w:rFonts w:ascii="Times New Roman" w:hAnsi="Times New Roman" w:cs="Times New Roman"/>
          <w:sz w:val="24"/>
          <w:szCs w:val="24"/>
        </w:rPr>
        <w:footnoteReference w:id="7"/>
      </w:r>
      <w:r w:rsidR="00F900BD">
        <w:rPr>
          <w:rFonts w:ascii="Times New Roman" w:hAnsi="Times New Roman" w:cs="Times New Roman"/>
          <w:sz w:val="24"/>
          <w:szCs w:val="24"/>
        </w:rPr>
        <w:t xml:space="preserve"> </w:t>
      </w:r>
      <w:r w:rsidR="009B1C0C">
        <w:rPr>
          <w:rFonts w:ascii="Times New Roman" w:hAnsi="Times New Roman" w:cs="Times New Roman"/>
          <w:sz w:val="24"/>
          <w:szCs w:val="24"/>
        </w:rPr>
        <w:t>Taken together, it should be abundantly clear that it is by definition impossible for generators to earn “excess revenues” from competitive market prices</w:t>
      </w:r>
      <w:r w:rsidR="005869AF">
        <w:rPr>
          <w:rFonts w:ascii="Times New Roman" w:hAnsi="Times New Roman" w:cs="Times New Roman"/>
          <w:sz w:val="24"/>
          <w:szCs w:val="24"/>
        </w:rPr>
        <w:t>.</w:t>
      </w:r>
    </w:p>
    <w:p w:rsidR="00FE15D9" w:rsidRDefault="000E0E9F" w:rsidP="00CF5A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LCAP mechanism is thus not appropriate for a competitive energy-only market. Further, i</w:t>
      </w:r>
      <w:r w:rsidR="00454A2A">
        <w:rPr>
          <w:rFonts w:ascii="Times New Roman" w:hAnsi="Times New Roman" w:cs="Times New Roman"/>
          <w:sz w:val="24"/>
          <w:szCs w:val="24"/>
        </w:rPr>
        <w:t xml:space="preserve">f the Commission were to place a cap on ORDC revenues or </w:t>
      </w:r>
      <w:r w:rsidR="00AA4757">
        <w:rPr>
          <w:rFonts w:ascii="Times New Roman" w:hAnsi="Times New Roman" w:cs="Times New Roman"/>
          <w:sz w:val="24"/>
          <w:szCs w:val="24"/>
        </w:rPr>
        <w:t>suspend the ORDC when revenues reach a certain point</w:t>
      </w:r>
      <w:r w:rsidR="00454A2A">
        <w:rPr>
          <w:rFonts w:ascii="Times New Roman" w:hAnsi="Times New Roman" w:cs="Times New Roman"/>
          <w:sz w:val="24"/>
          <w:szCs w:val="24"/>
        </w:rPr>
        <w:t xml:space="preserve">, the Commission would effectively be signaling to the market that the ORDC would be allowed to operate </w:t>
      </w:r>
      <w:r w:rsidR="00CF0752">
        <w:rPr>
          <w:rFonts w:ascii="Times New Roman" w:hAnsi="Times New Roman" w:cs="Times New Roman"/>
          <w:sz w:val="24"/>
          <w:szCs w:val="24"/>
        </w:rPr>
        <w:t xml:space="preserve">only </w:t>
      </w:r>
      <w:r w:rsidR="00454A2A">
        <w:rPr>
          <w:rFonts w:ascii="Times New Roman" w:hAnsi="Times New Roman" w:cs="Times New Roman"/>
          <w:sz w:val="24"/>
          <w:szCs w:val="24"/>
        </w:rPr>
        <w:t xml:space="preserve">when supply is abundant and would be preventing the ORDC from serving its very purpose—to </w:t>
      </w:r>
      <w:r w:rsidR="008D33B5">
        <w:rPr>
          <w:rFonts w:ascii="Times New Roman" w:hAnsi="Times New Roman" w:cs="Times New Roman"/>
          <w:sz w:val="24"/>
          <w:szCs w:val="24"/>
        </w:rPr>
        <w:t>reflect the</w:t>
      </w:r>
      <w:r w:rsidR="00454A2A">
        <w:rPr>
          <w:rFonts w:ascii="Times New Roman" w:hAnsi="Times New Roman" w:cs="Times New Roman"/>
          <w:sz w:val="24"/>
          <w:szCs w:val="24"/>
        </w:rPr>
        <w:t xml:space="preserve"> value o</w:t>
      </w:r>
      <w:r w:rsidR="008D33B5">
        <w:rPr>
          <w:rFonts w:ascii="Times New Roman" w:hAnsi="Times New Roman" w:cs="Times New Roman"/>
          <w:sz w:val="24"/>
          <w:szCs w:val="24"/>
        </w:rPr>
        <w:t>f</w:t>
      </w:r>
      <w:r w:rsidR="00454A2A">
        <w:rPr>
          <w:rFonts w:ascii="Times New Roman" w:hAnsi="Times New Roman" w:cs="Times New Roman"/>
          <w:sz w:val="24"/>
          <w:szCs w:val="24"/>
        </w:rPr>
        <w:t xml:space="preserve"> operational reserves in times of scarcity</w:t>
      </w:r>
      <w:r w:rsidR="008D33B5">
        <w:rPr>
          <w:rFonts w:ascii="Times New Roman" w:hAnsi="Times New Roman" w:cs="Times New Roman"/>
          <w:sz w:val="24"/>
          <w:szCs w:val="24"/>
        </w:rPr>
        <w:t xml:space="preserve"> and to signal the need for additional supply in real-time and in the longer term</w:t>
      </w:r>
      <w:r w:rsidR="00454A2A">
        <w:rPr>
          <w:rFonts w:ascii="Times New Roman" w:hAnsi="Times New Roman" w:cs="Times New Roman"/>
          <w:sz w:val="24"/>
          <w:szCs w:val="24"/>
        </w:rPr>
        <w:t>.</w:t>
      </w:r>
      <w:r w:rsidR="00D2261F">
        <w:rPr>
          <w:rFonts w:ascii="Times New Roman" w:hAnsi="Times New Roman" w:cs="Times New Roman"/>
          <w:sz w:val="24"/>
          <w:szCs w:val="24"/>
        </w:rPr>
        <w:t xml:space="preserve"> </w:t>
      </w:r>
    </w:p>
    <w:p w:rsidR="00FE15D9" w:rsidRDefault="00346635" w:rsidP="00CF5A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F0752">
        <w:rPr>
          <w:rFonts w:ascii="Times New Roman" w:hAnsi="Times New Roman" w:cs="Times New Roman"/>
          <w:sz w:val="24"/>
          <w:szCs w:val="24"/>
        </w:rPr>
        <w:t>he argument that three times the cost of new entry (CONE)</w:t>
      </w:r>
      <w:r w:rsidR="00A86EBB">
        <w:rPr>
          <w:rFonts w:ascii="Times New Roman" w:hAnsi="Times New Roman" w:cs="Times New Roman"/>
          <w:sz w:val="24"/>
          <w:szCs w:val="24"/>
        </w:rPr>
        <w:t xml:space="preserve"> (i.e., the current LCAP trigger) would represent</w:t>
      </w:r>
      <w:r w:rsidR="00CF0752">
        <w:rPr>
          <w:rFonts w:ascii="Times New Roman" w:hAnsi="Times New Roman" w:cs="Times New Roman"/>
          <w:sz w:val="24"/>
          <w:szCs w:val="24"/>
        </w:rPr>
        <w:t xml:space="preserve"> </w:t>
      </w:r>
      <w:r w:rsidR="00A86EBB">
        <w:rPr>
          <w:rFonts w:ascii="Times New Roman" w:hAnsi="Times New Roman" w:cs="Times New Roman"/>
          <w:sz w:val="24"/>
          <w:szCs w:val="24"/>
        </w:rPr>
        <w:t xml:space="preserve">a </w:t>
      </w:r>
      <w:r w:rsidR="00CF0752">
        <w:rPr>
          <w:rFonts w:ascii="Times New Roman" w:hAnsi="Times New Roman" w:cs="Times New Roman"/>
          <w:sz w:val="24"/>
          <w:szCs w:val="24"/>
        </w:rPr>
        <w:t>catastrophic breakdown of the market is</w:t>
      </w:r>
      <w:r>
        <w:rPr>
          <w:rFonts w:ascii="Times New Roman" w:hAnsi="Times New Roman" w:cs="Times New Roman"/>
          <w:sz w:val="24"/>
          <w:szCs w:val="24"/>
        </w:rPr>
        <w:t xml:space="preserve"> similarly</w:t>
      </w:r>
      <w:r w:rsidR="00CF0752">
        <w:rPr>
          <w:rFonts w:ascii="Times New Roman" w:hAnsi="Times New Roman" w:cs="Times New Roman"/>
          <w:sz w:val="24"/>
          <w:szCs w:val="24"/>
        </w:rPr>
        <w:t xml:space="preserve"> flawed. </w:t>
      </w:r>
      <w:r w:rsidR="002E3FBA">
        <w:rPr>
          <w:rFonts w:ascii="Times New Roman" w:hAnsi="Times New Roman" w:cs="Times New Roman"/>
          <w:sz w:val="24"/>
          <w:szCs w:val="24"/>
        </w:rPr>
        <w:t>A</w:t>
      </w:r>
      <w:r w:rsidR="00FE15D9">
        <w:rPr>
          <w:rFonts w:ascii="Times New Roman" w:hAnsi="Times New Roman" w:cs="Times New Roman"/>
          <w:sz w:val="24"/>
          <w:szCs w:val="24"/>
        </w:rPr>
        <w:t>s an illustration, for net revenues to reach the current LCAP trigger (i.e., $315,000/MW-year)</w:t>
      </w:r>
      <w:r w:rsidR="00977FE0">
        <w:rPr>
          <w:rFonts w:ascii="Times New Roman" w:hAnsi="Times New Roman" w:cs="Times New Roman"/>
          <w:sz w:val="24"/>
          <w:szCs w:val="24"/>
        </w:rPr>
        <w:t xml:space="preserve"> under current market conditions</w:t>
      </w:r>
      <w:r w:rsidR="00A86EBB">
        <w:rPr>
          <w:rFonts w:ascii="Times New Roman" w:hAnsi="Times New Roman" w:cs="Times New Roman"/>
          <w:sz w:val="24"/>
          <w:szCs w:val="24"/>
        </w:rPr>
        <w:t xml:space="preserve">, </w:t>
      </w:r>
      <w:r w:rsidR="00FE15D9">
        <w:rPr>
          <w:rFonts w:ascii="Times New Roman" w:hAnsi="Times New Roman" w:cs="Times New Roman"/>
          <w:sz w:val="24"/>
          <w:szCs w:val="24"/>
        </w:rPr>
        <w:t>the annual average price of energy would have to be roughly $66/MWh:</w:t>
      </w:r>
    </w:p>
    <w:p w:rsidR="00CF5AA1" w:rsidRDefault="000050C8" w:rsidP="00562A04">
      <w:pPr>
        <w:pStyle w:val="ListParagraph"/>
        <w:numPr>
          <w:ilvl w:val="0"/>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Under both the current and proposed rule, t</w:t>
      </w:r>
      <w:r w:rsidR="00FE15D9">
        <w:rPr>
          <w:rFonts w:ascii="Times New Roman" w:hAnsi="Times New Roman" w:cs="Times New Roman"/>
          <w:sz w:val="24"/>
          <w:szCs w:val="24"/>
        </w:rPr>
        <w:t xml:space="preserve">he PNM is calculated by subtracting the operating costs of a hypothetical </w:t>
      </w:r>
      <w:proofErr w:type="spellStart"/>
      <w:r w:rsidR="00FE15D9">
        <w:rPr>
          <w:rFonts w:ascii="Times New Roman" w:hAnsi="Times New Roman" w:cs="Times New Roman"/>
          <w:sz w:val="24"/>
          <w:szCs w:val="24"/>
        </w:rPr>
        <w:t>peaker</w:t>
      </w:r>
      <w:proofErr w:type="spellEnd"/>
      <w:r w:rsidR="00FE15D9">
        <w:rPr>
          <w:rFonts w:ascii="Times New Roman" w:hAnsi="Times New Roman" w:cs="Times New Roman"/>
          <w:sz w:val="24"/>
          <w:szCs w:val="24"/>
        </w:rPr>
        <w:t xml:space="preserve"> unit from the real-time price of energy, and those costs are based on the price of gas times an assumed heat rate of</w:t>
      </w:r>
      <w:r w:rsidR="00977FE0">
        <w:rPr>
          <w:rFonts w:ascii="Times New Roman" w:hAnsi="Times New Roman" w:cs="Times New Roman"/>
          <w:sz w:val="24"/>
          <w:szCs w:val="24"/>
        </w:rPr>
        <w:t> </w:t>
      </w:r>
      <w:r w:rsidR="00FE15D9">
        <w:rPr>
          <w:rFonts w:ascii="Times New Roman" w:hAnsi="Times New Roman" w:cs="Times New Roman"/>
          <w:sz w:val="24"/>
          <w:szCs w:val="24"/>
        </w:rPr>
        <w:t>10.</w:t>
      </w:r>
    </w:p>
    <w:p w:rsidR="00FE15D9" w:rsidRDefault="00977FE0" w:rsidP="00562A04">
      <w:pPr>
        <w:pStyle w:val="ListParagraph"/>
        <w:numPr>
          <w:ilvl w:val="0"/>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Assuming</w:t>
      </w:r>
      <w:r w:rsidR="00FE15D9">
        <w:rPr>
          <w:rFonts w:ascii="Times New Roman" w:hAnsi="Times New Roman" w:cs="Times New Roman"/>
          <w:sz w:val="24"/>
          <w:szCs w:val="24"/>
        </w:rPr>
        <w:t xml:space="preserve"> the price of natural gas is $3 per </w:t>
      </w:r>
      <w:r w:rsidR="00890DEC">
        <w:rPr>
          <w:rFonts w:ascii="Times New Roman" w:hAnsi="Times New Roman" w:cs="Times New Roman"/>
          <w:sz w:val="24"/>
          <w:szCs w:val="24"/>
        </w:rPr>
        <w:t>MMBtu</w:t>
      </w:r>
      <w:r w:rsidR="00FE15D9">
        <w:rPr>
          <w:rFonts w:ascii="Times New Roman" w:hAnsi="Times New Roman" w:cs="Times New Roman"/>
          <w:sz w:val="24"/>
          <w:szCs w:val="24"/>
        </w:rPr>
        <w:t>,</w:t>
      </w:r>
      <w:r w:rsidR="00A86EBB">
        <w:rPr>
          <w:rStyle w:val="FootnoteReference"/>
          <w:rFonts w:ascii="Times New Roman" w:hAnsi="Times New Roman" w:cs="Times New Roman"/>
          <w:sz w:val="24"/>
          <w:szCs w:val="24"/>
        </w:rPr>
        <w:footnoteReference w:id="8"/>
      </w:r>
      <w:r w:rsidR="00FE15D9">
        <w:rPr>
          <w:rFonts w:ascii="Times New Roman" w:hAnsi="Times New Roman" w:cs="Times New Roman"/>
          <w:sz w:val="24"/>
          <w:szCs w:val="24"/>
        </w:rPr>
        <w:t xml:space="preserve"> that would lead to a pe</w:t>
      </w:r>
      <w:r w:rsidR="00620C1B">
        <w:rPr>
          <w:rFonts w:ascii="Times New Roman" w:hAnsi="Times New Roman" w:cs="Times New Roman"/>
          <w:sz w:val="24"/>
          <w:szCs w:val="24"/>
        </w:rPr>
        <w:t xml:space="preserve">aking operating </w:t>
      </w:r>
      <w:r w:rsidR="00E612B8">
        <w:rPr>
          <w:rFonts w:ascii="Times New Roman" w:hAnsi="Times New Roman" w:cs="Times New Roman"/>
          <w:sz w:val="24"/>
          <w:szCs w:val="24"/>
        </w:rPr>
        <w:t xml:space="preserve">marginal fuel </w:t>
      </w:r>
      <w:r w:rsidR="00620C1B">
        <w:rPr>
          <w:rFonts w:ascii="Times New Roman" w:hAnsi="Times New Roman" w:cs="Times New Roman"/>
          <w:sz w:val="24"/>
          <w:szCs w:val="24"/>
        </w:rPr>
        <w:t>cost of $30/MWh (i.e., $3/MMB</w:t>
      </w:r>
      <w:r w:rsidR="00890DEC">
        <w:rPr>
          <w:rFonts w:ascii="Times New Roman" w:hAnsi="Times New Roman" w:cs="Times New Roman"/>
          <w:sz w:val="24"/>
          <w:szCs w:val="24"/>
        </w:rPr>
        <w:t>t</w:t>
      </w:r>
      <w:r w:rsidR="00620C1B">
        <w:rPr>
          <w:rFonts w:ascii="Times New Roman" w:hAnsi="Times New Roman" w:cs="Times New Roman"/>
          <w:sz w:val="24"/>
          <w:szCs w:val="24"/>
        </w:rPr>
        <w:t>u x 10 heat rate = $30/MWh).</w:t>
      </w:r>
    </w:p>
    <w:p w:rsidR="00FE15D9" w:rsidRDefault="00FE15D9" w:rsidP="00562A04">
      <w:pPr>
        <w:pStyle w:val="ListParagraph"/>
        <w:numPr>
          <w:ilvl w:val="0"/>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For the PNM to exceed $315,000/MW-year, net revenues would need to equal approximately $35.96/MWh on average during the year:</w:t>
      </w:r>
    </w:p>
    <w:p w:rsidR="00FE15D9" w:rsidRDefault="00AB3BCB" w:rsidP="00562A04">
      <w:pPr>
        <w:pStyle w:val="ListParagraph"/>
        <w:numPr>
          <w:ilvl w:val="1"/>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$315,00</w:t>
      </w:r>
      <w:r w:rsidR="00E612B8">
        <w:rPr>
          <w:rFonts w:ascii="Times New Roman" w:hAnsi="Times New Roman" w:cs="Times New Roman"/>
          <w:sz w:val="24"/>
          <w:szCs w:val="24"/>
        </w:rPr>
        <w:t>0</w:t>
      </w:r>
      <w:r>
        <w:rPr>
          <w:rFonts w:ascii="Times New Roman" w:hAnsi="Times New Roman" w:cs="Times New Roman"/>
          <w:sz w:val="24"/>
          <w:szCs w:val="24"/>
        </w:rPr>
        <w:t xml:space="preserve">/MW-year / 8760 hours per year = $35.96/MWh </w:t>
      </w:r>
    </w:p>
    <w:p w:rsidR="00AB3BCB" w:rsidRDefault="00AB3BCB" w:rsidP="00562A04">
      <w:pPr>
        <w:pStyle w:val="ListParagraph"/>
        <w:numPr>
          <w:ilvl w:val="0"/>
          <w:numId w:val="24"/>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Adding the peaking operating cost of $30/MWh to the net revenues of $35.96/MWh equals an </w:t>
      </w:r>
      <w:r w:rsidR="00E612B8">
        <w:rPr>
          <w:rFonts w:ascii="Times New Roman" w:hAnsi="Times New Roman" w:cs="Times New Roman"/>
          <w:sz w:val="24"/>
          <w:szCs w:val="24"/>
        </w:rPr>
        <w:t xml:space="preserve">annual </w:t>
      </w:r>
      <w:r>
        <w:rPr>
          <w:rFonts w:ascii="Times New Roman" w:hAnsi="Times New Roman" w:cs="Times New Roman"/>
          <w:sz w:val="24"/>
          <w:szCs w:val="24"/>
        </w:rPr>
        <w:t xml:space="preserve">average </w:t>
      </w:r>
      <w:r w:rsidR="00E612B8">
        <w:rPr>
          <w:rFonts w:ascii="Times New Roman" w:hAnsi="Times New Roman" w:cs="Times New Roman"/>
          <w:sz w:val="24"/>
          <w:szCs w:val="24"/>
        </w:rPr>
        <w:t xml:space="preserve">wholesale </w:t>
      </w:r>
      <w:r>
        <w:rPr>
          <w:rFonts w:ascii="Times New Roman" w:hAnsi="Times New Roman" w:cs="Times New Roman"/>
          <w:sz w:val="24"/>
          <w:szCs w:val="24"/>
        </w:rPr>
        <w:t>energy price of $65.96/MWh.</w:t>
      </w:r>
    </w:p>
    <w:p w:rsidR="00AB3BCB" w:rsidRDefault="00AB3BCB" w:rsidP="00AB3BC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average price of energy exceeded $65.96/MWh both in 2005 and 2008</w:t>
      </w:r>
      <w:r w:rsidR="002A0975">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—while that price is higher than the average </w:t>
      </w:r>
      <w:r w:rsidR="00A42A08">
        <w:rPr>
          <w:rFonts w:ascii="Times New Roman" w:hAnsi="Times New Roman" w:cs="Times New Roman"/>
          <w:sz w:val="24"/>
          <w:szCs w:val="24"/>
        </w:rPr>
        <w:t xml:space="preserve">annual energy </w:t>
      </w:r>
      <w:r>
        <w:rPr>
          <w:rFonts w:ascii="Times New Roman" w:hAnsi="Times New Roman" w:cs="Times New Roman"/>
          <w:sz w:val="24"/>
          <w:szCs w:val="24"/>
        </w:rPr>
        <w:t xml:space="preserve">price </w:t>
      </w:r>
      <w:r w:rsidR="00620C1B">
        <w:rPr>
          <w:rFonts w:ascii="Times New Roman" w:hAnsi="Times New Roman" w:cs="Times New Roman"/>
          <w:sz w:val="24"/>
          <w:szCs w:val="24"/>
        </w:rPr>
        <w:t>over</w:t>
      </w:r>
      <w:r w:rsidR="00A42A08">
        <w:rPr>
          <w:rFonts w:ascii="Times New Roman" w:hAnsi="Times New Roman" w:cs="Times New Roman"/>
          <w:sz w:val="24"/>
          <w:szCs w:val="24"/>
        </w:rPr>
        <w:t xml:space="preserve"> the past several years,</w:t>
      </w:r>
      <w:r>
        <w:rPr>
          <w:rFonts w:ascii="Times New Roman" w:hAnsi="Times New Roman" w:cs="Times New Roman"/>
          <w:sz w:val="24"/>
          <w:szCs w:val="24"/>
        </w:rPr>
        <w:t xml:space="preserve"> it is hardly catastrophic and does not necessitate suspending or capping the </w:t>
      </w:r>
      <w:r w:rsidR="00995B4C">
        <w:rPr>
          <w:rFonts w:ascii="Times New Roman" w:hAnsi="Times New Roman" w:cs="Times New Roman"/>
          <w:sz w:val="24"/>
          <w:szCs w:val="24"/>
        </w:rPr>
        <w:t xml:space="preserve">revenues produced by the </w:t>
      </w:r>
      <w:r>
        <w:rPr>
          <w:rFonts w:ascii="Times New Roman" w:hAnsi="Times New Roman" w:cs="Times New Roman"/>
          <w:sz w:val="24"/>
          <w:szCs w:val="24"/>
        </w:rPr>
        <w:t xml:space="preserve">scarcity pricing mechanism (i.e., the ORDC) or lowering the </w:t>
      </w:r>
      <w:r w:rsidR="00995B4C">
        <w:rPr>
          <w:rFonts w:ascii="Times New Roman" w:hAnsi="Times New Roman" w:cs="Times New Roman"/>
          <w:sz w:val="24"/>
          <w:szCs w:val="24"/>
        </w:rPr>
        <w:t>system-wide offer cap (</w:t>
      </w:r>
      <w:r>
        <w:rPr>
          <w:rFonts w:ascii="Times New Roman" w:hAnsi="Times New Roman" w:cs="Times New Roman"/>
          <w:sz w:val="24"/>
          <w:szCs w:val="24"/>
        </w:rPr>
        <w:t>SWOC</w:t>
      </w:r>
      <w:r w:rsidR="00995B4C">
        <w:rPr>
          <w:rFonts w:ascii="Times New Roman" w:hAnsi="Times New Roman" w:cs="Times New Roman"/>
          <w:sz w:val="24"/>
          <w:szCs w:val="24"/>
        </w:rPr>
        <w:t>)</w:t>
      </w:r>
      <w:r>
        <w:rPr>
          <w:rFonts w:ascii="Times New Roman" w:hAnsi="Times New Roman" w:cs="Times New Roman"/>
          <w:sz w:val="24"/>
          <w:szCs w:val="24"/>
        </w:rPr>
        <w:t xml:space="preserve"> to LCAP. If such a </w:t>
      </w:r>
      <w:r>
        <w:rPr>
          <w:rFonts w:ascii="Times New Roman" w:hAnsi="Times New Roman" w:cs="Times New Roman"/>
          <w:sz w:val="24"/>
          <w:szCs w:val="24"/>
        </w:rPr>
        <w:lastRenderedPageBreak/>
        <w:t xml:space="preserve">year occurred, the reasonable expectation would be for the market to respond by making additional resources available, and it is </w:t>
      </w:r>
      <w:r w:rsidR="00E612B8">
        <w:rPr>
          <w:rFonts w:ascii="Times New Roman" w:hAnsi="Times New Roman" w:cs="Times New Roman"/>
          <w:sz w:val="24"/>
          <w:szCs w:val="24"/>
        </w:rPr>
        <w:t xml:space="preserve">highly </w:t>
      </w:r>
      <w:r>
        <w:rPr>
          <w:rFonts w:ascii="Times New Roman" w:hAnsi="Times New Roman" w:cs="Times New Roman"/>
          <w:sz w:val="24"/>
          <w:szCs w:val="24"/>
        </w:rPr>
        <w:t>unlikely that such prices would persist.</w:t>
      </w:r>
    </w:p>
    <w:p w:rsidR="00F04454" w:rsidRDefault="00F04454" w:rsidP="00F0445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TCPA continues to urge that the Commission eliminate the LCAP mechanism altogether and further urges that the Commission not place an arbitrary cap on ORDC revenues. </w:t>
      </w:r>
      <w:r w:rsidR="001D0396">
        <w:rPr>
          <w:rFonts w:ascii="Times New Roman" w:hAnsi="Times New Roman" w:cs="Times New Roman"/>
          <w:sz w:val="24"/>
          <w:szCs w:val="24"/>
        </w:rPr>
        <w:t>T</w:t>
      </w:r>
      <w:r>
        <w:rPr>
          <w:rFonts w:ascii="Times New Roman" w:hAnsi="Times New Roman" w:cs="Times New Roman"/>
          <w:sz w:val="24"/>
          <w:szCs w:val="24"/>
        </w:rPr>
        <w:t xml:space="preserve">he ORDC is a self-regulating mechanism, in the sense that it should incentivize resources to respond to scarcity pricing, both in real-time—by incentivizing resource owners to make all their resources available in real-time—and over the longer term—by incentivizing investment in new and existing resources in response to the scarcity pricing signals provided by the ORDC. As the available supply increases, the ORDC, by design, will diminish in </w:t>
      </w:r>
      <w:r w:rsidR="00E801FF">
        <w:rPr>
          <w:rFonts w:ascii="Times New Roman" w:hAnsi="Times New Roman" w:cs="Times New Roman"/>
          <w:sz w:val="24"/>
          <w:szCs w:val="24"/>
        </w:rPr>
        <w:t xml:space="preserve">effect, because the ORDC adders are based on the probability of a loss of load event. </w:t>
      </w:r>
    </w:p>
    <w:p w:rsidR="00AB3BCB" w:rsidRDefault="002E3FBA" w:rsidP="002E3FBA">
      <w:pPr>
        <w:spacing w:after="240" w:line="240" w:lineRule="auto"/>
        <w:ind w:left="1440" w:hanging="720"/>
        <w:jc w:val="both"/>
        <w:rPr>
          <w:rFonts w:ascii="Times New Roman" w:hAnsi="Times New Roman" w:cs="Times New Roman"/>
          <w:sz w:val="24"/>
          <w:szCs w:val="24"/>
        </w:rPr>
      </w:pPr>
      <w:r>
        <w:rPr>
          <w:rFonts w:ascii="Times New Roman" w:hAnsi="Times New Roman" w:cs="Times New Roman"/>
          <w:i/>
          <w:sz w:val="24"/>
          <w:szCs w:val="24"/>
        </w:rPr>
        <w:t>2.</w:t>
      </w:r>
      <w:r>
        <w:rPr>
          <w:rFonts w:ascii="Times New Roman" w:hAnsi="Times New Roman" w:cs="Times New Roman"/>
          <w:i/>
          <w:sz w:val="24"/>
          <w:szCs w:val="24"/>
        </w:rPr>
        <w:tab/>
        <w:t xml:space="preserve">Customers should not be exposed to </w:t>
      </w:r>
      <w:r w:rsidR="00BD5BA3">
        <w:rPr>
          <w:rFonts w:ascii="Times New Roman" w:hAnsi="Times New Roman" w:cs="Times New Roman"/>
          <w:i/>
          <w:sz w:val="24"/>
          <w:szCs w:val="24"/>
        </w:rPr>
        <w:t xml:space="preserve">high </w:t>
      </w:r>
      <w:r>
        <w:rPr>
          <w:rFonts w:ascii="Times New Roman" w:hAnsi="Times New Roman" w:cs="Times New Roman"/>
          <w:i/>
          <w:sz w:val="24"/>
          <w:szCs w:val="24"/>
        </w:rPr>
        <w:t xml:space="preserve">real-time prices if their REPs are (as they should be) hedging their customers’ </w:t>
      </w:r>
      <w:r w:rsidR="00BD5BA3">
        <w:rPr>
          <w:rFonts w:ascii="Times New Roman" w:hAnsi="Times New Roman" w:cs="Times New Roman"/>
          <w:i/>
          <w:sz w:val="24"/>
          <w:szCs w:val="24"/>
        </w:rPr>
        <w:t xml:space="preserve">real-time price </w:t>
      </w:r>
      <w:r>
        <w:rPr>
          <w:rFonts w:ascii="Times New Roman" w:hAnsi="Times New Roman" w:cs="Times New Roman"/>
          <w:i/>
          <w:sz w:val="24"/>
          <w:szCs w:val="24"/>
        </w:rPr>
        <w:t>exposure.</w:t>
      </w:r>
    </w:p>
    <w:p w:rsidR="002E3FBA" w:rsidRDefault="00261A5B" w:rsidP="00A42A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contention that customers will be harmed by extended exposure to scarcity pricing in real-time is based on the flawed premise that customers are </w:t>
      </w:r>
      <w:r w:rsidR="00350114">
        <w:rPr>
          <w:rFonts w:ascii="Times New Roman" w:hAnsi="Times New Roman" w:cs="Times New Roman"/>
          <w:sz w:val="24"/>
          <w:szCs w:val="24"/>
        </w:rPr>
        <w:t xml:space="preserve">broadly </w:t>
      </w:r>
      <w:r>
        <w:rPr>
          <w:rFonts w:ascii="Times New Roman" w:hAnsi="Times New Roman" w:cs="Times New Roman"/>
          <w:sz w:val="24"/>
          <w:szCs w:val="24"/>
        </w:rPr>
        <w:t>exposed to real-time prices.</w:t>
      </w:r>
      <w:r w:rsidR="00F0445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One of the primary benefits t</w:t>
      </w:r>
      <w:r w:rsidR="00620C1B">
        <w:rPr>
          <w:rFonts w:ascii="Times New Roman" w:hAnsi="Times New Roman" w:cs="Times New Roman"/>
          <w:sz w:val="24"/>
          <w:szCs w:val="24"/>
        </w:rPr>
        <w:t>hat retail electric providers (REPs</w:t>
      </w:r>
      <w:r>
        <w:rPr>
          <w:rFonts w:ascii="Times New Roman" w:hAnsi="Times New Roman" w:cs="Times New Roman"/>
          <w:sz w:val="24"/>
          <w:szCs w:val="24"/>
        </w:rPr>
        <w:t xml:space="preserve">) offer to their customers is protection from exposure to </w:t>
      </w:r>
      <w:r w:rsidR="00BD5BA3">
        <w:rPr>
          <w:rFonts w:ascii="Times New Roman" w:hAnsi="Times New Roman" w:cs="Times New Roman"/>
          <w:sz w:val="24"/>
          <w:szCs w:val="24"/>
        </w:rPr>
        <w:t xml:space="preserve">potential price </w:t>
      </w:r>
      <w:r w:rsidR="00620C1B">
        <w:rPr>
          <w:rFonts w:ascii="Times New Roman" w:hAnsi="Times New Roman" w:cs="Times New Roman"/>
          <w:sz w:val="24"/>
          <w:szCs w:val="24"/>
        </w:rPr>
        <w:t>volatility</w:t>
      </w:r>
      <w:r w:rsidR="00BD5BA3">
        <w:rPr>
          <w:rFonts w:ascii="Times New Roman" w:hAnsi="Times New Roman" w:cs="Times New Roman"/>
          <w:sz w:val="24"/>
          <w:szCs w:val="24"/>
        </w:rPr>
        <w:t xml:space="preserve"> in real-time</w:t>
      </w:r>
      <w:r>
        <w:rPr>
          <w:rFonts w:ascii="Times New Roman" w:hAnsi="Times New Roman" w:cs="Times New Roman"/>
          <w:sz w:val="24"/>
          <w:szCs w:val="24"/>
        </w:rPr>
        <w:t xml:space="preserve">. Many customers are on fixed price contracts, meaning that their price cannot be changed in response to increases in real-time energy prices. But even customers on variable products </w:t>
      </w:r>
      <w:r w:rsidR="00BB3797">
        <w:rPr>
          <w:rFonts w:ascii="Times New Roman" w:hAnsi="Times New Roman" w:cs="Times New Roman"/>
          <w:sz w:val="24"/>
          <w:szCs w:val="24"/>
        </w:rPr>
        <w:t xml:space="preserve">generally </w:t>
      </w:r>
      <w:r>
        <w:rPr>
          <w:rFonts w:ascii="Times New Roman" w:hAnsi="Times New Roman" w:cs="Times New Roman"/>
          <w:sz w:val="24"/>
          <w:szCs w:val="24"/>
        </w:rPr>
        <w:t>should be protected from exposure to</w:t>
      </w:r>
      <w:r w:rsidR="00BD5BA3">
        <w:rPr>
          <w:rFonts w:ascii="Times New Roman" w:hAnsi="Times New Roman" w:cs="Times New Roman"/>
          <w:sz w:val="24"/>
          <w:szCs w:val="24"/>
        </w:rPr>
        <w:t xml:space="preserve"> scarcity pricing in real-time, </w:t>
      </w:r>
      <w:r>
        <w:rPr>
          <w:rFonts w:ascii="Times New Roman" w:hAnsi="Times New Roman" w:cs="Times New Roman"/>
          <w:sz w:val="24"/>
          <w:szCs w:val="24"/>
        </w:rPr>
        <w:t xml:space="preserve">because their </w:t>
      </w:r>
      <w:r w:rsidR="00BD5BA3">
        <w:rPr>
          <w:rFonts w:ascii="Times New Roman" w:hAnsi="Times New Roman" w:cs="Times New Roman"/>
          <w:sz w:val="24"/>
          <w:szCs w:val="24"/>
        </w:rPr>
        <w:t>REPs</w:t>
      </w:r>
      <w:r w:rsidR="00E801FF">
        <w:rPr>
          <w:rFonts w:ascii="Times New Roman" w:hAnsi="Times New Roman" w:cs="Times New Roman"/>
          <w:sz w:val="24"/>
          <w:szCs w:val="24"/>
        </w:rPr>
        <w:t>, if acting responsibly,</w:t>
      </w:r>
      <w:r w:rsidR="00BD5BA3">
        <w:rPr>
          <w:rFonts w:ascii="Times New Roman" w:hAnsi="Times New Roman" w:cs="Times New Roman"/>
          <w:sz w:val="24"/>
          <w:szCs w:val="24"/>
        </w:rPr>
        <w:t xml:space="preserve"> should have purchased a good portion of their </w:t>
      </w:r>
      <w:r>
        <w:rPr>
          <w:rFonts w:ascii="Times New Roman" w:hAnsi="Times New Roman" w:cs="Times New Roman"/>
          <w:sz w:val="24"/>
          <w:szCs w:val="24"/>
        </w:rPr>
        <w:t xml:space="preserve">wholesale power </w:t>
      </w:r>
      <w:r w:rsidR="00BD5BA3">
        <w:rPr>
          <w:rFonts w:ascii="Times New Roman" w:hAnsi="Times New Roman" w:cs="Times New Roman"/>
          <w:sz w:val="24"/>
          <w:szCs w:val="24"/>
        </w:rPr>
        <w:t xml:space="preserve">ahead of time (e.g., </w:t>
      </w:r>
      <w:r>
        <w:rPr>
          <w:rFonts w:ascii="Times New Roman" w:hAnsi="Times New Roman" w:cs="Times New Roman"/>
          <w:sz w:val="24"/>
          <w:szCs w:val="24"/>
        </w:rPr>
        <w:t>in the bilateral market</w:t>
      </w:r>
      <w:r w:rsidR="00BD5BA3">
        <w:rPr>
          <w:rFonts w:ascii="Times New Roman" w:hAnsi="Times New Roman" w:cs="Times New Roman"/>
          <w:sz w:val="24"/>
          <w:szCs w:val="24"/>
        </w:rPr>
        <w:t>)</w:t>
      </w:r>
      <w:r>
        <w:rPr>
          <w:rFonts w:ascii="Times New Roman" w:hAnsi="Times New Roman" w:cs="Times New Roman"/>
          <w:sz w:val="24"/>
          <w:szCs w:val="24"/>
        </w:rPr>
        <w:t xml:space="preserve"> </w:t>
      </w:r>
      <w:r w:rsidR="00BD5BA3">
        <w:rPr>
          <w:rFonts w:ascii="Times New Roman" w:hAnsi="Times New Roman" w:cs="Times New Roman"/>
          <w:sz w:val="24"/>
          <w:szCs w:val="24"/>
        </w:rPr>
        <w:t xml:space="preserve">to mitigate the risk of exposure to high real-time prices. </w:t>
      </w:r>
      <w:r w:rsidR="00350114">
        <w:rPr>
          <w:rFonts w:ascii="Times New Roman" w:hAnsi="Times New Roman" w:cs="Times New Roman"/>
          <w:sz w:val="24"/>
          <w:szCs w:val="24"/>
        </w:rPr>
        <w:t>The impact to forward prices from a p</w:t>
      </w:r>
      <w:r w:rsidR="00BD5BA3">
        <w:rPr>
          <w:rFonts w:ascii="Times New Roman" w:hAnsi="Times New Roman" w:cs="Times New Roman"/>
          <w:sz w:val="24"/>
          <w:szCs w:val="24"/>
        </w:rPr>
        <w:t xml:space="preserve">rolonged scarcity pricing </w:t>
      </w:r>
      <w:r w:rsidR="00350114">
        <w:rPr>
          <w:rFonts w:ascii="Times New Roman" w:hAnsi="Times New Roman" w:cs="Times New Roman"/>
          <w:sz w:val="24"/>
          <w:szCs w:val="24"/>
        </w:rPr>
        <w:t xml:space="preserve">period would </w:t>
      </w:r>
      <w:r w:rsidR="004059E8">
        <w:rPr>
          <w:rFonts w:ascii="Times New Roman" w:hAnsi="Times New Roman" w:cs="Times New Roman"/>
          <w:sz w:val="24"/>
          <w:szCs w:val="24"/>
        </w:rPr>
        <w:t xml:space="preserve">also </w:t>
      </w:r>
      <w:r w:rsidR="00A92658">
        <w:rPr>
          <w:rFonts w:ascii="Times New Roman" w:hAnsi="Times New Roman" w:cs="Times New Roman"/>
          <w:sz w:val="24"/>
          <w:szCs w:val="24"/>
        </w:rPr>
        <w:t xml:space="preserve">likely </w:t>
      </w:r>
      <w:r w:rsidR="00BD5BA3">
        <w:rPr>
          <w:rFonts w:ascii="Times New Roman" w:hAnsi="Times New Roman" w:cs="Times New Roman"/>
          <w:sz w:val="24"/>
          <w:szCs w:val="24"/>
        </w:rPr>
        <w:t xml:space="preserve">be </w:t>
      </w:r>
      <w:r w:rsidR="00A92658">
        <w:rPr>
          <w:rFonts w:ascii="Times New Roman" w:hAnsi="Times New Roman" w:cs="Times New Roman"/>
          <w:sz w:val="24"/>
          <w:szCs w:val="24"/>
        </w:rPr>
        <w:t xml:space="preserve">mitigated </w:t>
      </w:r>
      <w:r w:rsidR="00BD5BA3">
        <w:rPr>
          <w:rFonts w:ascii="Times New Roman" w:hAnsi="Times New Roman" w:cs="Times New Roman"/>
          <w:sz w:val="24"/>
          <w:szCs w:val="24"/>
        </w:rPr>
        <w:t xml:space="preserve">(and thus </w:t>
      </w:r>
      <w:r w:rsidR="00A92658">
        <w:rPr>
          <w:rFonts w:ascii="Times New Roman" w:hAnsi="Times New Roman" w:cs="Times New Roman"/>
          <w:sz w:val="24"/>
          <w:szCs w:val="24"/>
        </w:rPr>
        <w:t xml:space="preserve">so would </w:t>
      </w:r>
      <w:r w:rsidR="00BD5BA3">
        <w:rPr>
          <w:rFonts w:ascii="Times New Roman" w:hAnsi="Times New Roman" w:cs="Times New Roman"/>
          <w:sz w:val="24"/>
          <w:szCs w:val="24"/>
        </w:rPr>
        <w:t xml:space="preserve">forward contract prices), because </w:t>
      </w:r>
      <w:r w:rsidR="004059E8">
        <w:rPr>
          <w:rFonts w:ascii="Times New Roman" w:hAnsi="Times New Roman" w:cs="Times New Roman"/>
          <w:sz w:val="24"/>
          <w:szCs w:val="24"/>
        </w:rPr>
        <w:t>forward prices reflect investors</w:t>
      </w:r>
      <w:r w:rsidR="00BB3797">
        <w:rPr>
          <w:rFonts w:ascii="Times New Roman" w:hAnsi="Times New Roman" w:cs="Times New Roman"/>
          <w:sz w:val="24"/>
          <w:szCs w:val="24"/>
        </w:rPr>
        <w:t>’</w:t>
      </w:r>
      <w:r w:rsidR="004059E8">
        <w:rPr>
          <w:rFonts w:ascii="Times New Roman" w:hAnsi="Times New Roman" w:cs="Times New Roman"/>
          <w:sz w:val="24"/>
          <w:szCs w:val="24"/>
        </w:rPr>
        <w:t xml:space="preserve"> expectations of future market condition</w:t>
      </w:r>
      <w:r w:rsidR="00562A04">
        <w:rPr>
          <w:rFonts w:ascii="Times New Roman" w:hAnsi="Times New Roman" w:cs="Times New Roman"/>
          <w:sz w:val="24"/>
          <w:szCs w:val="24"/>
        </w:rPr>
        <w:t>s,</w:t>
      </w:r>
      <w:r w:rsidR="004059E8">
        <w:rPr>
          <w:rFonts w:ascii="Times New Roman" w:hAnsi="Times New Roman" w:cs="Times New Roman"/>
          <w:sz w:val="24"/>
          <w:szCs w:val="24"/>
        </w:rPr>
        <w:t xml:space="preserve"> and </w:t>
      </w:r>
      <w:r w:rsidR="00BD5BA3">
        <w:rPr>
          <w:rFonts w:ascii="Times New Roman" w:hAnsi="Times New Roman" w:cs="Times New Roman"/>
          <w:sz w:val="24"/>
          <w:szCs w:val="24"/>
        </w:rPr>
        <w:t>the</w:t>
      </w:r>
      <w:r w:rsidR="004059E8">
        <w:rPr>
          <w:rFonts w:ascii="Times New Roman" w:hAnsi="Times New Roman" w:cs="Times New Roman"/>
          <w:sz w:val="24"/>
          <w:szCs w:val="24"/>
        </w:rPr>
        <w:t xml:space="preserve"> likely </w:t>
      </w:r>
      <w:r w:rsidR="00BD5BA3">
        <w:rPr>
          <w:rFonts w:ascii="Times New Roman" w:hAnsi="Times New Roman" w:cs="Times New Roman"/>
          <w:sz w:val="24"/>
          <w:szCs w:val="24"/>
        </w:rPr>
        <w:t xml:space="preserve">expectation would be that the market would respond to scarcity pricing </w:t>
      </w:r>
      <w:r w:rsidR="00A92658">
        <w:rPr>
          <w:rFonts w:ascii="Times New Roman" w:hAnsi="Times New Roman" w:cs="Times New Roman"/>
          <w:sz w:val="24"/>
          <w:szCs w:val="24"/>
        </w:rPr>
        <w:t xml:space="preserve">– </w:t>
      </w:r>
      <w:r w:rsidR="00BD5BA3">
        <w:rPr>
          <w:rFonts w:ascii="Times New Roman" w:hAnsi="Times New Roman" w:cs="Times New Roman"/>
          <w:sz w:val="24"/>
          <w:szCs w:val="24"/>
        </w:rPr>
        <w:t>and</w:t>
      </w:r>
      <w:r w:rsidR="004059E8">
        <w:rPr>
          <w:rFonts w:ascii="Times New Roman" w:hAnsi="Times New Roman" w:cs="Times New Roman"/>
          <w:sz w:val="24"/>
          <w:szCs w:val="24"/>
        </w:rPr>
        <w:t xml:space="preserve"> thus</w:t>
      </w:r>
      <w:r w:rsidR="00BD5BA3">
        <w:rPr>
          <w:rFonts w:ascii="Times New Roman" w:hAnsi="Times New Roman" w:cs="Times New Roman"/>
          <w:sz w:val="24"/>
          <w:szCs w:val="24"/>
        </w:rPr>
        <w:t xml:space="preserve"> the scarcity would not last over the longer term. It is therefore misleading to suggest that the </w:t>
      </w:r>
      <w:r w:rsidR="00BD5BA3" w:rsidRPr="001667EA">
        <w:rPr>
          <w:rFonts w:ascii="Times New Roman" w:hAnsi="Times New Roman" w:cs="Times New Roman"/>
          <w:i/>
          <w:sz w:val="24"/>
          <w:szCs w:val="24"/>
        </w:rPr>
        <w:t>customer</w:t>
      </w:r>
      <w:r w:rsidR="00BD5BA3">
        <w:rPr>
          <w:rFonts w:ascii="Times New Roman" w:hAnsi="Times New Roman" w:cs="Times New Roman"/>
          <w:sz w:val="24"/>
          <w:szCs w:val="24"/>
        </w:rPr>
        <w:t xml:space="preserve"> will </w:t>
      </w:r>
      <w:r w:rsidR="004059E8">
        <w:rPr>
          <w:rFonts w:ascii="Times New Roman" w:hAnsi="Times New Roman" w:cs="Times New Roman"/>
          <w:sz w:val="24"/>
          <w:szCs w:val="24"/>
        </w:rPr>
        <w:t xml:space="preserve">be exposed to high real-time prices </w:t>
      </w:r>
      <w:r w:rsidR="00BD5BA3">
        <w:rPr>
          <w:rFonts w:ascii="Times New Roman" w:hAnsi="Times New Roman" w:cs="Times New Roman"/>
          <w:sz w:val="24"/>
          <w:szCs w:val="24"/>
        </w:rPr>
        <w:t>if there is prolonged scarcity pricing</w:t>
      </w:r>
      <w:r w:rsidR="00A92658">
        <w:rPr>
          <w:rFonts w:ascii="Times New Roman" w:hAnsi="Times New Roman" w:cs="Times New Roman"/>
          <w:sz w:val="24"/>
          <w:szCs w:val="24"/>
        </w:rPr>
        <w:t xml:space="preserve"> unless the customer had knowingly contracted to accept that risk</w:t>
      </w:r>
      <w:r w:rsidR="00BD5BA3">
        <w:rPr>
          <w:rFonts w:ascii="Times New Roman" w:hAnsi="Times New Roman" w:cs="Times New Roman"/>
          <w:sz w:val="24"/>
          <w:szCs w:val="24"/>
        </w:rPr>
        <w:t xml:space="preserve">. </w:t>
      </w:r>
      <w:r w:rsidR="00A92658">
        <w:rPr>
          <w:rFonts w:ascii="Times New Roman" w:hAnsi="Times New Roman" w:cs="Times New Roman"/>
          <w:sz w:val="24"/>
          <w:szCs w:val="24"/>
        </w:rPr>
        <w:t xml:space="preserve">While the </w:t>
      </w:r>
      <w:r w:rsidR="00A92658" w:rsidRPr="001667EA">
        <w:rPr>
          <w:rFonts w:ascii="Times New Roman" w:hAnsi="Times New Roman" w:cs="Times New Roman"/>
          <w:i/>
          <w:sz w:val="24"/>
          <w:szCs w:val="24"/>
        </w:rPr>
        <w:t>REP</w:t>
      </w:r>
      <w:r w:rsidR="00A92658">
        <w:rPr>
          <w:rFonts w:ascii="Times New Roman" w:hAnsi="Times New Roman" w:cs="Times New Roman"/>
          <w:sz w:val="24"/>
          <w:szCs w:val="24"/>
        </w:rPr>
        <w:t xml:space="preserve"> may be exposed to high real-time prices in a prolonged scarcity pricing period, that is a risk that is wholly within the REP’s </w:t>
      </w:r>
      <w:r w:rsidR="00A92658">
        <w:rPr>
          <w:rFonts w:ascii="Times New Roman" w:hAnsi="Times New Roman" w:cs="Times New Roman"/>
          <w:sz w:val="24"/>
          <w:szCs w:val="24"/>
        </w:rPr>
        <w:lastRenderedPageBreak/>
        <w:t xml:space="preserve">capabilities – as well as value proposition and fiduciary responsibility to the REP’s investors – to manage. </w:t>
      </w:r>
      <w:r w:rsidR="00995B4C">
        <w:rPr>
          <w:rFonts w:ascii="Times New Roman" w:hAnsi="Times New Roman" w:cs="Times New Roman"/>
          <w:sz w:val="24"/>
          <w:szCs w:val="24"/>
        </w:rPr>
        <w:t>And this is not a valid argument for suspending scarcity pricing in the event scarcity materializes, e.g., by placing a cap on ORDC revenues or resetting the SWOC to LCAP.</w:t>
      </w:r>
    </w:p>
    <w:p w:rsidR="00E801FF" w:rsidRDefault="00E801FF" w:rsidP="00995B4C">
      <w:pPr>
        <w:spacing w:after="240" w:line="240" w:lineRule="auto"/>
        <w:ind w:left="1440" w:hanging="720"/>
        <w:jc w:val="both"/>
        <w:rPr>
          <w:rFonts w:ascii="Times New Roman" w:hAnsi="Times New Roman" w:cs="Times New Roman"/>
          <w:sz w:val="24"/>
          <w:szCs w:val="24"/>
        </w:rPr>
      </w:pPr>
      <w:r>
        <w:rPr>
          <w:rFonts w:ascii="Times New Roman" w:hAnsi="Times New Roman" w:cs="Times New Roman"/>
          <w:i/>
          <w:sz w:val="24"/>
          <w:szCs w:val="24"/>
        </w:rPr>
        <w:t>3.</w:t>
      </w:r>
      <w:r>
        <w:rPr>
          <w:rFonts w:ascii="Times New Roman" w:hAnsi="Times New Roman" w:cs="Times New Roman"/>
          <w:i/>
          <w:sz w:val="24"/>
          <w:szCs w:val="24"/>
        </w:rPr>
        <w:tab/>
        <w:t>The PNM calculation should not be modified as suggested in initial comments.</w:t>
      </w:r>
    </w:p>
    <w:p w:rsidR="00E211B7" w:rsidRPr="00767658" w:rsidRDefault="00E211B7" w:rsidP="00E211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noted</w:t>
      </w:r>
      <w:r w:rsidR="00A92066">
        <w:rPr>
          <w:rFonts w:ascii="Times New Roman" w:hAnsi="Times New Roman" w:cs="Times New Roman"/>
          <w:sz w:val="24"/>
          <w:szCs w:val="24"/>
        </w:rPr>
        <w:t xml:space="preserve"> in TCPA’s initial comments</w:t>
      </w:r>
      <w:r>
        <w:rPr>
          <w:rFonts w:ascii="Times New Roman" w:hAnsi="Times New Roman" w:cs="Times New Roman"/>
          <w:sz w:val="24"/>
          <w:szCs w:val="24"/>
        </w:rPr>
        <w:t>, the Commission should require ERCOT to report the PNM for informational purposes, regardless of whether the Commission adopts the suggestion to eliminate the LCAP mechanism,</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TCPA generally supports the calculation of PNM set forth in the existing rule and the clean-ups to the rule language in the proposed rule. </w:t>
      </w:r>
      <w:r w:rsidRPr="00767658">
        <w:rPr>
          <w:rFonts w:ascii="Times New Roman" w:hAnsi="Times New Roman" w:cs="Times New Roman"/>
          <w:sz w:val="24"/>
          <w:szCs w:val="24"/>
        </w:rPr>
        <w:t>Th</w:t>
      </w:r>
      <w:r w:rsidR="00A92066">
        <w:rPr>
          <w:rFonts w:ascii="Times New Roman" w:hAnsi="Times New Roman" w:cs="Times New Roman"/>
          <w:sz w:val="24"/>
          <w:szCs w:val="24"/>
        </w:rPr>
        <w:t>e PNM</w:t>
      </w:r>
      <w:r w:rsidRPr="00767658">
        <w:rPr>
          <w:rFonts w:ascii="Times New Roman" w:hAnsi="Times New Roman" w:cs="Times New Roman"/>
          <w:sz w:val="24"/>
          <w:szCs w:val="24"/>
        </w:rPr>
        <w:t xml:space="preserve"> calculation is intended to </w:t>
      </w:r>
      <w:r w:rsidR="00A92066">
        <w:rPr>
          <w:rFonts w:ascii="Times New Roman" w:hAnsi="Times New Roman" w:cs="Times New Roman"/>
          <w:sz w:val="24"/>
          <w:szCs w:val="24"/>
        </w:rPr>
        <w:t>transparently estimate</w:t>
      </w:r>
      <w:r w:rsidRPr="00767658">
        <w:rPr>
          <w:rFonts w:ascii="Times New Roman" w:hAnsi="Times New Roman" w:cs="Times New Roman"/>
          <w:sz w:val="24"/>
          <w:szCs w:val="24"/>
        </w:rPr>
        <w:t xml:space="preserve"> the annual levelized net revenues (real time energy price minus peaking operating costs) that a hypothetical gas-fired peaking unit</w:t>
      </w:r>
      <w:r w:rsidR="00767658">
        <w:rPr>
          <w:rFonts w:ascii="Times New Roman" w:hAnsi="Times New Roman" w:cs="Times New Roman"/>
          <w:sz w:val="24"/>
          <w:szCs w:val="24"/>
        </w:rPr>
        <w:t xml:space="preserve"> (i.e., typically, the marginal unit)</w:t>
      </w:r>
      <w:r w:rsidRPr="00767658">
        <w:rPr>
          <w:rFonts w:ascii="Times New Roman" w:hAnsi="Times New Roman" w:cs="Times New Roman"/>
          <w:sz w:val="24"/>
          <w:szCs w:val="24"/>
        </w:rPr>
        <w:t xml:space="preserve"> could expect to earn.</w:t>
      </w:r>
      <w:r w:rsidRPr="00767658">
        <w:rPr>
          <w:rStyle w:val="FootnoteReference"/>
          <w:rFonts w:ascii="Times New Roman" w:hAnsi="Times New Roman" w:cs="Times New Roman"/>
          <w:sz w:val="24"/>
          <w:szCs w:val="24"/>
        </w:rPr>
        <w:footnoteReference w:id="12"/>
      </w:r>
      <w:r w:rsidR="00767658">
        <w:rPr>
          <w:rFonts w:ascii="Times New Roman" w:hAnsi="Times New Roman" w:cs="Times New Roman"/>
          <w:sz w:val="24"/>
          <w:szCs w:val="24"/>
        </w:rPr>
        <w:t xml:space="preserve"> It is not intended to perfectly represent the net revenues of an actual generator, but is a proxy based on objective, readily available data. For the reasons discussed below, the Commission should not modify that calculation as recommended in initial comments</w:t>
      </w:r>
      <w:r w:rsidR="00A92066">
        <w:rPr>
          <w:rFonts w:ascii="Times New Roman" w:hAnsi="Times New Roman" w:cs="Times New Roman"/>
          <w:sz w:val="24"/>
          <w:szCs w:val="24"/>
        </w:rPr>
        <w:t xml:space="preserve"> of some parties</w:t>
      </w:r>
      <w:r w:rsidR="00767658">
        <w:rPr>
          <w:rFonts w:ascii="Times New Roman" w:hAnsi="Times New Roman" w:cs="Times New Roman"/>
          <w:sz w:val="24"/>
          <w:szCs w:val="24"/>
        </w:rPr>
        <w:t>.</w:t>
      </w:r>
    </w:p>
    <w:p w:rsidR="00E801FF" w:rsidRDefault="00995B4C" w:rsidP="00995B4C">
      <w:pPr>
        <w:spacing w:after="24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Suggestion to reduce multiplier for peaking operating cost from 10X to 8X</w:t>
      </w:r>
    </w:p>
    <w:p w:rsidR="00767658" w:rsidRDefault="00767658" w:rsidP="00475896">
      <w:pPr>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current PNM calculation assumes that the hypothetical marginal resource has a heat rate</w:t>
      </w:r>
      <w:r w:rsidR="00A92066">
        <w:rPr>
          <w:rFonts w:ascii="Times New Roman" w:hAnsi="Times New Roman" w:cs="Times New Roman"/>
          <w:sz w:val="24"/>
          <w:szCs w:val="24"/>
        </w:rPr>
        <w:t xml:space="preserve"> of 10 MMBtu/MWh</w:t>
      </w:r>
      <w:r>
        <w:rPr>
          <w:rFonts w:ascii="Times New Roman" w:hAnsi="Times New Roman" w:cs="Times New Roman"/>
          <w:sz w:val="24"/>
          <w:szCs w:val="24"/>
        </w:rPr>
        <w:t xml:space="preserve">. A couple of commenters suggested that the </w:t>
      </w:r>
      <w:proofErr w:type="gramStart"/>
      <w:r>
        <w:rPr>
          <w:rFonts w:ascii="Times New Roman" w:hAnsi="Times New Roman" w:cs="Times New Roman"/>
          <w:sz w:val="24"/>
          <w:szCs w:val="24"/>
        </w:rPr>
        <w:t>10 heat</w:t>
      </w:r>
      <w:proofErr w:type="gramEnd"/>
      <w:r>
        <w:rPr>
          <w:rFonts w:ascii="Times New Roman" w:hAnsi="Times New Roman" w:cs="Times New Roman"/>
          <w:sz w:val="24"/>
          <w:szCs w:val="24"/>
        </w:rPr>
        <w:t xml:space="preserve"> rate is an outdated measure, because new </w:t>
      </w:r>
      <w:r w:rsidR="00A92066">
        <w:rPr>
          <w:rFonts w:ascii="Times New Roman" w:hAnsi="Times New Roman" w:cs="Times New Roman"/>
          <w:sz w:val="24"/>
          <w:szCs w:val="24"/>
        </w:rPr>
        <w:t xml:space="preserve">simple cycle </w:t>
      </w:r>
      <w:r>
        <w:rPr>
          <w:rFonts w:ascii="Times New Roman" w:hAnsi="Times New Roman" w:cs="Times New Roman"/>
          <w:sz w:val="24"/>
          <w:szCs w:val="24"/>
        </w:rPr>
        <w:t>units allegedly are more efficient and have an 8 heat rate.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C96A7B">
        <w:rPr>
          <w:rFonts w:ascii="Times New Roman" w:hAnsi="Times New Roman" w:cs="Times New Roman"/>
          <w:sz w:val="24"/>
          <w:szCs w:val="24"/>
        </w:rPr>
        <w:t>The logic behind this suggestion is flawed for a number of reasons, not</w:t>
      </w:r>
      <w:r w:rsidR="00C34C4B">
        <w:rPr>
          <w:rFonts w:ascii="Times New Roman" w:hAnsi="Times New Roman" w:cs="Times New Roman"/>
          <w:sz w:val="24"/>
          <w:szCs w:val="24"/>
        </w:rPr>
        <w:t xml:space="preserve"> the</w:t>
      </w:r>
      <w:r w:rsidR="00C96A7B">
        <w:rPr>
          <w:rFonts w:ascii="Times New Roman" w:hAnsi="Times New Roman" w:cs="Times New Roman"/>
          <w:sz w:val="24"/>
          <w:szCs w:val="24"/>
        </w:rPr>
        <w:t xml:space="preserve"> least of which is that the mere existence of a more efficient combustion turbine does not alone make that unit the new standard reference. </w:t>
      </w:r>
      <w:r w:rsidR="00DE7BF2">
        <w:rPr>
          <w:rFonts w:ascii="Times New Roman" w:hAnsi="Times New Roman" w:cs="Times New Roman"/>
          <w:sz w:val="24"/>
          <w:szCs w:val="24"/>
        </w:rPr>
        <w:t xml:space="preserve">As with many machines such as vehicles, air conditioners, and home appliances, additional efficiency comes at a higher capital cost – but whether the additional efficiency </w:t>
      </w:r>
      <w:r w:rsidR="00562A04">
        <w:rPr>
          <w:rFonts w:ascii="Times New Roman" w:hAnsi="Times New Roman" w:cs="Times New Roman"/>
          <w:sz w:val="24"/>
          <w:szCs w:val="24"/>
        </w:rPr>
        <w:t xml:space="preserve">is worthwhile to the purchaser </w:t>
      </w:r>
      <w:r w:rsidR="00DE7BF2">
        <w:rPr>
          <w:rFonts w:ascii="Times New Roman" w:hAnsi="Times New Roman" w:cs="Times New Roman"/>
          <w:sz w:val="24"/>
          <w:szCs w:val="24"/>
        </w:rPr>
        <w:t>depend</w:t>
      </w:r>
      <w:r w:rsidR="00562A04">
        <w:rPr>
          <w:rFonts w:ascii="Times New Roman" w:hAnsi="Times New Roman" w:cs="Times New Roman"/>
          <w:sz w:val="24"/>
          <w:szCs w:val="24"/>
        </w:rPr>
        <w:t>s</w:t>
      </w:r>
      <w:r w:rsidR="00DE7BF2">
        <w:rPr>
          <w:rFonts w:ascii="Times New Roman" w:hAnsi="Times New Roman" w:cs="Times New Roman"/>
          <w:sz w:val="24"/>
          <w:szCs w:val="24"/>
        </w:rPr>
        <w:t xml:space="preserve"> on </w:t>
      </w:r>
      <w:r w:rsidR="00C34C4B">
        <w:rPr>
          <w:rFonts w:ascii="Times New Roman" w:hAnsi="Times New Roman" w:cs="Times New Roman"/>
          <w:sz w:val="24"/>
          <w:szCs w:val="24"/>
        </w:rPr>
        <w:t>multiple</w:t>
      </w:r>
      <w:r w:rsidR="00DE7BF2">
        <w:rPr>
          <w:rFonts w:ascii="Times New Roman" w:hAnsi="Times New Roman" w:cs="Times New Roman"/>
          <w:sz w:val="24"/>
          <w:szCs w:val="24"/>
        </w:rPr>
        <w:t xml:space="preserve"> factors</w:t>
      </w:r>
      <w:r w:rsidR="00C34C4B">
        <w:rPr>
          <w:rFonts w:ascii="Times New Roman" w:hAnsi="Times New Roman" w:cs="Times New Roman"/>
          <w:sz w:val="24"/>
          <w:szCs w:val="24"/>
        </w:rPr>
        <w:t>.</w:t>
      </w:r>
      <w:r w:rsidR="00DE7BF2">
        <w:rPr>
          <w:rFonts w:ascii="Times New Roman" w:hAnsi="Times New Roman" w:cs="Times New Roman"/>
          <w:sz w:val="24"/>
          <w:szCs w:val="24"/>
        </w:rPr>
        <w:t xml:space="preserve"> </w:t>
      </w:r>
      <w:r w:rsidR="00C34C4B">
        <w:rPr>
          <w:rFonts w:ascii="Times New Roman" w:hAnsi="Times New Roman" w:cs="Times New Roman"/>
          <w:sz w:val="24"/>
          <w:szCs w:val="24"/>
        </w:rPr>
        <w:t>Therefore,</w:t>
      </w:r>
      <w:r w:rsidR="00DE7BF2">
        <w:rPr>
          <w:rFonts w:ascii="Times New Roman" w:hAnsi="Times New Roman" w:cs="Times New Roman"/>
          <w:sz w:val="24"/>
          <w:szCs w:val="24"/>
        </w:rPr>
        <w:t xml:space="preserve"> it is irrational to assume that all purchasers choose the most efficient commercially available option.</w:t>
      </w:r>
    </w:p>
    <w:p w:rsidR="0049028A" w:rsidRDefault="00562A04" w:rsidP="00E211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w</w:t>
      </w:r>
      <w:r w:rsidR="00767658">
        <w:rPr>
          <w:rFonts w:ascii="Times New Roman" w:hAnsi="Times New Roman" w:cs="Times New Roman"/>
          <w:sz w:val="24"/>
          <w:szCs w:val="24"/>
        </w:rPr>
        <w:t xml:space="preserve">hile </w:t>
      </w:r>
      <w:r w:rsidR="00393D78">
        <w:rPr>
          <w:rFonts w:ascii="Times New Roman" w:hAnsi="Times New Roman" w:cs="Times New Roman"/>
          <w:sz w:val="24"/>
          <w:szCs w:val="24"/>
        </w:rPr>
        <w:t>some newer gas units might be</w:t>
      </w:r>
      <w:r w:rsidR="00767658">
        <w:rPr>
          <w:rFonts w:ascii="Times New Roman" w:hAnsi="Times New Roman" w:cs="Times New Roman"/>
          <w:sz w:val="24"/>
          <w:szCs w:val="24"/>
        </w:rPr>
        <w:t xml:space="preserve"> more efficient than a </w:t>
      </w:r>
      <w:proofErr w:type="gramStart"/>
      <w:r w:rsidR="00767658">
        <w:rPr>
          <w:rFonts w:ascii="Times New Roman" w:hAnsi="Times New Roman" w:cs="Times New Roman"/>
          <w:sz w:val="24"/>
          <w:szCs w:val="24"/>
        </w:rPr>
        <w:t>10 heat</w:t>
      </w:r>
      <w:proofErr w:type="gramEnd"/>
      <w:r w:rsidR="00767658">
        <w:rPr>
          <w:rFonts w:ascii="Times New Roman" w:hAnsi="Times New Roman" w:cs="Times New Roman"/>
          <w:sz w:val="24"/>
          <w:szCs w:val="24"/>
        </w:rPr>
        <w:t xml:space="preserve"> rate, the price data for the past several years supports the use of a 10 heat rate for purposes of calculating the costs of the hypothetical marginal unit</w:t>
      </w:r>
      <w:r w:rsidR="0049028A">
        <w:rPr>
          <w:rFonts w:ascii="Times New Roman" w:hAnsi="Times New Roman" w:cs="Times New Roman"/>
          <w:sz w:val="24"/>
          <w:szCs w:val="24"/>
        </w:rPr>
        <w:t>. As shown in the most recent report to the ERCOT Board by the Independent Market Monitor (IMM)</w:t>
      </w:r>
      <w:r w:rsidR="00475896">
        <w:rPr>
          <w:rFonts w:ascii="Times New Roman" w:hAnsi="Times New Roman" w:cs="Times New Roman"/>
          <w:sz w:val="24"/>
          <w:szCs w:val="24"/>
        </w:rPr>
        <w:t>,</w:t>
      </w:r>
      <w:r w:rsidR="001D6DBB">
        <w:rPr>
          <w:rStyle w:val="FootnoteReference"/>
          <w:rFonts w:ascii="Times New Roman" w:hAnsi="Times New Roman" w:cs="Times New Roman"/>
          <w:sz w:val="24"/>
          <w:szCs w:val="24"/>
        </w:rPr>
        <w:footnoteReference w:id="14"/>
      </w:r>
      <w:r w:rsidR="0049028A">
        <w:rPr>
          <w:rFonts w:ascii="Times New Roman" w:hAnsi="Times New Roman" w:cs="Times New Roman"/>
          <w:sz w:val="24"/>
          <w:szCs w:val="24"/>
        </w:rPr>
        <w:t xml:space="preserve"> the average </w:t>
      </w:r>
      <w:r w:rsidR="00295120">
        <w:rPr>
          <w:rFonts w:ascii="Times New Roman" w:hAnsi="Times New Roman" w:cs="Times New Roman"/>
          <w:sz w:val="24"/>
          <w:szCs w:val="24"/>
        </w:rPr>
        <w:t xml:space="preserve">implied real-time market </w:t>
      </w:r>
      <w:r w:rsidR="0049028A">
        <w:rPr>
          <w:rFonts w:ascii="Times New Roman" w:hAnsi="Times New Roman" w:cs="Times New Roman"/>
          <w:sz w:val="24"/>
          <w:szCs w:val="24"/>
        </w:rPr>
        <w:t>heat rate for the past five y</w:t>
      </w:r>
      <w:r w:rsidR="00393D78">
        <w:rPr>
          <w:rFonts w:ascii="Times New Roman" w:hAnsi="Times New Roman" w:cs="Times New Roman"/>
          <w:sz w:val="24"/>
          <w:szCs w:val="24"/>
        </w:rPr>
        <w:t>ears has been almost exactly 10:</w:t>
      </w:r>
      <w:r w:rsidR="0049028A">
        <w:rPr>
          <w:rStyle w:val="FootnoteReference"/>
          <w:rFonts w:ascii="Times New Roman" w:hAnsi="Times New Roman" w:cs="Times New Roman"/>
          <w:sz w:val="24"/>
          <w:szCs w:val="24"/>
        </w:rPr>
        <w:footnoteReference w:id="15"/>
      </w:r>
      <w:r w:rsidR="0049028A">
        <w:rPr>
          <w:rFonts w:ascii="Times New Roman" w:hAnsi="Times New Roman" w:cs="Times New Roman"/>
          <w:sz w:val="24"/>
          <w:szCs w:val="24"/>
        </w:rPr>
        <w:t xml:space="preserve"> </w:t>
      </w:r>
    </w:p>
    <w:p w:rsidR="00995B4C" w:rsidRDefault="0049028A" w:rsidP="00393D78">
      <w:pPr>
        <w:spacing w:line="360" w:lineRule="auto"/>
        <w:jc w:val="center"/>
        <w:rPr>
          <w:rFonts w:ascii="Times New Roman" w:hAnsi="Times New Roman" w:cs="Times New Roman"/>
          <w:sz w:val="24"/>
          <w:szCs w:val="24"/>
        </w:rPr>
      </w:pPr>
      <w:r>
        <w:rPr>
          <w:noProof/>
        </w:rPr>
        <w:drawing>
          <wp:inline distT="0" distB="0" distL="0" distR="0" wp14:anchorId="5F682E17" wp14:editId="7CCA7A6B">
            <wp:extent cx="5029200" cy="3502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29200" cy="3502152"/>
                    </a:xfrm>
                    <a:prstGeom prst="rect">
                      <a:avLst/>
                    </a:prstGeom>
                  </pic:spPr>
                </pic:pic>
              </a:graphicData>
            </a:graphic>
          </wp:inline>
        </w:drawing>
      </w:r>
    </w:p>
    <w:p w:rsidR="00475896" w:rsidRDefault="004C038E" w:rsidP="001667EA">
      <w:pPr>
        <w:spacing w:after="240" w:line="240" w:lineRule="auto"/>
        <w:ind w:left="720" w:hanging="720"/>
        <w:rPr>
          <w:rFonts w:ascii="Times New Roman" w:hAnsi="Times New Roman" w:cs="Times New Roman"/>
          <w:sz w:val="24"/>
          <w:szCs w:val="24"/>
        </w:rPr>
      </w:pPr>
      <w:r w:rsidRPr="004C038E">
        <w:rPr>
          <w:noProof/>
        </w:rPr>
        <w:drawing>
          <wp:inline distT="0" distB="0" distL="0" distR="0" wp14:anchorId="4564DE40" wp14:editId="735FDB50">
            <wp:extent cx="5943600" cy="199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9491"/>
                    </a:xfrm>
                    <a:prstGeom prst="rect">
                      <a:avLst/>
                    </a:prstGeom>
                    <a:noFill/>
                    <a:ln>
                      <a:noFill/>
                    </a:ln>
                  </pic:spPr>
                </pic:pic>
              </a:graphicData>
            </a:graphic>
          </wp:inline>
        </w:drawing>
      </w:r>
    </w:p>
    <w:p w:rsidR="00475896" w:rsidRDefault="00475896" w:rsidP="004758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the </w:t>
      </w:r>
      <w:proofErr w:type="gramStart"/>
      <w:r>
        <w:rPr>
          <w:rFonts w:ascii="Times New Roman" w:hAnsi="Times New Roman" w:cs="Times New Roman"/>
          <w:sz w:val="24"/>
          <w:szCs w:val="24"/>
        </w:rPr>
        <w:t>10 heat</w:t>
      </w:r>
      <w:proofErr w:type="gramEnd"/>
      <w:r>
        <w:rPr>
          <w:rFonts w:ascii="Times New Roman" w:hAnsi="Times New Roman" w:cs="Times New Roman"/>
          <w:sz w:val="24"/>
          <w:szCs w:val="24"/>
        </w:rPr>
        <w:t xml:space="preserve"> rate in the current rule should be retained, because it </w:t>
      </w:r>
      <w:r w:rsidR="003A23DF">
        <w:rPr>
          <w:rFonts w:ascii="Times New Roman" w:hAnsi="Times New Roman" w:cs="Times New Roman"/>
          <w:sz w:val="24"/>
          <w:szCs w:val="24"/>
        </w:rPr>
        <w:t xml:space="preserve">more </w:t>
      </w:r>
      <w:r>
        <w:rPr>
          <w:rFonts w:ascii="Times New Roman" w:hAnsi="Times New Roman" w:cs="Times New Roman"/>
          <w:sz w:val="24"/>
          <w:szCs w:val="24"/>
        </w:rPr>
        <w:t>accurately reflects the heat rate of the marginal resource</w:t>
      </w:r>
      <w:r w:rsidR="004410EA">
        <w:rPr>
          <w:rFonts w:ascii="Times New Roman" w:hAnsi="Times New Roman" w:cs="Times New Roman"/>
          <w:sz w:val="24"/>
          <w:szCs w:val="24"/>
        </w:rPr>
        <w:t xml:space="preserve"> in the current </w:t>
      </w:r>
      <w:r w:rsidR="0037075A">
        <w:rPr>
          <w:rFonts w:ascii="Times New Roman" w:hAnsi="Times New Roman" w:cs="Times New Roman"/>
          <w:sz w:val="24"/>
          <w:szCs w:val="24"/>
        </w:rPr>
        <w:t xml:space="preserve">ERCOT </w:t>
      </w:r>
      <w:r w:rsidR="004410EA">
        <w:rPr>
          <w:rFonts w:ascii="Times New Roman" w:hAnsi="Times New Roman" w:cs="Times New Roman"/>
          <w:sz w:val="24"/>
          <w:szCs w:val="24"/>
        </w:rPr>
        <w:t>market</w:t>
      </w:r>
      <w:r w:rsidR="0037075A">
        <w:rPr>
          <w:rFonts w:ascii="Times New Roman" w:hAnsi="Times New Roman" w:cs="Times New Roman"/>
          <w:sz w:val="24"/>
          <w:szCs w:val="24"/>
        </w:rPr>
        <w:t>. E</w:t>
      </w:r>
      <w:r>
        <w:rPr>
          <w:rFonts w:ascii="Times New Roman" w:hAnsi="Times New Roman" w:cs="Times New Roman"/>
          <w:sz w:val="24"/>
          <w:szCs w:val="24"/>
        </w:rPr>
        <w:t xml:space="preserve">ven if </w:t>
      </w:r>
      <w:r w:rsidR="004D6DDB">
        <w:rPr>
          <w:rFonts w:ascii="Times New Roman" w:hAnsi="Times New Roman" w:cs="Times New Roman"/>
          <w:sz w:val="24"/>
          <w:szCs w:val="24"/>
        </w:rPr>
        <w:t xml:space="preserve">more efficient </w:t>
      </w:r>
      <w:r w:rsidR="003A23DF">
        <w:rPr>
          <w:rFonts w:ascii="Times New Roman" w:hAnsi="Times New Roman" w:cs="Times New Roman"/>
          <w:sz w:val="24"/>
          <w:szCs w:val="24"/>
        </w:rPr>
        <w:t xml:space="preserve">simple cycle </w:t>
      </w:r>
      <w:r>
        <w:rPr>
          <w:rFonts w:ascii="Times New Roman" w:hAnsi="Times New Roman" w:cs="Times New Roman"/>
          <w:sz w:val="24"/>
          <w:szCs w:val="24"/>
        </w:rPr>
        <w:t xml:space="preserve">units are </w:t>
      </w:r>
      <w:r w:rsidR="003A23DF">
        <w:rPr>
          <w:rFonts w:ascii="Times New Roman" w:hAnsi="Times New Roman" w:cs="Times New Roman"/>
          <w:sz w:val="24"/>
          <w:szCs w:val="24"/>
        </w:rPr>
        <w:t xml:space="preserve">commercially </w:t>
      </w:r>
      <w:r w:rsidR="004D6DDB">
        <w:rPr>
          <w:rFonts w:ascii="Times New Roman" w:hAnsi="Times New Roman" w:cs="Times New Roman"/>
          <w:sz w:val="24"/>
          <w:szCs w:val="24"/>
        </w:rPr>
        <w:t>available in the market</w:t>
      </w:r>
      <w:r>
        <w:rPr>
          <w:rFonts w:ascii="Times New Roman" w:hAnsi="Times New Roman" w:cs="Times New Roman"/>
          <w:sz w:val="24"/>
          <w:szCs w:val="24"/>
        </w:rPr>
        <w:t>, that efficiency has not been reflected in the real-time energy price</w:t>
      </w:r>
      <w:r w:rsidR="0037075A">
        <w:rPr>
          <w:rFonts w:ascii="Times New Roman" w:hAnsi="Times New Roman" w:cs="Times New Roman"/>
          <w:sz w:val="24"/>
          <w:szCs w:val="24"/>
        </w:rPr>
        <w:t xml:space="preserve"> so there is no</w:t>
      </w:r>
      <w:r w:rsidR="003B79DD">
        <w:rPr>
          <w:rFonts w:ascii="Times New Roman" w:hAnsi="Times New Roman" w:cs="Times New Roman"/>
          <w:sz w:val="24"/>
          <w:szCs w:val="24"/>
        </w:rPr>
        <w:t xml:space="preserve"> empirical</w:t>
      </w:r>
      <w:r w:rsidR="0037075A">
        <w:rPr>
          <w:rFonts w:ascii="Times New Roman" w:hAnsi="Times New Roman" w:cs="Times New Roman"/>
          <w:sz w:val="24"/>
          <w:szCs w:val="24"/>
        </w:rPr>
        <w:t xml:space="preserve"> basis for changing the calculation of PNM.</w:t>
      </w:r>
      <w:r>
        <w:rPr>
          <w:rFonts w:ascii="Times New Roman" w:hAnsi="Times New Roman" w:cs="Times New Roman"/>
          <w:sz w:val="24"/>
          <w:szCs w:val="24"/>
        </w:rPr>
        <w:t xml:space="preserve"> </w:t>
      </w:r>
    </w:p>
    <w:p w:rsidR="00995B4C" w:rsidRDefault="00995B4C" w:rsidP="00995B4C">
      <w:pPr>
        <w:spacing w:after="24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Pr>
          <w:rFonts w:ascii="Times New Roman" w:hAnsi="Times New Roman" w:cs="Times New Roman"/>
          <w:sz w:val="24"/>
          <w:szCs w:val="24"/>
          <w:u w:val="single"/>
        </w:rPr>
        <w:t>Suggestion that PNM is under-stated because it is based on real-time prices</w:t>
      </w:r>
      <w:r w:rsidR="00E211B7">
        <w:rPr>
          <w:rFonts w:ascii="Times New Roman" w:hAnsi="Times New Roman" w:cs="Times New Roman"/>
          <w:sz w:val="24"/>
          <w:szCs w:val="24"/>
          <w:u w:val="single"/>
        </w:rPr>
        <w:t xml:space="preserve"> rather than </w:t>
      </w:r>
      <w:r w:rsidR="006A79B4">
        <w:rPr>
          <w:rFonts w:ascii="Times New Roman" w:hAnsi="Times New Roman" w:cs="Times New Roman"/>
          <w:sz w:val="24"/>
          <w:szCs w:val="24"/>
          <w:u w:val="single"/>
        </w:rPr>
        <w:t>ancillary services,</w:t>
      </w:r>
      <w:r w:rsidR="001D0396">
        <w:rPr>
          <w:rFonts w:ascii="Times New Roman" w:hAnsi="Times New Roman" w:cs="Times New Roman"/>
          <w:sz w:val="24"/>
          <w:szCs w:val="24"/>
          <w:u w:val="single"/>
        </w:rPr>
        <w:t xml:space="preserve"> the Day-Ahead Market (DAM),</w:t>
      </w:r>
      <w:r w:rsidR="00A52DDC">
        <w:rPr>
          <w:rFonts w:ascii="Times New Roman" w:hAnsi="Times New Roman" w:cs="Times New Roman"/>
          <w:sz w:val="24"/>
          <w:szCs w:val="24"/>
          <w:u w:val="single"/>
        </w:rPr>
        <w:t xml:space="preserve"> or bilateral market,</w:t>
      </w:r>
      <w:r w:rsidR="00E211B7">
        <w:rPr>
          <w:rFonts w:ascii="Times New Roman" w:hAnsi="Times New Roman" w:cs="Times New Roman"/>
          <w:sz w:val="24"/>
          <w:szCs w:val="24"/>
          <w:u w:val="single"/>
        </w:rPr>
        <w:t xml:space="preserve"> and assertion that PNM excludes ORDC and RDPA adders</w:t>
      </w:r>
    </w:p>
    <w:p w:rsidR="00184306" w:rsidRDefault="00393D78" w:rsidP="00393D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there is no </w:t>
      </w:r>
      <w:r w:rsidR="003A23DF">
        <w:rPr>
          <w:rFonts w:ascii="Times New Roman" w:hAnsi="Times New Roman" w:cs="Times New Roman"/>
          <w:sz w:val="24"/>
          <w:szCs w:val="24"/>
        </w:rPr>
        <w:t xml:space="preserve">rational or practical </w:t>
      </w:r>
      <w:r>
        <w:rPr>
          <w:rFonts w:ascii="Times New Roman" w:hAnsi="Times New Roman" w:cs="Times New Roman"/>
          <w:sz w:val="24"/>
          <w:szCs w:val="24"/>
        </w:rPr>
        <w:t xml:space="preserve">basis for modifying the PNM calculation </w:t>
      </w:r>
      <w:r w:rsidR="003A23DF">
        <w:rPr>
          <w:rFonts w:ascii="Times New Roman" w:hAnsi="Times New Roman" w:cs="Times New Roman"/>
          <w:sz w:val="24"/>
          <w:szCs w:val="24"/>
        </w:rPr>
        <w:t xml:space="preserve">as suggested by some commenters </w:t>
      </w:r>
      <w:r>
        <w:rPr>
          <w:rFonts w:ascii="Times New Roman" w:hAnsi="Times New Roman" w:cs="Times New Roman"/>
          <w:sz w:val="24"/>
          <w:szCs w:val="24"/>
        </w:rPr>
        <w:t xml:space="preserve">to somehow capture revenues from sources like </w:t>
      </w:r>
      <w:r w:rsidR="001D0396">
        <w:rPr>
          <w:rFonts w:ascii="Times New Roman" w:hAnsi="Times New Roman" w:cs="Times New Roman"/>
          <w:sz w:val="24"/>
          <w:szCs w:val="24"/>
        </w:rPr>
        <w:t>ancillary services,</w:t>
      </w:r>
      <w:r>
        <w:rPr>
          <w:rFonts w:ascii="Times New Roman" w:hAnsi="Times New Roman" w:cs="Times New Roman"/>
          <w:sz w:val="24"/>
          <w:szCs w:val="24"/>
        </w:rPr>
        <w:t xml:space="preserve"> </w:t>
      </w:r>
      <w:r w:rsidR="001D0396">
        <w:rPr>
          <w:rFonts w:ascii="Times New Roman" w:hAnsi="Times New Roman" w:cs="Times New Roman"/>
          <w:sz w:val="24"/>
          <w:szCs w:val="24"/>
        </w:rPr>
        <w:t>the DAM,</w:t>
      </w:r>
      <w:r>
        <w:rPr>
          <w:rFonts w:ascii="Times New Roman" w:hAnsi="Times New Roman" w:cs="Times New Roman"/>
          <w:sz w:val="24"/>
          <w:szCs w:val="24"/>
        </w:rPr>
        <w:t xml:space="preserve"> </w:t>
      </w:r>
      <w:r w:rsidR="00A52DDC">
        <w:rPr>
          <w:rFonts w:ascii="Times New Roman" w:hAnsi="Times New Roman" w:cs="Times New Roman"/>
          <w:sz w:val="24"/>
          <w:szCs w:val="24"/>
        </w:rPr>
        <w:t xml:space="preserve">or bilateral markets, </w:t>
      </w:r>
      <w:r>
        <w:rPr>
          <w:rFonts w:ascii="Times New Roman" w:hAnsi="Times New Roman" w:cs="Times New Roman"/>
          <w:sz w:val="24"/>
          <w:szCs w:val="24"/>
        </w:rPr>
        <w:t xml:space="preserve">and the suggestion that PNM excludes ORDC and RDPA adders is misinformed, because those adders are already included by virtue of ERCOT’s use of the settlement point price to calculate PNM. </w:t>
      </w:r>
    </w:p>
    <w:p w:rsidR="00184306" w:rsidRDefault="00184306" w:rsidP="00393D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Ancillary services </w:t>
      </w:r>
      <w:r w:rsidR="006F3AB2">
        <w:rPr>
          <w:rFonts w:ascii="Times New Roman" w:hAnsi="Times New Roman" w:cs="Times New Roman"/>
          <w:sz w:val="24"/>
          <w:szCs w:val="24"/>
        </w:rPr>
        <w:t>are</w:t>
      </w:r>
      <w:r w:rsidR="006A79B4">
        <w:rPr>
          <w:rFonts w:ascii="Times New Roman" w:hAnsi="Times New Roman" w:cs="Times New Roman"/>
          <w:sz w:val="24"/>
          <w:szCs w:val="24"/>
        </w:rPr>
        <w:t xml:space="preserve"> not</w:t>
      </w:r>
      <w:r w:rsidR="001D0396">
        <w:rPr>
          <w:rFonts w:ascii="Times New Roman" w:hAnsi="Times New Roman" w:cs="Times New Roman"/>
          <w:sz w:val="24"/>
          <w:szCs w:val="24"/>
        </w:rPr>
        <w:t xml:space="preserve"> an additional source</w:t>
      </w:r>
      <w:r w:rsidR="006A79B4">
        <w:rPr>
          <w:rFonts w:ascii="Times New Roman" w:hAnsi="Times New Roman" w:cs="Times New Roman"/>
          <w:sz w:val="24"/>
          <w:szCs w:val="24"/>
        </w:rPr>
        <w:t xml:space="preserve"> of revenue that should be </w:t>
      </w:r>
      <w:r w:rsidR="006A79B4" w:rsidRPr="001667EA">
        <w:rPr>
          <w:rFonts w:ascii="Times New Roman" w:hAnsi="Times New Roman" w:cs="Times New Roman"/>
          <w:i/>
          <w:sz w:val="24"/>
          <w:szCs w:val="24"/>
        </w:rPr>
        <w:t>added</w:t>
      </w:r>
      <w:r w:rsidR="006A79B4">
        <w:rPr>
          <w:rFonts w:ascii="Times New Roman" w:hAnsi="Times New Roman" w:cs="Times New Roman"/>
          <w:sz w:val="24"/>
          <w:szCs w:val="24"/>
        </w:rPr>
        <w:t xml:space="preserve"> to the PNM</w:t>
      </w:r>
      <w:r>
        <w:rPr>
          <w:rFonts w:ascii="Times New Roman" w:hAnsi="Times New Roman" w:cs="Times New Roman"/>
          <w:sz w:val="24"/>
          <w:szCs w:val="24"/>
        </w:rPr>
        <w:t xml:space="preserve">, because </w:t>
      </w:r>
      <w:r w:rsidR="006F3AB2">
        <w:rPr>
          <w:rFonts w:ascii="Times New Roman" w:hAnsi="Times New Roman" w:cs="Times New Roman"/>
          <w:sz w:val="24"/>
          <w:szCs w:val="24"/>
        </w:rPr>
        <w:t>they are</w:t>
      </w:r>
      <w:r>
        <w:rPr>
          <w:rFonts w:ascii="Times New Roman" w:hAnsi="Times New Roman" w:cs="Times New Roman"/>
          <w:sz w:val="24"/>
          <w:szCs w:val="24"/>
        </w:rPr>
        <w:t xml:space="preserve"> </w:t>
      </w:r>
      <w:r w:rsidR="006A79B4" w:rsidRPr="001667EA">
        <w:rPr>
          <w:rFonts w:ascii="Times New Roman" w:hAnsi="Times New Roman" w:cs="Times New Roman"/>
          <w:i/>
          <w:sz w:val="24"/>
          <w:szCs w:val="24"/>
        </w:rPr>
        <w:t>mutually exclusive</w:t>
      </w:r>
      <w:r w:rsidR="006A79B4">
        <w:rPr>
          <w:rFonts w:ascii="Times New Roman" w:hAnsi="Times New Roman" w:cs="Times New Roman"/>
          <w:sz w:val="24"/>
          <w:szCs w:val="24"/>
        </w:rPr>
        <w:t xml:space="preserve"> of energy—the same megawatts </w:t>
      </w:r>
      <w:r w:rsidR="003A23DF">
        <w:rPr>
          <w:rFonts w:ascii="Times New Roman" w:hAnsi="Times New Roman" w:cs="Times New Roman"/>
          <w:sz w:val="24"/>
          <w:szCs w:val="24"/>
        </w:rPr>
        <w:t xml:space="preserve">of generating capacity </w:t>
      </w:r>
      <w:r w:rsidR="006A79B4">
        <w:rPr>
          <w:rFonts w:ascii="Times New Roman" w:hAnsi="Times New Roman" w:cs="Times New Roman"/>
          <w:sz w:val="24"/>
          <w:szCs w:val="24"/>
        </w:rPr>
        <w:t xml:space="preserve">cannot be </w:t>
      </w:r>
      <w:r w:rsidR="003A23DF">
        <w:rPr>
          <w:rFonts w:ascii="Times New Roman" w:hAnsi="Times New Roman" w:cs="Times New Roman"/>
          <w:sz w:val="24"/>
          <w:szCs w:val="24"/>
        </w:rPr>
        <w:t xml:space="preserve">paid </w:t>
      </w:r>
      <w:r w:rsidR="006A79B4">
        <w:rPr>
          <w:rFonts w:ascii="Times New Roman" w:hAnsi="Times New Roman" w:cs="Times New Roman"/>
          <w:sz w:val="24"/>
          <w:szCs w:val="24"/>
        </w:rPr>
        <w:t xml:space="preserve">both for energy in the </w:t>
      </w:r>
      <w:r w:rsidR="001D0396">
        <w:rPr>
          <w:rFonts w:ascii="Times New Roman" w:hAnsi="Times New Roman" w:cs="Times New Roman"/>
          <w:sz w:val="24"/>
          <w:szCs w:val="24"/>
        </w:rPr>
        <w:t>RTM</w:t>
      </w:r>
      <w:r w:rsidR="006A79B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A79B4">
        <w:rPr>
          <w:rFonts w:ascii="Times New Roman" w:hAnsi="Times New Roman" w:cs="Times New Roman"/>
          <w:sz w:val="24"/>
          <w:szCs w:val="24"/>
        </w:rPr>
        <w:t xml:space="preserve">for ancillary services. </w:t>
      </w:r>
      <w:r w:rsidR="007F3133">
        <w:rPr>
          <w:rFonts w:ascii="Times New Roman" w:hAnsi="Times New Roman" w:cs="Times New Roman"/>
          <w:sz w:val="24"/>
          <w:szCs w:val="24"/>
        </w:rPr>
        <w:t xml:space="preserve">If selected for ancillary services, a generator must reserve that capacity to be able to provide those services if called upon and cannot offer energy from that capacity. </w:t>
      </w:r>
      <w:r w:rsidR="00880FA4">
        <w:rPr>
          <w:rFonts w:ascii="Times New Roman" w:hAnsi="Times New Roman" w:cs="Times New Roman"/>
          <w:sz w:val="24"/>
          <w:szCs w:val="24"/>
        </w:rPr>
        <w:t xml:space="preserve">In addition, not every unit is capable of, or appropriate for, provision of ancillary services, and thus ancillary service revenues would not be a good substitute for real-time energy prices in </w:t>
      </w:r>
      <w:r w:rsidR="00AF24FF">
        <w:rPr>
          <w:rFonts w:ascii="Times New Roman" w:hAnsi="Times New Roman" w:cs="Times New Roman"/>
          <w:sz w:val="24"/>
          <w:szCs w:val="24"/>
        </w:rPr>
        <w:t xml:space="preserve">approximating </w:t>
      </w:r>
      <w:r w:rsidR="00880FA4">
        <w:rPr>
          <w:rFonts w:ascii="Times New Roman" w:hAnsi="Times New Roman" w:cs="Times New Roman"/>
          <w:sz w:val="24"/>
          <w:szCs w:val="24"/>
        </w:rPr>
        <w:t xml:space="preserve">the net revenues for the hypothetical marginal resource. </w:t>
      </w:r>
      <w:r w:rsidR="00C34C4B">
        <w:rPr>
          <w:rFonts w:ascii="Times New Roman" w:hAnsi="Times New Roman" w:cs="Times New Roman"/>
          <w:sz w:val="24"/>
          <w:szCs w:val="24"/>
        </w:rPr>
        <w:t>Additionally</w:t>
      </w:r>
      <w:r w:rsidR="001D0396">
        <w:rPr>
          <w:rFonts w:ascii="Times New Roman" w:hAnsi="Times New Roman" w:cs="Times New Roman"/>
          <w:sz w:val="24"/>
          <w:szCs w:val="24"/>
        </w:rPr>
        <w:t>, a</w:t>
      </w:r>
      <w:r w:rsidR="007F3133">
        <w:rPr>
          <w:rFonts w:ascii="Times New Roman" w:hAnsi="Times New Roman" w:cs="Times New Roman"/>
          <w:sz w:val="24"/>
          <w:szCs w:val="24"/>
        </w:rPr>
        <w:t>s a practical matter, the value of capacity offered for energy or for ancillary services is inherently tied and should generally converge, because a rational generator should not offer its capacity for ancillary services if it believes it can get greater value from offering that capacity up for energy production</w:t>
      </w:r>
      <w:r w:rsidR="00D426E6">
        <w:rPr>
          <w:rFonts w:ascii="Times New Roman" w:hAnsi="Times New Roman" w:cs="Times New Roman"/>
          <w:sz w:val="24"/>
          <w:szCs w:val="24"/>
        </w:rPr>
        <w:t xml:space="preserve"> and vice versa</w:t>
      </w:r>
      <w:r w:rsidR="007F3133">
        <w:rPr>
          <w:rFonts w:ascii="Times New Roman" w:hAnsi="Times New Roman" w:cs="Times New Roman"/>
          <w:sz w:val="24"/>
          <w:szCs w:val="24"/>
        </w:rPr>
        <w:t xml:space="preserve">. </w:t>
      </w:r>
    </w:p>
    <w:p w:rsidR="00E211B7" w:rsidRDefault="007F3133" w:rsidP="00393D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Likewise, t</w:t>
      </w:r>
      <w:r w:rsidR="006A79B4">
        <w:rPr>
          <w:rFonts w:ascii="Times New Roman" w:hAnsi="Times New Roman" w:cs="Times New Roman"/>
          <w:sz w:val="24"/>
          <w:szCs w:val="24"/>
        </w:rPr>
        <w:t xml:space="preserve">he DAM is a purely voluntary financial market that is used to hedge exposure to real-time prices, and DAM outcomes generally converge with </w:t>
      </w:r>
      <w:r w:rsidR="001D0396">
        <w:rPr>
          <w:rFonts w:ascii="Times New Roman" w:hAnsi="Times New Roman" w:cs="Times New Roman"/>
          <w:sz w:val="24"/>
          <w:szCs w:val="24"/>
        </w:rPr>
        <w:t>RTM</w:t>
      </w:r>
      <w:r w:rsidR="006A79B4">
        <w:rPr>
          <w:rFonts w:ascii="Times New Roman" w:hAnsi="Times New Roman" w:cs="Times New Roman"/>
          <w:sz w:val="24"/>
          <w:szCs w:val="24"/>
        </w:rPr>
        <w:t xml:space="preserve"> outcomes, as is reflected in the graph below</w:t>
      </w:r>
      <w:r>
        <w:rPr>
          <w:rFonts w:ascii="Times New Roman" w:hAnsi="Times New Roman" w:cs="Times New Roman"/>
          <w:sz w:val="24"/>
          <w:szCs w:val="24"/>
        </w:rPr>
        <w:t xml:space="preserve"> from the IMM’s latest presentation to the ERCOT Board</w:t>
      </w:r>
      <w:r w:rsidR="006A79B4">
        <w:rPr>
          <w:rFonts w:ascii="Times New Roman" w:hAnsi="Times New Roman" w:cs="Times New Roman"/>
          <w:sz w:val="24"/>
          <w:szCs w:val="24"/>
        </w:rPr>
        <w:t>:</w:t>
      </w:r>
      <w:r w:rsidR="006A79B4">
        <w:rPr>
          <w:rStyle w:val="FootnoteReference"/>
          <w:rFonts w:ascii="Times New Roman" w:hAnsi="Times New Roman" w:cs="Times New Roman"/>
          <w:sz w:val="24"/>
          <w:szCs w:val="24"/>
        </w:rPr>
        <w:footnoteReference w:id="16"/>
      </w:r>
    </w:p>
    <w:p w:rsidR="006A79B4" w:rsidRDefault="006A79B4" w:rsidP="006A79B4">
      <w:pPr>
        <w:spacing w:line="360" w:lineRule="auto"/>
        <w:jc w:val="center"/>
        <w:rPr>
          <w:rFonts w:ascii="Times New Roman" w:hAnsi="Times New Roman" w:cs="Times New Roman"/>
          <w:sz w:val="24"/>
          <w:szCs w:val="24"/>
        </w:rPr>
      </w:pPr>
      <w:r>
        <w:rPr>
          <w:noProof/>
        </w:rPr>
        <w:lastRenderedPageBreak/>
        <w:drawing>
          <wp:inline distT="0" distB="0" distL="0" distR="0" wp14:anchorId="02882D21" wp14:editId="3D3803DC">
            <wp:extent cx="6236208" cy="3922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36208" cy="3922776"/>
                    </a:xfrm>
                    <a:prstGeom prst="rect">
                      <a:avLst/>
                    </a:prstGeom>
                  </pic:spPr>
                </pic:pic>
              </a:graphicData>
            </a:graphic>
          </wp:inline>
        </w:drawing>
      </w:r>
    </w:p>
    <w:p w:rsidR="00B51867" w:rsidRDefault="00AF24FF" w:rsidP="00393D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most part, the </w:t>
      </w:r>
      <w:r w:rsidR="001D0396">
        <w:rPr>
          <w:rFonts w:ascii="Times New Roman" w:hAnsi="Times New Roman" w:cs="Times New Roman"/>
          <w:sz w:val="24"/>
          <w:szCs w:val="24"/>
        </w:rPr>
        <w:t>RTM</w:t>
      </w:r>
      <w:r>
        <w:rPr>
          <w:rFonts w:ascii="Times New Roman" w:hAnsi="Times New Roman" w:cs="Times New Roman"/>
          <w:sz w:val="24"/>
          <w:szCs w:val="24"/>
        </w:rPr>
        <w:t xml:space="preserve"> price settles very close to the DAM price, which is the expected outcome in </w:t>
      </w:r>
      <w:r w:rsidR="009C3F13">
        <w:rPr>
          <w:rFonts w:ascii="Times New Roman" w:hAnsi="Times New Roman" w:cs="Times New Roman"/>
          <w:sz w:val="24"/>
          <w:szCs w:val="24"/>
        </w:rPr>
        <w:t xml:space="preserve">a </w:t>
      </w:r>
      <w:r>
        <w:rPr>
          <w:rFonts w:ascii="Times New Roman" w:hAnsi="Times New Roman" w:cs="Times New Roman"/>
          <w:sz w:val="24"/>
          <w:szCs w:val="24"/>
        </w:rPr>
        <w:t>well-functioning market</w:t>
      </w:r>
      <w:r w:rsidR="007F3133">
        <w:rPr>
          <w:rFonts w:ascii="Times New Roman" w:hAnsi="Times New Roman" w:cs="Times New Roman"/>
          <w:sz w:val="24"/>
          <w:szCs w:val="24"/>
        </w:rPr>
        <w:t xml:space="preserve"> because generators are financially hel</w:t>
      </w:r>
      <w:r w:rsidR="001D0396">
        <w:rPr>
          <w:rFonts w:ascii="Times New Roman" w:hAnsi="Times New Roman" w:cs="Times New Roman"/>
          <w:sz w:val="24"/>
          <w:szCs w:val="24"/>
        </w:rPr>
        <w:t>d to their DAM offers – and as a result</w:t>
      </w:r>
      <w:r w:rsidR="007F3133">
        <w:rPr>
          <w:rFonts w:ascii="Times New Roman" w:hAnsi="Times New Roman" w:cs="Times New Roman"/>
          <w:sz w:val="24"/>
          <w:szCs w:val="24"/>
        </w:rPr>
        <w:t xml:space="preserve">, rational generators should not be willing to sell in the DAM for </w:t>
      </w:r>
      <w:r w:rsidR="00B51867">
        <w:rPr>
          <w:rFonts w:ascii="Times New Roman" w:hAnsi="Times New Roman" w:cs="Times New Roman"/>
          <w:sz w:val="24"/>
          <w:szCs w:val="24"/>
        </w:rPr>
        <w:t xml:space="preserve">much </w:t>
      </w:r>
      <w:r w:rsidR="007F3133">
        <w:rPr>
          <w:rFonts w:ascii="Times New Roman" w:hAnsi="Times New Roman" w:cs="Times New Roman"/>
          <w:sz w:val="24"/>
          <w:szCs w:val="24"/>
        </w:rPr>
        <w:t>less</w:t>
      </w:r>
      <w:r w:rsidR="00A52DDC">
        <w:rPr>
          <w:rFonts w:ascii="Times New Roman" w:hAnsi="Times New Roman" w:cs="Times New Roman"/>
          <w:sz w:val="24"/>
          <w:szCs w:val="24"/>
        </w:rPr>
        <w:t xml:space="preserve"> </w:t>
      </w:r>
      <w:r w:rsidR="007F3133">
        <w:rPr>
          <w:rFonts w:ascii="Times New Roman" w:hAnsi="Times New Roman" w:cs="Times New Roman"/>
          <w:sz w:val="24"/>
          <w:szCs w:val="24"/>
        </w:rPr>
        <w:t xml:space="preserve">than what they expect in the RTM (and loads should not be willing to pay </w:t>
      </w:r>
      <w:r w:rsidR="00B51867">
        <w:rPr>
          <w:rFonts w:ascii="Times New Roman" w:hAnsi="Times New Roman" w:cs="Times New Roman"/>
          <w:sz w:val="24"/>
          <w:szCs w:val="24"/>
        </w:rPr>
        <w:t xml:space="preserve">much </w:t>
      </w:r>
      <w:r w:rsidR="007F3133">
        <w:rPr>
          <w:rFonts w:ascii="Times New Roman" w:hAnsi="Times New Roman" w:cs="Times New Roman"/>
          <w:sz w:val="24"/>
          <w:szCs w:val="24"/>
        </w:rPr>
        <w:t xml:space="preserve">more in the DAM than </w:t>
      </w:r>
      <w:r w:rsidR="00B51867">
        <w:rPr>
          <w:rFonts w:ascii="Times New Roman" w:hAnsi="Times New Roman" w:cs="Times New Roman"/>
          <w:sz w:val="24"/>
          <w:szCs w:val="24"/>
        </w:rPr>
        <w:t xml:space="preserve">they expect in </w:t>
      </w:r>
      <w:r w:rsidR="007F3133">
        <w:rPr>
          <w:rFonts w:ascii="Times New Roman" w:hAnsi="Times New Roman" w:cs="Times New Roman"/>
          <w:sz w:val="24"/>
          <w:szCs w:val="24"/>
        </w:rPr>
        <w:t>the RTM as well)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184306">
        <w:rPr>
          <w:rFonts w:ascii="Times New Roman" w:hAnsi="Times New Roman" w:cs="Times New Roman"/>
          <w:sz w:val="24"/>
          <w:szCs w:val="24"/>
        </w:rPr>
        <w:t>Further, when there</w:t>
      </w:r>
      <w:r w:rsidR="00F92155">
        <w:rPr>
          <w:rFonts w:ascii="Times New Roman" w:hAnsi="Times New Roman" w:cs="Times New Roman"/>
          <w:sz w:val="24"/>
          <w:szCs w:val="24"/>
        </w:rPr>
        <w:t xml:space="preserve"> is divergence between the two, </w:t>
      </w:r>
      <w:r w:rsidR="00184306">
        <w:rPr>
          <w:rFonts w:ascii="Times New Roman" w:hAnsi="Times New Roman" w:cs="Times New Roman"/>
          <w:sz w:val="24"/>
          <w:szCs w:val="24"/>
        </w:rPr>
        <w:t xml:space="preserve">it varies as to whether prices settle higher in the </w:t>
      </w:r>
      <w:r w:rsidR="001D0396">
        <w:rPr>
          <w:rFonts w:ascii="Times New Roman" w:hAnsi="Times New Roman" w:cs="Times New Roman"/>
          <w:sz w:val="24"/>
          <w:szCs w:val="24"/>
        </w:rPr>
        <w:t>RTM</w:t>
      </w:r>
      <w:r w:rsidR="00184306">
        <w:rPr>
          <w:rFonts w:ascii="Times New Roman" w:hAnsi="Times New Roman" w:cs="Times New Roman"/>
          <w:sz w:val="24"/>
          <w:szCs w:val="24"/>
        </w:rPr>
        <w:t xml:space="preserve"> or the DAM. </w:t>
      </w:r>
      <w:r w:rsidR="00B51867">
        <w:rPr>
          <w:rFonts w:ascii="Times New Roman" w:hAnsi="Times New Roman" w:cs="Times New Roman"/>
          <w:sz w:val="24"/>
          <w:szCs w:val="24"/>
        </w:rPr>
        <w:t xml:space="preserve">While </w:t>
      </w:r>
      <w:r w:rsidR="001D0396">
        <w:rPr>
          <w:rFonts w:ascii="Times New Roman" w:hAnsi="Times New Roman" w:cs="Times New Roman"/>
          <w:sz w:val="24"/>
          <w:szCs w:val="24"/>
        </w:rPr>
        <w:t xml:space="preserve">the concerns expressed in initial </w:t>
      </w:r>
      <w:r w:rsidR="00B51867">
        <w:rPr>
          <w:rFonts w:ascii="Times New Roman" w:hAnsi="Times New Roman" w:cs="Times New Roman"/>
          <w:sz w:val="24"/>
          <w:szCs w:val="24"/>
        </w:rPr>
        <w:t>comments are likely</w:t>
      </w:r>
      <w:r w:rsidR="001D0396">
        <w:rPr>
          <w:rFonts w:ascii="Times New Roman" w:hAnsi="Times New Roman" w:cs="Times New Roman"/>
          <w:sz w:val="24"/>
          <w:szCs w:val="24"/>
        </w:rPr>
        <w:t xml:space="preserve"> driven by the July 2018 DAM versus</w:t>
      </w:r>
      <w:r w:rsidR="00B51867">
        <w:rPr>
          <w:rFonts w:ascii="Times New Roman" w:hAnsi="Times New Roman" w:cs="Times New Roman"/>
          <w:sz w:val="24"/>
          <w:szCs w:val="24"/>
        </w:rPr>
        <w:t xml:space="preserve"> RTM results indicated in the chart above, that was clearly an outlier and should not be taken as indicative of the long-term convergence trend or a need to modify the PNM formula to swap out DAM for RTM prices (and </w:t>
      </w:r>
      <w:r w:rsidR="00B51867">
        <w:rPr>
          <w:rFonts w:ascii="Times New Roman" w:hAnsi="Times New Roman" w:cs="Times New Roman"/>
          <w:sz w:val="24"/>
          <w:szCs w:val="24"/>
        </w:rPr>
        <w:lastRenderedPageBreak/>
        <w:t xml:space="preserve">certainly not add DAM to RTM prices). </w:t>
      </w:r>
      <w:r w:rsidR="00184306">
        <w:rPr>
          <w:rFonts w:ascii="Times New Roman" w:hAnsi="Times New Roman" w:cs="Times New Roman"/>
          <w:sz w:val="24"/>
          <w:szCs w:val="24"/>
        </w:rPr>
        <w:t>In addition, because the DAM is voluntary, many gener</w:t>
      </w:r>
      <w:r>
        <w:rPr>
          <w:rFonts w:ascii="Times New Roman" w:hAnsi="Times New Roman" w:cs="Times New Roman"/>
          <w:sz w:val="24"/>
          <w:szCs w:val="24"/>
        </w:rPr>
        <w:t xml:space="preserve">ators do not participate in it. </w:t>
      </w:r>
    </w:p>
    <w:p w:rsidR="00A52DDC" w:rsidRDefault="00A52DDC" w:rsidP="00A52D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the bilateral market is mutually exclusive of the RTM. Further, there is little-to-no visibility into the competitively-sensitive prices of bilateral contracts</w:t>
      </w:r>
      <w:r w:rsidR="00C34C4B">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 and even if there was, the bilateral market would not be a useful metric for evaluating the net revenues of a hypothetical peaking unit because bilateral contract prices vary from generator to generator.  </w:t>
      </w:r>
    </w:p>
    <w:p w:rsidR="00184306" w:rsidRPr="00E211B7" w:rsidRDefault="00184306" w:rsidP="00393D78">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On the whole</w:t>
      </w:r>
      <w:proofErr w:type="gramEnd"/>
      <w:r>
        <w:rPr>
          <w:rFonts w:ascii="Times New Roman" w:hAnsi="Times New Roman" w:cs="Times New Roman"/>
          <w:sz w:val="24"/>
          <w:szCs w:val="24"/>
        </w:rPr>
        <w:t>, real-time energy prices (which</w:t>
      </w:r>
      <w:r w:rsidR="00B51867">
        <w:rPr>
          <w:rFonts w:ascii="Times New Roman" w:hAnsi="Times New Roman" w:cs="Times New Roman"/>
          <w:sz w:val="24"/>
          <w:szCs w:val="24"/>
        </w:rPr>
        <w:t>, contrary to certain comments,</w:t>
      </w:r>
      <w:r>
        <w:rPr>
          <w:rFonts w:ascii="Times New Roman" w:hAnsi="Times New Roman" w:cs="Times New Roman"/>
          <w:sz w:val="24"/>
          <w:szCs w:val="24"/>
        </w:rPr>
        <w:t xml:space="preserve"> already </w:t>
      </w:r>
      <w:r w:rsidR="00B51867">
        <w:rPr>
          <w:rFonts w:ascii="Times New Roman" w:hAnsi="Times New Roman" w:cs="Times New Roman"/>
          <w:sz w:val="24"/>
          <w:szCs w:val="24"/>
        </w:rPr>
        <w:t xml:space="preserve">do </w:t>
      </w:r>
      <w:r>
        <w:rPr>
          <w:rFonts w:ascii="Times New Roman" w:hAnsi="Times New Roman" w:cs="Times New Roman"/>
          <w:sz w:val="24"/>
          <w:szCs w:val="24"/>
        </w:rPr>
        <w:t xml:space="preserve">reflect adders from the ORDC </w:t>
      </w:r>
      <w:r w:rsidR="009C3F13">
        <w:rPr>
          <w:rFonts w:ascii="Times New Roman" w:hAnsi="Times New Roman" w:cs="Times New Roman"/>
          <w:sz w:val="24"/>
          <w:szCs w:val="24"/>
        </w:rPr>
        <w:t>and</w:t>
      </w:r>
      <w:r>
        <w:rPr>
          <w:rFonts w:ascii="Times New Roman" w:hAnsi="Times New Roman" w:cs="Times New Roman"/>
          <w:sz w:val="24"/>
          <w:szCs w:val="24"/>
        </w:rPr>
        <w:t xml:space="preserve"> RDPA) are the best proxy for measuring the net revenues of a hypothetical </w:t>
      </w:r>
      <w:proofErr w:type="spellStart"/>
      <w:r>
        <w:rPr>
          <w:rFonts w:ascii="Times New Roman" w:hAnsi="Times New Roman" w:cs="Times New Roman"/>
          <w:sz w:val="24"/>
          <w:szCs w:val="24"/>
        </w:rPr>
        <w:t>peaker</w:t>
      </w:r>
      <w:proofErr w:type="spellEnd"/>
      <w:r>
        <w:rPr>
          <w:rFonts w:ascii="Times New Roman" w:hAnsi="Times New Roman" w:cs="Times New Roman"/>
          <w:sz w:val="24"/>
          <w:szCs w:val="24"/>
        </w:rPr>
        <w:t xml:space="preserve"> unit (i.e., the marginal resource). </w:t>
      </w:r>
      <w:r w:rsidR="009C3F13">
        <w:rPr>
          <w:rFonts w:ascii="Times New Roman" w:hAnsi="Times New Roman" w:cs="Times New Roman"/>
          <w:sz w:val="24"/>
          <w:szCs w:val="24"/>
        </w:rPr>
        <w:t xml:space="preserve">The real-time energy price is a reasonable, readily available and objective proxy to measure hypothetical net revenues, and </w:t>
      </w:r>
      <w:r w:rsidR="00B51867">
        <w:rPr>
          <w:rFonts w:ascii="Times New Roman" w:hAnsi="Times New Roman" w:cs="Times New Roman"/>
          <w:sz w:val="24"/>
          <w:szCs w:val="24"/>
        </w:rPr>
        <w:t xml:space="preserve">more importantly, </w:t>
      </w:r>
      <w:r w:rsidR="009C3F13">
        <w:rPr>
          <w:rFonts w:ascii="Times New Roman" w:hAnsi="Times New Roman" w:cs="Times New Roman"/>
          <w:sz w:val="24"/>
          <w:szCs w:val="24"/>
        </w:rPr>
        <w:t xml:space="preserve">the real-time energy price is generally </w:t>
      </w:r>
      <w:r w:rsidR="00B51867">
        <w:rPr>
          <w:rFonts w:ascii="Times New Roman" w:hAnsi="Times New Roman" w:cs="Times New Roman"/>
          <w:sz w:val="24"/>
          <w:szCs w:val="24"/>
        </w:rPr>
        <w:t xml:space="preserve">the price that drives </w:t>
      </w:r>
      <w:r w:rsidR="009C3F13">
        <w:rPr>
          <w:rFonts w:ascii="Times New Roman" w:hAnsi="Times New Roman" w:cs="Times New Roman"/>
          <w:sz w:val="24"/>
          <w:szCs w:val="24"/>
        </w:rPr>
        <w:t>the price</w:t>
      </w:r>
      <w:r w:rsidR="00B51867">
        <w:rPr>
          <w:rFonts w:ascii="Times New Roman" w:hAnsi="Times New Roman" w:cs="Times New Roman"/>
          <w:sz w:val="24"/>
          <w:szCs w:val="24"/>
        </w:rPr>
        <w:t>s</w:t>
      </w:r>
      <w:r w:rsidR="009C3F13">
        <w:rPr>
          <w:rFonts w:ascii="Times New Roman" w:hAnsi="Times New Roman" w:cs="Times New Roman"/>
          <w:sz w:val="24"/>
          <w:szCs w:val="24"/>
        </w:rPr>
        <w:t xml:space="preserve"> in other relevant markets and the overall revenue received by a generator.</w:t>
      </w:r>
    </w:p>
    <w:p w:rsidR="00E801FF" w:rsidRDefault="00E801FF" w:rsidP="005869AF">
      <w:pPr>
        <w:spacing w:after="240" w:line="240" w:lineRule="auto"/>
        <w:ind w:left="1440" w:hanging="720"/>
        <w:jc w:val="both"/>
        <w:rPr>
          <w:rFonts w:ascii="Times New Roman" w:hAnsi="Times New Roman" w:cs="Times New Roman"/>
          <w:sz w:val="24"/>
          <w:szCs w:val="24"/>
        </w:rPr>
      </w:pPr>
      <w:r>
        <w:rPr>
          <w:rFonts w:ascii="Times New Roman" w:hAnsi="Times New Roman" w:cs="Times New Roman"/>
          <w:i/>
          <w:sz w:val="24"/>
          <w:szCs w:val="24"/>
        </w:rPr>
        <w:t>4.</w:t>
      </w:r>
      <w:r>
        <w:rPr>
          <w:rFonts w:ascii="Times New Roman" w:hAnsi="Times New Roman" w:cs="Times New Roman"/>
          <w:i/>
          <w:sz w:val="24"/>
          <w:szCs w:val="24"/>
        </w:rPr>
        <w:tab/>
      </w:r>
      <w:r w:rsidR="00FB55EB">
        <w:rPr>
          <w:rFonts w:ascii="Times New Roman" w:hAnsi="Times New Roman" w:cs="Times New Roman"/>
          <w:i/>
          <w:sz w:val="24"/>
          <w:szCs w:val="24"/>
        </w:rPr>
        <w:t xml:space="preserve">Alternatively, if the Commission retains the LCAP mechanism, the Commission </w:t>
      </w:r>
      <w:r w:rsidR="00184306">
        <w:rPr>
          <w:rFonts w:ascii="Times New Roman" w:hAnsi="Times New Roman" w:cs="Times New Roman"/>
          <w:i/>
          <w:sz w:val="24"/>
          <w:szCs w:val="24"/>
        </w:rPr>
        <w:t>(</w:t>
      </w:r>
      <w:proofErr w:type="spellStart"/>
      <w:r w:rsidR="00184306">
        <w:rPr>
          <w:rFonts w:ascii="Times New Roman" w:hAnsi="Times New Roman" w:cs="Times New Roman"/>
          <w:i/>
          <w:sz w:val="24"/>
          <w:szCs w:val="24"/>
        </w:rPr>
        <w:t>i</w:t>
      </w:r>
      <w:proofErr w:type="spellEnd"/>
      <w:r w:rsidR="00184306">
        <w:rPr>
          <w:rFonts w:ascii="Times New Roman" w:hAnsi="Times New Roman" w:cs="Times New Roman"/>
          <w:i/>
          <w:sz w:val="24"/>
          <w:szCs w:val="24"/>
        </w:rPr>
        <w:t>) </w:t>
      </w:r>
      <w:r w:rsidR="00FB55EB">
        <w:rPr>
          <w:rFonts w:ascii="Times New Roman" w:hAnsi="Times New Roman" w:cs="Times New Roman"/>
          <w:i/>
          <w:sz w:val="24"/>
          <w:szCs w:val="24"/>
        </w:rPr>
        <w:t xml:space="preserve">should adopt the recommendation to reset the VOLL to LCAP in the event the LCAP is triggered, rather than suspend </w:t>
      </w:r>
      <w:r w:rsidR="00184306">
        <w:rPr>
          <w:rFonts w:ascii="Times New Roman" w:hAnsi="Times New Roman" w:cs="Times New Roman"/>
          <w:i/>
          <w:sz w:val="24"/>
          <w:szCs w:val="24"/>
        </w:rPr>
        <w:t>the ORDC or RDPA; (ii) should increase the LCAP value to $4,500; and (iii) should limit the LCAP to offers (not the settlement price).</w:t>
      </w:r>
    </w:p>
    <w:p w:rsidR="00184306" w:rsidRDefault="00331070" w:rsidP="005869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the Commission decides to retain the LCAP, TCPA agrees with the commenters that suggested the VOLL be reset to the LCAP if it is t</w:t>
      </w:r>
      <w:r w:rsidR="00B076CF">
        <w:rPr>
          <w:rFonts w:ascii="Times New Roman" w:hAnsi="Times New Roman" w:cs="Times New Roman"/>
          <w:sz w:val="24"/>
          <w:szCs w:val="24"/>
        </w:rPr>
        <w:t>riggered, rather than suspend</w:t>
      </w:r>
      <w:r>
        <w:rPr>
          <w:rFonts w:ascii="Times New Roman" w:hAnsi="Times New Roman" w:cs="Times New Roman"/>
          <w:sz w:val="24"/>
          <w:szCs w:val="24"/>
        </w:rPr>
        <w:t xml:space="preserve"> the ORDC and RDPA.</w:t>
      </w:r>
      <w:r w:rsidR="00CE7FB7">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As indicated by those commenters, </w:t>
      </w:r>
      <w:r w:rsidR="00917328">
        <w:rPr>
          <w:rFonts w:ascii="Times New Roman" w:hAnsi="Times New Roman" w:cs="Times New Roman"/>
          <w:sz w:val="24"/>
          <w:szCs w:val="24"/>
        </w:rPr>
        <w:t xml:space="preserve">in the event of scarcity, the ORDC </w:t>
      </w:r>
      <w:r w:rsidR="00C166BE">
        <w:rPr>
          <w:rFonts w:ascii="Times New Roman" w:hAnsi="Times New Roman" w:cs="Times New Roman"/>
          <w:sz w:val="24"/>
          <w:szCs w:val="24"/>
        </w:rPr>
        <w:t>helps to ensure</w:t>
      </w:r>
      <w:r w:rsidR="00917328">
        <w:rPr>
          <w:rFonts w:ascii="Times New Roman" w:hAnsi="Times New Roman" w:cs="Times New Roman"/>
          <w:sz w:val="24"/>
          <w:szCs w:val="24"/>
        </w:rPr>
        <w:t xml:space="preserve"> that the price reflects the value of </w:t>
      </w:r>
      <w:r w:rsidR="00C166BE">
        <w:rPr>
          <w:rFonts w:ascii="Times New Roman" w:hAnsi="Times New Roman" w:cs="Times New Roman"/>
          <w:sz w:val="24"/>
          <w:szCs w:val="24"/>
        </w:rPr>
        <w:t>avoiding</w:t>
      </w:r>
      <w:r w:rsidR="00917328">
        <w:rPr>
          <w:rFonts w:ascii="Times New Roman" w:hAnsi="Times New Roman" w:cs="Times New Roman"/>
          <w:sz w:val="24"/>
          <w:szCs w:val="24"/>
        </w:rPr>
        <w:t xml:space="preserve"> a loss of load event and provides an important incentive to increase the availability of operating reserves during a scarcity event. </w:t>
      </w:r>
      <w:r w:rsidR="00C166BE">
        <w:rPr>
          <w:rFonts w:ascii="Times New Roman" w:hAnsi="Times New Roman" w:cs="Times New Roman"/>
          <w:sz w:val="24"/>
          <w:szCs w:val="24"/>
        </w:rPr>
        <w:t>The Commission should not</w:t>
      </w:r>
      <w:r w:rsidR="00917328">
        <w:rPr>
          <w:rFonts w:ascii="Times New Roman" w:hAnsi="Times New Roman" w:cs="Times New Roman"/>
          <w:sz w:val="24"/>
          <w:szCs w:val="24"/>
        </w:rPr>
        <w:t xml:space="preserve"> suspend the ORDC altogether during the very circ</w:t>
      </w:r>
      <w:r w:rsidR="00C166BE">
        <w:rPr>
          <w:rFonts w:ascii="Times New Roman" w:hAnsi="Times New Roman" w:cs="Times New Roman"/>
          <w:sz w:val="24"/>
          <w:szCs w:val="24"/>
        </w:rPr>
        <w:t>umstance (i.e., operational scarcity</w:t>
      </w:r>
      <w:r w:rsidR="00917328">
        <w:rPr>
          <w:rFonts w:ascii="Times New Roman" w:hAnsi="Times New Roman" w:cs="Times New Roman"/>
          <w:sz w:val="24"/>
          <w:szCs w:val="24"/>
        </w:rPr>
        <w:t xml:space="preserve">) that the ORDC was designed to address. Further, as discussed by TCPA in initial comments, the RDPA should be preserved because it is not a scarcity mechanism at </w:t>
      </w:r>
      <w:proofErr w:type="gramStart"/>
      <w:r w:rsidR="00917328">
        <w:rPr>
          <w:rFonts w:ascii="Times New Roman" w:hAnsi="Times New Roman" w:cs="Times New Roman"/>
          <w:sz w:val="24"/>
          <w:szCs w:val="24"/>
        </w:rPr>
        <w:t>all, but</w:t>
      </w:r>
      <w:proofErr w:type="gramEnd"/>
      <w:r w:rsidR="00917328">
        <w:rPr>
          <w:rFonts w:ascii="Times New Roman" w:hAnsi="Times New Roman" w:cs="Times New Roman"/>
          <w:sz w:val="24"/>
          <w:szCs w:val="24"/>
        </w:rPr>
        <w:t xml:space="preserve"> is necessary to correct for the price dampening impact of out-of-market actions taken by ERCOT.</w:t>
      </w:r>
    </w:p>
    <w:p w:rsidR="00917328" w:rsidRDefault="00917328" w:rsidP="001843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if the LCAP is retained, TCPA agrees with the commenter that suggested the </w:t>
      </w:r>
      <w:r w:rsidR="00C166BE">
        <w:rPr>
          <w:rFonts w:ascii="Times New Roman" w:hAnsi="Times New Roman" w:cs="Times New Roman"/>
          <w:sz w:val="24"/>
          <w:szCs w:val="24"/>
        </w:rPr>
        <w:t>Commission consider increasing the LCAP</w:t>
      </w:r>
      <w:r>
        <w:rPr>
          <w:rFonts w:ascii="Times New Roman" w:hAnsi="Times New Roman" w:cs="Times New Roman"/>
          <w:sz w:val="24"/>
          <w:szCs w:val="24"/>
        </w:rPr>
        <w:t>,</w:t>
      </w:r>
      <w:r w:rsidR="00C166BE">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and TCPA continues to recommend that it be increased to $4,500/MWh as discussed in its initial comments.</w:t>
      </w:r>
    </w:p>
    <w:p w:rsidR="00917328" w:rsidRDefault="00917328" w:rsidP="001843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TCPA agrees with the concerns pointed out by ERCOT with the proposed rule language that would cap the price – rather than just offers – at the LCAP.</w:t>
      </w:r>
      <w:r w:rsidR="00C166BE">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As noted by ERCOT, such a </w:t>
      </w:r>
      <w:r w:rsidR="00C166BE">
        <w:rPr>
          <w:rFonts w:ascii="Times New Roman" w:hAnsi="Times New Roman" w:cs="Times New Roman"/>
          <w:sz w:val="24"/>
          <w:szCs w:val="24"/>
        </w:rPr>
        <w:t xml:space="preserve">rule </w:t>
      </w:r>
      <w:r>
        <w:rPr>
          <w:rFonts w:ascii="Times New Roman" w:hAnsi="Times New Roman" w:cs="Times New Roman"/>
          <w:sz w:val="24"/>
          <w:szCs w:val="24"/>
        </w:rPr>
        <w:t xml:space="preserve">change would </w:t>
      </w:r>
      <w:r w:rsidR="00C166BE">
        <w:rPr>
          <w:rFonts w:ascii="Times New Roman" w:hAnsi="Times New Roman" w:cs="Times New Roman"/>
          <w:sz w:val="24"/>
          <w:szCs w:val="24"/>
        </w:rPr>
        <w:t>“require ERCOT to undertake several changes to its market system at some public expense,”</w:t>
      </w:r>
      <w:r w:rsidR="00C166BE">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because the current methodology for pricing congestion</w:t>
      </w:r>
      <w:r w:rsidR="00C166BE">
        <w:rPr>
          <w:rFonts w:ascii="Times New Roman" w:hAnsi="Times New Roman" w:cs="Times New Roman"/>
          <w:sz w:val="24"/>
          <w:szCs w:val="24"/>
        </w:rPr>
        <w:t xml:space="preserve"> (which is a component of the locational marginal price)</w:t>
      </w:r>
      <w:r>
        <w:rPr>
          <w:rFonts w:ascii="Times New Roman" w:hAnsi="Times New Roman" w:cs="Times New Roman"/>
          <w:sz w:val="24"/>
          <w:szCs w:val="24"/>
        </w:rPr>
        <w:t xml:space="preserve"> can result in prices that exceed the SWOC (whether the </w:t>
      </w:r>
      <w:r w:rsidR="00B076CF">
        <w:rPr>
          <w:rFonts w:ascii="Times New Roman" w:hAnsi="Times New Roman" w:cs="Times New Roman"/>
          <w:sz w:val="24"/>
          <w:szCs w:val="24"/>
        </w:rPr>
        <w:t>high system-wide offer cap (HCAP)</w:t>
      </w:r>
      <w:r>
        <w:rPr>
          <w:rFonts w:ascii="Times New Roman" w:hAnsi="Times New Roman" w:cs="Times New Roman"/>
          <w:sz w:val="24"/>
          <w:szCs w:val="24"/>
        </w:rPr>
        <w:t xml:space="preserve"> or the LCAP) and</w:t>
      </w:r>
      <w:r w:rsidR="00C166BE">
        <w:rPr>
          <w:rFonts w:ascii="Times New Roman" w:hAnsi="Times New Roman" w:cs="Times New Roman"/>
          <w:sz w:val="24"/>
          <w:szCs w:val="24"/>
        </w:rPr>
        <w:t xml:space="preserve"> because</w:t>
      </w:r>
      <w:r>
        <w:rPr>
          <w:rFonts w:ascii="Times New Roman" w:hAnsi="Times New Roman" w:cs="Times New Roman"/>
          <w:sz w:val="24"/>
          <w:szCs w:val="24"/>
        </w:rPr>
        <w:t xml:space="preserve"> the formula for the power balance penalty curve</w:t>
      </w:r>
      <w:r w:rsidR="0031088C">
        <w:rPr>
          <w:rFonts w:ascii="Times New Roman" w:hAnsi="Times New Roman" w:cs="Times New Roman"/>
          <w:sz w:val="24"/>
          <w:szCs w:val="24"/>
        </w:rPr>
        <w:t xml:space="preserve"> can also result in p</w:t>
      </w:r>
      <w:r w:rsidR="00C166BE">
        <w:rPr>
          <w:rFonts w:ascii="Times New Roman" w:hAnsi="Times New Roman" w:cs="Times New Roman"/>
          <w:sz w:val="24"/>
          <w:szCs w:val="24"/>
        </w:rPr>
        <w:t>rices that exceed the SWOC</w:t>
      </w:r>
      <w:r>
        <w:rPr>
          <w:rFonts w:ascii="Times New Roman" w:hAnsi="Times New Roman" w:cs="Times New Roman"/>
          <w:sz w:val="24"/>
          <w:szCs w:val="24"/>
        </w:rPr>
        <w:t xml:space="preserve">. TCPA continues to urge that, if the Commission retains the LCAP, the Commission limit only energy offers </w:t>
      </w:r>
      <w:r w:rsidR="00CE7FB7">
        <w:rPr>
          <w:rFonts w:ascii="Times New Roman" w:hAnsi="Times New Roman" w:cs="Times New Roman"/>
          <w:sz w:val="24"/>
          <w:szCs w:val="24"/>
        </w:rPr>
        <w:t xml:space="preserve">(rather than prices) </w:t>
      </w:r>
      <w:r>
        <w:rPr>
          <w:rFonts w:ascii="Times New Roman" w:hAnsi="Times New Roman" w:cs="Times New Roman"/>
          <w:sz w:val="24"/>
          <w:szCs w:val="24"/>
        </w:rPr>
        <w:t>to the LCAP.</w:t>
      </w:r>
    </w:p>
    <w:p w:rsidR="0031088C" w:rsidRPr="00184306" w:rsidRDefault="0031088C" w:rsidP="001843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 also might consider moving to a longer resource adequacy cycle (such as 5 or 10 years) if the Commission </w:t>
      </w:r>
      <w:r w:rsidR="008360BE">
        <w:rPr>
          <w:rFonts w:ascii="Times New Roman" w:hAnsi="Times New Roman" w:cs="Times New Roman"/>
          <w:sz w:val="24"/>
          <w:szCs w:val="24"/>
        </w:rPr>
        <w:t xml:space="preserve">opts to </w:t>
      </w:r>
      <w:r>
        <w:rPr>
          <w:rFonts w:ascii="Times New Roman" w:hAnsi="Times New Roman" w:cs="Times New Roman"/>
          <w:sz w:val="24"/>
          <w:szCs w:val="24"/>
        </w:rPr>
        <w:t xml:space="preserve">retain the LCAP mechanism. </w:t>
      </w:r>
      <w:r w:rsidR="00A77379">
        <w:rPr>
          <w:rFonts w:ascii="Times New Roman" w:hAnsi="Times New Roman" w:cs="Times New Roman"/>
          <w:sz w:val="24"/>
          <w:szCs w:val="24"/>
        </w:rPr>
        <w:t>I</w:t>
      </w:r>
      <w:r w:rsidR="00AD33B9">
        <w:rPr>
          <w:rFonts w:ascii="Times New Roman" w:hAnsi="Times New Roman" w:cs="Times New Roman"/>
          <w:sz w:val="24"/>
          <w:szCs w:val="24"/>
        </w:rPr>
        <w:t>n an energy-only market, scarcity pricing and generator revenues are typically concentrated within one or two years out of a ten-year period, rather than evenly spread over each year.</w:t>
      </w:r>
      <w:r w:rsidR="00A77379">
        <w:rPr>
          <w:rStyle w:val="FootnoteReference"/>
          <w:rFonts w:ascii="Times New Roman" w:hAnsi="Times New Roman" w:cs="Times New Roman"/>
          <w:sz w:val="24"/>
          <w:szCs w:val="24"/>
        </w:rPr>
        <w:footnoteReference w:id="22"/>
      </w:r>
      <w:r w:rsidR="00AD33B9">
        <w:rPr>
          <w:rFonts w:ascii="Times New Roman" w:hAnsi="Times New Roman" w:cs="Times New Roman"/>
          <w:sz w:val="24"/>
          <w:szCs w:val="24"/>
        </w:rPr>
        <w:t xml:space="preserve"> Therefore, if the Commission retains the LCAP mechanism, it should consider evaluating net revenues over a longer timeframe—such as 5 or 10 years—and only triggering the LCAP if the </w:t>
      </w:r>
      <w:r w:rsidR="00BB190D">
        <w:rPr>
          <w:rFonts w:ascii="Times New Roman" w:hAnsi="Times New Roman" w:cs="Times New Roman"/>
          <w:sz w:val="24"/>
          <w:szCs w:val="24"/>
        </w:rPr>
        <w:t xml:space="preserve">rolling </w:t>
      </w:r>
      <w:r w:rsidR="00AD33B9">
        <w:rPr>
          <w:rFonts w:ascii="Times New Roman" w:hAnsi="Times New Roman" w:cs="Times New Roman"/>
          <w:sz w:val="24"/>
          <w:szCs w:val="24"/>
        </w:rPr>
        <w:t>average annual revenues over that longer timeframe exceed the trigger.</w:t>
      </w:r>
    </w:p>
    <w:p w:rsidR="003F4A9F" w:rsidRDefault="003F4A9F" w:rsidP="003F4A9F">
      <w:pPr>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Replies to initial comments regarding ERCOT reporting</w:t>
      </w:r>
    </w:p>
    <w:p w:rsidR="003F4A9F" w:rsidRDefault="00E47C8D" w:rsidP="003F4A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TCPA agrees with the commenters that recommended retaining the ERCOT reporting requirements in subsection (f) of the current rule, with updates to </w:t>
      </w:r>
      <w:r w:rsidR="00202C43">
        <w:rPr>
          <w:rFonts w:ascii="Times New Roman" w:hAnsi="Times New Roman" w:cs="Times New Roman"/>
          <w:sz w:val="24"/>
          <w:szCs w:val="24"/>
        </w:rPr>
        <w:t xml:space="preserve">streamline and </w:t>
      </w:r>
      <w:r>
        <w:rPr>
          <w:rFonts w:ascii="Times New Roman" w:hAnsi="Times New Roman" w:cs="Times New Roman"/>
          <w:sz w:val="24"/>
          <w:szCs w:val="24"/>
        </w:rPr>
        <w:t xml:space="preserve">remove outdated </w:t>
      </w:r>
      <w:r>
        <w:rPr>
          <w:rFonts w:ascii="Times New Roman" w:hAnsi="Times New Roman" w:cs="Times New Roman"/>
          <w:sz w:val="24"/>
          <w:szCs w:val="24"/>
        </w:rPr>
        <w:lastRenderedPageBreak/>
        <w:t>language related to the zonal market.</w:t>
      </w:r>
      <w:r w:rsidR="00202C4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However, while TCPA supports cleaning up the rule language, it is important to retain the basic detail pertaining to the nodal market reporting requirements, to remove any ambiguity about what ERCOT must report.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2962D2">
        <w:rPr>
          <w:rFonts w:ascii="Times New Roman" w:hAnsi="Times New Roman" w:cs="Times New Roman"/>
          <w:sz w:val="24"/>
          <w:szCs w:val="24"/>
        </w:rPr>
        <w:t>In addition, o</w:t>
      </w:r>
      <w:r>
        <w:rPr>
          <w:rFonts w:ascii="Times New Roman" w:hAnsi="Times New Roman" w:cs="Times New Roman"/>
          <w:sz w:val="24"/>
          <w:szCs w:val="24"/>
        </w:rPr>
        <w:t xml:space="preserve">ne commenter suggested </w:t>
      </w:r>
      <w:r w:rsidR="002962D2">
        <w:rPr>
          <w:rFonts w:ascii="Times New Roman" w:hAnsi="Times New Roman" w:cs="Times New Roman"/>
          <w:sz w:val="24"/>
          <w:szCs w:val="24"/>
        </w:rPr>
        <w:t xml:space="preserve">that, if the Commission decides to eliminate the rule requirements, it </w:t>
      </w:r>
      <w:r>
        <w:rPr>
          <w:rFonts w:ascii="Times New Roman" w:hAnsi="Times New Roman" w:cs="Times New Roman"/>
          <w:sz w:val="24"/>
          <w:szCs w:val="24"/>
        </w:rPr>
        <w:t>could closely monitor ERCOT Protocol changes that attempt to eliminate or reduce the existing reporting requirements</w:t>
      </w:r>
      <w:r w:rsidR="00202C43">
        <w:rPr>
          <w:rStyle w:val="FootnoteReference"/>
          <w:rFonts w:ascii="Times New Roman" w:hAnsi="Times New Roman" w:cs="Times New Roman"/>
          <w:sz w:val="24"/>
          <w:szCs w:val="24"/>
        </w:rPr>
        <w:footnoteReference w:id="25"/>
      </w:r>
      <w:r w:rsidR="002962D2">
        <w:rPr>
          <w:rFonts w:ascii="Times New Roman" w:hAnsi="Times New Roman" w:cs="Times New Roman"/>
          <w:sz w:val="24"/>
          <w:szCs w:val="24"/>
        </w:rPr>
        <w:t>;</w:t>
      </w:r>
      <w:r>
        <w:rPr>
          <w:rFonts w:ascii="Times New Roman" w:hAnsi="Times New Roman" w:cs="Times New Roman"/>
          <w:sz w:val="24"/>
          <w:szCs w:val="24"/>
        </w:rPr>
        <w:t xml:space="preserve"> </w:t>
      </w:r>
      <w:r w:rsidR="002962D2">
        <w:rPr>
          <w:rFonts w:ascii="Times New Roman" w:hAnsi="Times New Roman" w:cs="Times New Roman"/>
          <w:sz w:val="24"/>
          <w:szCs w:val="24"/>
        </w:rPr>
        <w:t xml:space="preserve">while that is theoretically an option, it </w:t>
      </w:r>
      <w:r>
        <w:rPr>
          <w:rFonts w:ascii="Times New Roman" w:hAnsi="Times New Roman" w:cs="Times New Roman"/>
          <w:sz w:val="24"/>
          <w:szCs w:val="24"/>
        </w:rPr>
        <w:t>would create unnecessary work for the Commission, since the existing rule language already sp</w:t>
      </w:r>
      <w:r w:rsidR="002962D2">
        <w:rPr>
          <w:rFonts w:ascii="Times New Roman" w:hAnsi="Times New Roman" w:cs="Times New Roman"/>
          <w:sz w:val="24"/>
          <w:szCs w:val="24"/>
        </w:rPr>
        <w:t>ells out what ERCOT must report and thus avoids the need for such monitoring.</w:t>
      </w:r>
      <w:r>
        <w:rPr>
          <w:rFonts w:ascii="Times New Roman" w:hAnsi="Times New Roman" w:cs="Times New Roman"/>
          <w:sz w:val="24"/>
          <w:szCs w:val="24"/>
        </w:rPr>
        <w:t xml:space="preserve"> As explained in TCPA’s initial comments, the data reported by ERCOT under existing subsection (f) is valuable information to the market, and </w:t>
      </w:r>
      <w:r w:rsidR="0038518F">
        <w:rPr>
          <w:rFonts w:ascii="Times New Roman" w:hAnsi="Times New Roman" w:cs="Times New Roman"/>
          <w:sz w:val="24"/>
          <w:szCs w:val="24"/>
        </w:rPr>
        <w:t xml:space="preserve">thus </w:t>
      </w:r>
      <w:r>
        <w:rPr>
          <w:rFonts w:ascii="Times New Roman" w:hAnsi="Times New Roman" w:cs="Times New Roman"/>
          <w:sz w:val="24"/>
          <w:szCs w:val="24"/>
        </w:rPr>
        <w:t>the Commission should retain that rule language, with the clean-ups proposed in TCPA’s initial comments.</w:t>
      </w:r>
    </w:p>
    <w:p w:rsidR="003F4A9F" w:rsidRDefault="003F4A9F" w:rsidP="003F4A9F">
      <w:pPr>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Replies to initial comments regarding definition of load entity</w:t>
      </w:r>
    </w:p>
    <w:p w:rsidR="003F4A9F" w:rsidRPr="003F4A9F" w:rsidRDefault="002D4FED" w:rsidP="003F4A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commenter suggested that the definition of “load entity” should be modified to refer to the definitions in the </w:t>
      </w:r>
      <w:r w:rsidR="00F46941">
        <w:rPr>
          <w:rFonts w:ascii="Times New Roman" w:hAnsi="Times New Roman" w:cs="Times New Roman"/>
          <w:sz w:val="24"/>
          <w:szCs w:val="24"/>
        </w:rPr>
        <w:t>ERCOT Protocols.</w:t>
      </w:r>
      <w:r w:rsidR="007372EC">
        <w:rPr>
          <w:rStyle w:val="FootnoteReference"/>
          <w:rFonts w:ascii="Times New Roman" w:hAnsi="Times New Roman" w:cs="Times New Roman"/>
          <w:sz w:val="24"/>
          <w:szCs w:val="24"/>
        </w:rPr>
        <w:footnoteReference w:id="26"/>
      </w:r>
      <w:r w:rsidR="00F46941">
        <w:rPr>
          <w:rFonts w:ascii="Times New Roman" w:hAnsi="Times New Roman" w:cs="Times New Roman"/>
          <w:sz w:val="24"/>
          <w:szCs w:val="24"/>
        </w:rPr>
        <w:t xml:space="preserve"> However, the term “load entity” does not </w:t>
      </w:r>
      <w:r>
        <w:rPr>
          <w:rFonts w:ascii="Times New Roman" w:hAnsi="Times New Roman" w:cs="Times New Roman"/>
          <w:sz w:val="24"/>
          <w:szCs w:val="24"/>
        </w:rPr>
        <w:t>appear anywhere else in the rule language</w:t>
      </w:r>
      <w:r w:rsidR="00F46941">
        <w:rPr>
          <w:rFonts w:ascii="Times New Roman" w:hAnsi="Times New Roman" w:cs="Times New Roman"/>
          <w:sz w:val="24"/>
          <w:szCs w:val="24"/>
        </w:rPr>
        <w:t xml:space="preserve">; </w:t>
      </w:r>
      <w:r w:rsidR="00353573">
        <w:rPr>
          <w:rFonts w:ascii="Times New Roman" w:hAnsi="Times New Roman" w:cs="Times New Roman"/>
          <w:sz w:val="24"/>
          <w:szCs w:val="24"/>
        </w:rPr>
        <w:t xml:space="preserve">and upon further inspection, neither </w:t>
      </w:r>
      <w:r w:rsidR="00F46941">
        <w:rPr>
          <w:rFonts w:ascii="Times New Roman" w:hAnsi="Times New Roman" w:cs="Times New Roman"/>
          <w:sz w:val="24"/>
          <w:szCs w:val="24"/>
        </w:rPr>
        <w:t>do the terms “generation entity” or “resource entity</w:t>
      </w:r>
      <w:r>
        <w:rPr>
          <w:rFonts w:ascii="Times New Roman" w:hAnsi="Times New Roman" w:cs="Times New Roman"/>
          <w:sz w:val="24"/>
          <w:szCs w:val="24"/>
        </w:rPr>
        <w:t>.</w:t>
      </w:r>
      <w:r w:rsidR="00F46941">
        <w:rPr>
          <w:rFonts w:ascii="Times New Roman" w:hAnsi="Times New Roman" w:cs="Times New Roman"/>
          <w:sz w:val="24"/>
          <w:szCs w:val="24"/>
        </w:rPr>
        <w:t>”</w:t>
      </w:r>
      <w:r>
        <w:rPr>
          <w:rFonts w:ascii="Times New Roman" w:hAnsi="Times New Roman" w:cs="Times New Roman"/>
          <w:sz w:val="24"/>
          <w:szCs w:val="24"/>
        </w:rPr>
        <w:t xml:space="preserve"> In the interest of streamlining and cleaning up the existing rule language, the Commiss</w:t>
      </w:r>
      <w:r w:rsidR="00F46941">
        <w:rPr>
          <w:rFonts w:ascii="Times New Roman" w:hAnsi="Times New Roman" w:cs="Times New Roman"/>
          <w:sz w:val="24"/>
          <w:szCs w:val="24"/>
        </w:rPr>
        <w:t xml:space="preserve">ion should consider deleting those defined terms </w:t>
      </w:r>
      <w:r w:rsidR="0038518F">
        <w:rPr>
          <w:rFonts w:ascii="Times New Roman" w:hAnsi="Times New Roman" w:cs="Times New Roman"/>
          <w:sz w:val="24"/>
          <w:szCs w:val="24"/>
        </w:rPr>
        <w:t>from</w:t>
      </w:r>
      <w:r w:rsidR="00F46941">
        <w:rPr>
          <w:rFonts w:ascii="Times New Roman" w:hAnsi="Times New Roman" w:cs="Times New Roman"/>
          <w:sz w:val="24"/>
          <w:szCs w:val="24"/>
        </w:rPr>
        <w:t xml:space="preserve"> the rule</w:t>
      </w:r>
      <w:r>
        <w:rPr>
          <w:rFonts w:ascii="Times New Roman" w:hAnsi="Times New Roman" w:cs="Times New Roman"/>
          <w:sz w:val="24"/>
          <w:szCs w:val="24"/>
        </w:rPr>
        <w:t>.</w:t>
      </w:r>
      <w:r w:rsidR="00F46941">
        <w:rPr>
          <w:rFonts w:ascii="Times New Roman" w:hAnsi="Times New Roman" w:cs="Times New Roman"/>
          <w:sz w:val="24"/>
          <w:szCs w:val="24"/>
        </w:rPr>
        <w:t xml:space="preserve"> The only definition that should be retained is the definition of “event trigger,” and</w:t>
      </w:r>
      <w:r w:rsidR="0087198F">
        <w:rPr>
          <w:rFonts w:ascii="Times New Roman" w:hAnsi="Times New Roman" w:cs="Times New Roman"/>
          <w:sz w:val="24"/>
          <w:szCs w:val="24"/>
        </w:rPr>
        <w:t>,</w:t>
      </w:r>
      <w:r w:rsidR="00F46941">
        <w:rPr>
          <w:rFonts w:ascii="Times New Roman" w:hAnsi="Times New Roman" w:cs="Times New Roman"/>
          <w:sz w:val="24"/>
          <w:szCs w:val="24"/>
        </w:rPr>
        <w:t xml:space="preserve"> then, only if the Commission retains the reporting requirem</w:t>
      </w:r>
      <w:r w:rsidR="00FA567E">
        <w:rPr>
          <w:rFonts w:ascii="Times New Roman" w:hAnsi="Times New Roman" w:cs="Times New Roman"/>
          <w:sz w:val="24"/>
          <w:szCs w:val="24"/>
        </w:rPr>
        <w:t>ents in existing subsection (f), as recommended by TCPA and others.</w:t>
      </w:r>
    </w:p>
    <w:p w:rsidR="00974886" w:rsidRDefault="002B7F45" w:rsidP="00FF6A5A">
      <w:pPr>
        <w:pStyle w:val="annettes"/>
        <w:spacing w:before="360"/>
        <w:jc w:val="center"/>
        <w:rPr>
          <w:rFonts w:cs="Times New Roman"/>
          <w:b/>
          <w:szCs w:val="24"/>
        </w:rPr>
      </w:pPr>
      <w:r w:rsidRPr="0048370E">
        <w:rPr>
          <w:rFonts w:cs="Times New Roman"/>
          <w:b/>
          <w:szCs w:val="24"/>
        </w:rPr>
        <w:t>I</w:t>
      </w:r>
      <w:r w:rsidR="0002294B">
        <w:rPr>
          <w:rFonts w:cs="Times New Roman"/>
          <w:b/>
          <w:szCs w:val="24"/>
        </w:rPr>
        <w:t>I</w:t>
      </w:r>
      <w:r w:rsidRPr="0048370E">
        <w:rPr>
          <w:rFonts w:cs="Times New Roman"/>
          <w:b/>
          <w:szCs w:val="24"/>
        </w:rPr>
        <w:t xml:space="preserve">. </w:t>
      </w:r>
      <w:r w:rsidR="005350ED">
        <w:rPr>
          <w:rFonts w:cs="Times New Roman"/>
          <w:b/>
          <w:szCs w:val="24"/>
        </w:rPr>
        <w:t xml:space="preserve"> </w:t>
      </w:r>
      <w:r w:rsidR="00A934BB" w:rsidRPr="0048370E">
        <w:rPr>
          <w:rFonts w:cs="Times New Roman"/>
          <w:b/>
          <w:szCs w:val="24"/>
        </w:rPr>
        <w:t>Conclusion</w:t>
      </w:r>
    </w:p>
    <w:p w:rsidR="00A92660" w:rsidRDefault="00DA49BD" w:rsidP="00FF6A5A">
      <w:pPr>
        <w:pStyle w:val="annettes"/>
        <w:rPr>
          <w:rFonts w:cs="Times New Roman"/>
          <w:szCs w:val="24"/>
        </w:rPr>
      </w:pPr>
      <w:r>
        <w:rPr>
          <w:rFonts w:cs="Times New Roman"/>
          <w:szCs w:val="24"/>
        </w:rPr>
        <w:tab/>
      </w:r>
      <w:r w:rsidR="00FF6A5A">
        <w:rPr>
          <w:rFonts w:cs="Times New Roman"/>
          <w:szCs w:val="24"/>
        </w:rPr>
        <w:t>TCPA appreciates the Commission’s consideration of its comments and</w:t>
      </w:r>
      <w:r w:rsidR="003F4A9F">
        <w:rPr>
          <w:rFonts w:cs="Times New Roman"/>
          <w:szCs w:val="24"/>
        </w:rPr>
        <w:t xml:space="preserve"> continues to</w:t>
      </w:r>
      <w:r w:rsidR="00FF6A5A">
        <w:rPr>
          <w:rFonts w:cs="Times New Roman"/>
          <w:szCs w:val="24"/>
        </w:rPr>
        <w:t xml:space="preserve"> request that </w:t>
      </w:r>
      <w:r w:rsidR="00700F70">
        <w:rPr>
          <w:rFonts w:cs="Times New Roman"/>
          <w:szCs w:val="24"/>
        </w:rPr>
        <w:t>the Commission:</w:t>
      </w:r>
    </w:p>
    <w:p w:rsidR="00700F70" w:rsidRDefault="00700F70" w:rsidP="00A52DDC">
      <w:pPr>
        <w:pStyle w:val="annettes"/>
        <w:numPr>
          <w:ilvl w:val="0"/>
          <w:numId w:val="23"/>
        </w:numPr>
        <w:spacing w:after="240" w:line="240" w:lineRule="auto"/>
        <w:rPr>
          <w:rFonts w:cs="Times New Roman"/>
          <w:szCs w:val="24"/>
        </w:rPr>
      </w:pPr>
      <w:r>
        <w:rPr>
          <w:rFonts w:cs="Times New Roman"/>
          <w:szCs w:val="24"/>
        </w:rPr>
        <w:lastRenderedPageBreak/>
        <w:t>Eliminate the LCAP, or, alternatively, (</w:t>
      </w:r>
      <w:proofErr w:type="spellStart"/>
      <w:r>
        <w:rPr>
          <w:rFonts w:cs="Times New Roman"/>
          <w:szCs w:val="24"/>
        </w:rPr>
        <w:t>i</w:t>
      </w:r>
      <w:proofErr w:type="spellEnd"/>
      <w:r>
        <w:rPr>
          <w:rFonts w:cs="Times New Roman"/>
          <w:szCs w:val="24"/>
        </w:rPr>
        <w:t>) increase the LCAP to $4,500/MWh, (ii) if the LCAP is triggered, reset the VOLL to the LCAP for purposes of administrative pricing mechanisms like the ORDC and RDPA, and (iii) refrain from stating that prices will never exceed the LCAP if it is triggered.</w:t>
      </w:r>
    </w:p>
    <w:p w:rsidR="00700F70" w:rsidRDefault="00700F70" w:rsidP="00A52DDC">
      <w:pPr>
        <w:pStyle w:val="annettes"/>
        <w:numPr>
          <w:ilvl w:val="0"/>
          <w:numId w:val="23"/>
        </w:numPr>
        <w:spacing w:after="240" w:line="240" w:lineRule="auto"/>
        <w:rPr>
          <w:rFonts w:cs="Times New Roman"/>
          <w:szCs w:val="24"/>
        </w:rPr>
      </w:pPr>
      <w:r>
        <w:rPr>
          <w:rFonts w:cs="Times New Roman"/>
          <w:szCs w:val="24"/>
        </w:rPr>
        <w:t>Retain but streamline and update the reporting requirements in existing subsection (f) of the rule, and if the LCAP is eliminated, add a requirement to that subsection for ERCOT to report on the PNM each day.</w:t>
      </w:r>
    </w:p>
    <w:p w:rsidR="00700F70" w:rsidRPr="00DA49BD" w:rsidRDefault="00700F70" w:rsidP="00700F70">
      <w:pPr>
        <w:pStyle w:val="annettes"/>
        <w:numPr>
          <w:ilvl w:val="0"/>
          <w:numId w:val="23"/>
        </w:numPr>
        <w:rPr>
          <w:rFonts w:cs="Times New Roman"/>
          <w:szCs w:val="24"/>
        </w:rPr>
      </w:pPr>
      <w:r>
        <w:rPr>
          <w:rFonts w:cs="Times New Roman"/>
          <w:szCs w:val="24"/>
        </w:rPr>
        <w:t xml:space="preserve">Make the other stylistic revisions suggested </w:t>
      </w:r>
      <w:r w:rsidR="003F4A9F">
        <w:rPr>
          <w:rFonts w:cs="Times New Roman"/>
          <w:szCs w:val="24"/>
        </w:rPr>
        <w:t>in TCPA’s initial comments</w:t>
      </w:r>
      <w:r w:rsidR="0087198F">
        <w:rPr>
          <w:rFonts w:cs="Times New Roman"/>
          <w:szCs w:val="24"/>
        </w:rPr>
        <w:t>.</w:t>
      </w:r>
    </w:p>
    <w:p w:rsidR="009D303C" w:rsidRDefault="009D303C" w:rsidP="009D3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3F4A9F">
        <w:rPr>
          <w:rFonts w:ascii="Times New Roman" w:hAnsi="Times New Roman" w:cs="Times New Roman"/>
          <w:sz w:val="24"/>
          <w:szCs w:val="24"/>
        </w:rPr>
        <w:t>February 25</w:t>
      </w:r>
      <w:r w:rsidR="0002294B">
        <w:rPr>
          <w:rFonts w:ascii="Times New Roman" w:hAnsi="Times New Roman" w:cs="Times New Roman"/>
          <w:sz w:val="24"/>
          <w:szCs w:val="24"/>
        </w:rPr>
        <w:t>, 2019</w:t>
      </w:r>
    </w:p>
    <w:p w:rsidR="00FA7269" w:rsidRPr="0048370E" w:rsidRDefault="00FA7269" w:rsidP="009E18D0">
      <w:pPr>
        <w:spacing w:after="0" w:line="480" w:lineRule="auto"/>
        <w:ind w:left="3600" w:firstLine="720"/>
        <w:jc w:val="both"/>
        <w:rPr>
          <w:rFonts w:ascii="Times New Roman" w:eastAsia="Calibri" w:hAnsi="Times New Roman" w:cs="Times New Roman"/>
          <w:sz w:val="24"/>
          <w:szCs w:val="24"/>
        </w:rPr>
      </w:pPr>
      <w:r w:rsidRPr="0048370E">
        <w:rPr>
          <w:rFonts w:ascii="Times New Roman" w:eastAsia="Calibri" w:hAnsi="Times New Roman" w:cs="Times New Roman"/>
          <w:sz w:val="24"/>
          <w:szCs w:val="24"/>
        </w:rPr>
        <w:t>Respectfully submitted,</w:t>
      </w:r>
    </w:p>
    <w:p w:rsidR="00FA7269" w:rsidRPr="0048370E" w:rsidRDefault="00FA7269"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t>__________________________________</w:t>
      </w:r>
    </w:p>
    <w:p w:rsidR="00121648" w:rsidRDefault="00121648" w:rsidP="00A923EF">
      <w:pPr>
        <w:spacing w:after="0" w:line="240" w:lineRule="auto"/>
        <w:ind w:firstLine="720"/>
        <w:outlineLvl w:val="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00476493">
        <w:rPr>
          <w:rFonts w:ascii="Times New Roman" w:eastAsia="Times New Roman" w:hAnsi="Times New Roman" w:cs="Times New Roman"/>
          <w:sz w:val="24"/>
          <w:szCs w:val="24"/>
        </w:rPr>
        <w:t>Michele Gregg</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Competitive Power Advocates (TCPA)</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 653-7447</w:t>
      </w:r>
    </w:p>
    <w:p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1" w:history="1">
        <w:r w:rsidRPr="005E7290">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BF" w:rsidRDefault="005908BF" w:rsidP="00F75562">
      <w:pPr>
        <w:spacing w:after="0" w:line="240" w:lineRule="auto"/>
      </w:pPr>
      <w:r>
        <w:separator/>
      </w:r>
    </w:p>
  </w:endnote>
  <w:endnote w:type="continuationSeparator" w:id="0">
    <w:p w:rsidR="005908BF" w:rsidRDefault="005908BF"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rsidR="008D42E3" w:rsidRPr="00FA1FB8" w:rsidRDefault="008D42E3">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sidR="00A52DDC">
          <w:rPr>
            <w:rFonts w:ascii="Times New Roman" w:hAnsi="Times New Roman" w:cs="Times New Roman"/>
            <w:noProof/>
            <w:sz w:val="24"/>
            <w:szCs w:val="24"/>
          </w:rPr>
          <w:t>13</w:t>
        </w:r>
        <w:r w:rsidRPr="00FA1FB8">
          <w:rPr>
            <w:rFonts w:ascii="Times New Roman" w:hAnsi="Times New Roman" w:cs="Times New Roman"/>
            <w:noProof/>
            <w:sz w:val="24"/>
            <w:szCs w:val="24"/>
          </w:rPr>
          <w:fldChar w:fldCharType="end"/>
        </w:r>
      </w:p>
    </w:sdtContent>
  </w:sdt>
  <w:p w:rsidR="008D42E3" w:rsidRPr="00DE4A1C" w:rsidRDefault="008D42E3"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BF" w:rsidRDefault="005908BF" w:rsidP="00F75562">
      <w:pPr>
        <w:spacing w:after="0" w:line="240" w:lineRule="auto"/>
      </w:pPr>
      <w:r>
        <w:separator/>
      </w:r>
    </w:p>
  </w:footnote>
  <w:footnote w:type="continuationSeparator" w:id="0">
    <w:p w:rsidR="005908BF" w:rsidRDefault="005908BF" w:rsidP="00F75562">
      <w:pPr>
        <w:spacing w:after="0" w:line="240" w:lineRule="auto"/>
      </w:pPr>
      <w:r>
        <w:continuationSeparator/>
      </w:r>
    </w:p>
  </w:footnote>
  <w:footnote w:id="1">
    <w:p w:rsidR="008D42E3" w:rsidRDefault="008D42E3">
      <w:pPr>
        <w:pStyle w:val="FootnoteText"/>
      </w:pPr>
      <w:r>
        <w:rPr>
          <w:rStyle w:val="FootnoteReference"/>
        </w:rPr>
        <w:footnoteRef/>
      </w:r>
      <w:r>
        <w:t xml:space="preserve"> </w:t>
      </w:r>
      <w:r>
        <w:rPr>
          <w:i/>
        </w:rPr>
        <w:t>E.g.</w:t>
      </w:r>
      <w:r>
        <w:t xml:space="preserve">, The ERCOT Steel Mills’ Joint Comments at 4–6 (Feb. 11, 2019) (hereafter, Steel Mills Comments); REP Group Comments on Proposed Rulemaking at 2 (Feb. 11, 2019) (hereafter, REP Group Comments); Texas Industrial Energy Consumers’ Initial Comments at 2–3 (Feb. 11, 2019) (hereafter, TIEC Comments). </w:t>
      </w:r>
    </w:p>
  </w:footnote>
  <w:footnote w:id="2">
    <w:p w:rsidR="008D42E3" w:rsidRPr="0011353B" w:rsidRDefault="008D42E3">
      <w:pPr>
        <w:pStyle w:val="FootnoteText"/>
      </w:pPr>
      <w:r>
        <w:rPr>
          <w:rStyle w:val="FootnoteReference"/>
        </w:rPr>
        <w:footnoteRef/>
      </w:r>
      <w:r>
        <w:t xml:space="preserve"> </w:t>
      </w:r>
      <w:r>
        <w:rPr>
          <w:i/>
        </w:rPr>
        <w:t>See</w:t>
      </w:r>
      <w:r>
        <w:t xml:space="preserve"> Steel Mills Comments at 5.</w:t>
      </w:r>
    </w:p>
  </w:footnote>
  <w:footnote w:id="3">
    <w:p w:rsidR="008D42E3" w:rsidRPr="0014425D" w:rsidRDefault="008D42E3" w:rsidP="007712BC">
      <w:pPr>
        <w:pStyle w:val="FootnoteText"/>
      </w:pPr>
      <w:r>
        <w:rPr>
          <w:rStyle w:val="FootnoteReference"/>
        </w:rPr>
        <w:footnoteRef/>
      </w:r>
      <w:r>
        <w:t xml:space="preserve"> </w:t>
      </w:r>
      <w:r>
        <w:rPr>
          <w:i/>
        </w:rPr>
        <w:t>See Commission Proceeding to Ensure Resource Adequacy in Texas</w:t>
      </w:r>
      <w:r>
        <w:t xml:space="preserve">, Project No. 40000, London Economic International LLC, </w:t>
      </w:r>
      <w:r>
        <w:rPr>
          <w:i/>
        </w:rPr>
        <w:t xml:space="preserve">Estimating the Value of Lost Load </w:t>
      </w:r>
      <w:r>
        <w:t xml:space="preserve">(Jun. 17, 2013) (providing ranges for the value of lost load in ERCOT by customer class, which included the $9,000 value the Commission later adopted). The Commission began evaluating the ORDC as a potential scarcity pricing mechanism in November 2012 and ordered ERCOT to implement it (with a $9,000 value of lost load) at the September 12, 2013 open meeting. </w:t>
      </w:r>
      <w:r>
        <w:rPr>
          <w:i/>
        </w:rPr>
        <w:t xml:space="preserve">See </w:t>
      </w:r>
      <w:r>
        <w:t>Project No. 40000, IPR-GDF SUEZ Energy North America, Inc., Supplemental Comments (Nov. 14, 2012) (filing William W. Hogan’s paper, “Electricity Scarcity Pricing through Operating Reserves: An ERCOT Window of Opportunity,” which proposed the concept that ultimately became the ORDC).</w:t>
      </w:r>
    </w:p>
  </w:footnote>
  <w:footnote w:id="4">
    <w:p w:rsidR="00FC4E5A" w:rsidRDefault="00FC4E5A">
      <w:pPr>
        <w:pStyle w:val="FootnoteText"/>
      </w:pPr>
      <w:r>
        <w:rPr>
          <w:rStyle w:val="FootnoteReference"/>
        </w:rPr>
        <w:footnoteRef/>
      </w:r>
      <w:r>
        <w:t xml:space="preserve"> Public Utility Regulatory Act, </w:t>
      </w:r>
      <w:r w:rsidRPr="00F34526">
        <w:rPr>
          <w:smallCaps/>
        </w:rPr>
        <w:t>Tex. Util. Code Ann.</w:t>
      </w:r>
      <w:r>
        <w:t xml:space="preserve"> §§ 11.001-58.302 (West 2016 &amp; Supp. 2017), §§ 59.001-66.016 (West 2007 &amp; Supp. 2017) (PURA).</w:t>
      </w:r>
    </w:p>
  </w:footnote>
  <w:footnote w:id="5">
    <w:p w:rsidR="00A21316" w:rsidRPr="00A21316" w:rsidRDefault="00A21316">
      <w:pPr>
        <w:pStyle w:val="FootnoteText"/>
      </w:pPr>
      <w:r>
        <w:rPr>
          <w:rStyle w:val="FootnoteReference"/>
        </w:rPr>
        <w:footnoteRef/>
      </w:r>
      <w:r>
        <w:t xml:space="preserve"> </w:t>
      </w:r>
      <w:r>
        <w:rPr>
          <w:i/>
        </w:rPr>
        <w:t>See</w:t>
      </w:r>
      <w:r>
        <w:t xml:space="preserve"> PURA § 39.001</w:t>
      </w:r>
      <w:r w:rsidR="00F900BD">
        <w:t>.</w:t>
      </w:r>
    </w:p>
  </w:footnote>
  <w:footnote w:id="6">
    <w:p w:rsidR="009B1C0C" w:rsidRPr="009B1C0C" w:rsidRDefault="009B1C0C">
      <w:pPr>
        <w:pStyle w:val="FootnoteText"/>
      </w:pPr>
      <w:r>
        <w:rPr>
          <w:rStyle w:val="FootnoteReference"/>
        </w:rPr>
        <w:footnoteRef/>
      </w:r>
      <w:r>
        <w:t xml:space="preserve"> </w:t>
      </w:r>
      <w:r>
        <w:rPr>
          <w:i/>
        </w:rPr>
        <w:t>See</w:t>
      </w:r>
      <w:r>
        <w:t xml:space="preserve"> PURA § 31.001(c)</w:t>
      </w:r>
    </w:p>
  </w:footnote>
  <w:footnote w:id="7">
    <w:p w:rsidR="00F900BD" w:rsidRPr="00F900BD" w:rsidRDefault="00F900BD">
      <w:pPr>
        <w:pStyle w:val="FootnoteText"/>
      </w:pPr>
      <w:r>
        <w:rPr>
          <w:rStyle w:val="FootnoteReference"/>
        </w:rPr>
        <w:footnoteRef/>
      </w:r>
      <w:r>
        <w:t xml:space="preserve"> </w:t>
      </w:r>
      <w:r>
        <w:rPr>
          <w:i/>
        </w:rPr>
        <w:t>See</w:t>
      </w:r>
      <w:r>
        <w:t xml:space="preserve"> PURA § 15.023 (specifically, subsection (g) defines “excess revenue” as “revenue in excess of revenue that would have occurred absent a violation”) and PURA § 39.157.</w:t>
      </w:r>
    </w:p>
  </w:footnote>
  <w:footnote w:id="8">
    <w:p w:rsidR="008D42E3" w:rsidRPr="00D642BB" w:rsidRDefault="008D42E3" w:rsidP="00A86EBB">
      <w:pPr>
        <w:pStyle w:val="FootnoteText"/>
      </w:pPr>
      <w:r>
        <w:rPr>
          <w:rStyle w:val="FootnoteReference"/>
        </w:rPr>
        <w:footnoteRef/>
      </w:r>
      <w:r>
        <w:t xml:space="preserve"> </w:t>
      </w:r>
      <w:r>
        <w:rPr>
          <w:i/>
        </w:rPr>
        <w:t xml:space="preserve">See </w:t>
      </w:r>
      <w:r>
        <w:t xml:space="preserve">Potomac Economics, Item 11: Independent Market Monitor (IMM) Report for ERCOT Board of Directors Meeting at Slide 4 (Feb. 12, 2019) (showing a natural gas price of $2.45 in 2016, $2.98 in 2017, and $3.22 in 2018), </w:t>
      </w:r>
      <w:r>
        <w:rPr>
          <w:i/>
        </w:rPr>
        <w:t>available at</w:t>
      </w:r>
      <w:r>
        <w:t xml:space="preserve">: </w:t>
      </w:r>
      <w:hyperlink r:id="rId1" w:history="1">
        <w:r w:rsidRPr="00225789">
          <w:rPr>
            <w:rStyle w:val="Hyperlink"/>
          </w:rPr>
          <w:t>http://www.ercot.com/content/wcm/key_documents_lists/161457/11_Independent_Market_</w:t>
        </w:r>
        <w:r w:rsidRPr="00225789">
          <w:rPr>
            <w:rStyle w:val="Hyperlink"/>
          </w:rPr>
          <w:br/>
          <w:t>Monitor__IMM__Report.pdf</w:t>
        </w:r>
      </w:hyperlink>
      <w:r>
        <w:t xml:space="preserve">. </w:t>
      </w:r>
    </w:p>
  </w:footnote>
  <w:footnote w:id="9">
    <w:p w:rsidR="008D42E3" w:rsidRPr="004C6F68" w:rsidRDefault="008D42E3">
      <w:pPr>
        <w:pStyle w:val="FootnoteText"/>
      </w:pPr>
      <w:r>
        <w:rPr>
          <w:rStyle w:val="FootnoteReference"/>
        </w:rPr>
        <w:footnoteRef/>
      </w:r>
      <w:r>
        <w:t xml:space="preserve"> </w:t>
      </w:r>
      <w:r>
        <w:rPr>
          <w:i/>
        </w:rPr>
        <w:t>Id.</w:t>
      </w:r>
      <w:r>
        <w:t xml:space="preserve"> at Slide 3.</w:t>
      </w:r>
    </w:p>
  </w:footnote>
  <w:footnote w:id="10">
    <w:p w:rsidR="008D42E3" w:rsidRDefault="008D42E3">
      <w:pPr>
        <w:pStyle w:val="FootnoteText"/>
      </w:pPr>
      <w:r>
        <w:rPr>
          <w:rStyle w:val="FootnoteReference"/>
        </w:rPr>
        <w:footnoteRef/>
      </w:r>
      <w:r>
        <w:t xml:space="preserve"> REP Group Comments at 2 (Feb. 11, 2019)</w:t>
      </w:r>
      <w:r w:rsidR="00350114">
        <w:t>; Steel Mills Comments at 6 (Feb. 11, 2019); Texas Electric Cooperatives Comments at 2 (Feb. 11, 2019)</w:t>
      </w:r>
      <w:r>
        <w:t>.</w:t>
      </w:r>
    </w:p>
  </w:footnote>
  <w:footnote w:id="11">
    <w:p w:rsidR="008D42E3" w:rsidRDefault="008D42E3">
      <w:pPr>
        <w:pStyle w:val="FootnoteText"/>
      </w:pPr>
      <w:r>
        <w:rPr>
          <w:rStyle w:val="FootnoteReference"/>
        </w:rPr>
        <w:footnoteRef/>
      </w:r>
      <w:r>
        <w:t xml:space="preserve"> In addition to TCPA, Invenergy also suggested that the Commission eliminate LCAP. Comments of Invenergy LLC (Feb. 11, 2019).</w:t>
      </w:r>
    </w:p>
  </w:footnote>
  <w:footnote w:id="12">
    <w:p w:rsidR="008D42E3" w:rsidRDefault="008D42E3" w:rsidP="00E211B7">
      <w:pPr>
        <w:pStyle w:val="FootnoteText"/>
      </w:pPr>
      <w:r>
        <w:rPr>
          <w:rStyle w:val="FootnoteReference"/>
        </w:rPr>
        <w:footnoteRef/>
      </w:r>
      <w:r>
        <w:t xml:space="preserve"> </w:t>
      </w:r>
      <w:r>
        <w:rPr>
          <w:i/>
        </w:rPr>
        <w:t>See</w:t>
      </w:r>
      <w:r>
        <w:t xml:space="preserve"> 16 Tex. Admin. Code (TAC) § 25.505(g); </w:t>
      </w:r>
      <w:r>
        <w:rPr>
          <w:i/>
        </w:rPr>
        <w:t>Rulemaking on Wholesale Electric Market Power and Resource Adequacy in the ERCOT Power Region</w:t>
      </w:r>
      <w:r>
        <w:t>, Project No. 31972, Order Adopting Amendment to §25.502, New §25.504, and New §25.505 as Approved at the August 10, 2006 Open Meeting, at 73 (Aug. 24, 2006).</w:t>
      </w:r>
    </w:p>
  </w:footnote>
  <w:footnote w:id="13">
    <w:p w:rsidR="008D42E3" w:rsidRDefault="008D42E3">
      <w:pPr>
        <w:pStyle w:val="FootnoteText"/>
      </w:pPr>
      <w:r>
        <w:rPr>
          <w:rStyle w:val="FootnoteReference"/>
        </w:rPr>
        <w:footnoteRef/>
      </w:r>
      <w:r>
        <w:t xml:space="preserve"> TIEC Comments at 2 (Feb. 11, 2019); Steel Mills Comments at 3 (Feb. 11, 2019).</w:t>
      </w:r>
    </w:p>
  </w:footnote>
  <w:footnote w:id="14">
    <w:p w:rsidR="008D42E3" w:rsidRDefault="008D42E3">
      <w:pPr>
        <w:pStyle w:val="FootnoteText"/>
      </w:pPr>
      <w:r>
        <w:rPr>
          <w:rStyle w:val="FootnoteReference"/>
        </w:rPr>
        <w:footnoteRef/>
      </w:r>
      <w:r>
        <w:t xml:space="preserve"> Potomac Economics, Item 11: Independent Market Monitor (IMM) Report for ERCOT Board of Directors Meeting at Slide 3 (Feb. 12, 2019), </w:t>
      </w:r>
      <w:r>
        <w:rPr>
          <w:i/>
        </w:rPr>
        <w:t>available at</w:t>
      </w:r>
      <w:r>
        <w:t xml:space="preserve">: </w:t>
      </w:r>
      <w:hyperlink r:id="rId2" w:history="1">
        <w:r w:rsidRPr="009C1E60">
          <w:rPr>
            <w:rStyle w:val="Hyperlink"/>
          </w:rPr>
          <w:t>http://www.ercot.com/content/wcm/key_documents_lists/</w:t>
        </w:r>
        <w:r w:rsidRPr="009C1E60">
          <w:rPr>
            <w:rStyle w:val="Hyperlink"/>
          </w:rPr>
          <w:br/>
          <w:t>161457/11_Independent_Market_Monitor__IMM__Report.pdf</w:t>
        </w:r>
      </w:hyperlink>
      <w:r>
        <w:t>.</w:t>
      </w:r>
    </w:p>
  </w:footnote>
  <w:footnote w:id="15">
    <w:p w:rsidR="008D42E3" w:rsidRDefault="008D42E3">
      <w:pPr>
        <w:pStyle w:val="FootnoteText"/>
      </w:pPr>
      <w:r>
        <w:rPr>
          <w:rStyle w:val="FootnoteReference"/>
        </w:rPr>
        <w:footnoteRef/>
      </w:r>
      <w:r>
        <w:t xml:space="preserve"> The </w:t>
      </w:r>
      <w:r w:rsidR="003A23DF">
        <w:t xml:space="preserve">market </w:t>
      </w:r>
      <w:r>
        <w:t>heat rate can be calculated by dividing the ERCOT average real-time price by the price of natural gas. The heat rate for 2018 was 11.07, for 2017 was 9.48, for 2016 was 10.05, for 2015 was 10.42, and for 2014 was 9.41; the average heat rate across those five years is 10.08.</w:t>
      </w:r>
    </w:p>
  </w:footnote>
  <w:footnote w:id="16">
    <w:p w:rsidR="008D42E3" w:rsidRDefault="008D42E3">
      <w:pPr>
        <w:pStyle w:val="FootnoteText"/>
      </w:pPr>
      <w:r>
        <w:rPr>
          <w:rStyle w:val="FootnoteReference"/>
        </w:rPr>
        <w:footnoteRef/>
      </w:r>
      <w:r>
        <w:t xml:space="preserve"> Potomac Economics, Item 11: Independent Market Monitor (IMM) Report for ERCOT Board of Directors Meeting at Slide 12 (Feb. 12, 2019), </w:t>
      </w:r>
      <w:r>
        <w:rPr>
          <w:i/>
        </w:rPr>
        <w:t>available at</w:t>
      </w:r>
      <w:r>
        <w:t xml:space="preserve">: </w:t>
      </w:r>
      <w:hyperlink r:id="rId3" w:history="1">
        <w:r w:rsidRPr="009C1E60">
          <w:rPr>
            <w:rStyle w:val="Hyperlink"/>
          </w:rPr>
          <w:t>http://www.ercot.com/content/wcm/key_documents_lists/161457/11_Independent_Market_Monitor__IMM__Report.pdf</w:t>
        </w:r>
      </w:hyperlink>
      <w:r>
        <w:t>.</w:t>
      </w:r>
    </w:p>
  </w:footnote>
  <w:footnote w:id="17">
    <w:p w:rsidR="008D42E3" w:rsidRPr="00AF24FF" w:rsidRDefault="008D42E3">
      <w:pPr>
        <w:pStyle w:val="FootnoteText"/>
      </w:pPr>
      <w:r>
        <w:rPr>
          <w:rStyle w:val="FootnoteReference"/>
        </w:rPr>
        <w:footnoteRef/>
      </w:r>
      <w:r>
        <w:t xml:space="preserve"> </w:t>
      </w:r>
      <w:r>
        <w:rPr>
          <w:i/>
        </w:rPr>
        <w:t xml:space="preserve">See </w:t>
      </w:r>
      <w:r>
        <w:t>Potomac Economics, 2017 State of the Market Report for the ERCOT Electricity Markets at vii (May 2018) (“In a well-functioning market, participants should eliminate sustained price differences on a risk-adjusted basis by making day-ahead purchases or sales to arbitrage the price differences</w:t>
      </w:r>
      <w:proofErr w:type="gramStart"/>
      <w:r>
        <w:t>. . . .</w:t>
      </w:r>
      <w:proofErr w:type="gramEnd"/>
      <w:r>
        <w:t xml:space="preserve"> Price convergence was very good in 2017; day-ahead and real-time prices both averaged $26 per MWh. The average absolute difference between day-ahead and real-time prices was $8.60 per MWh in 2017 – a slight increase from $7.44 per MWh and $8.08 per MWh in 2016 and 2015, respectively.”).</w:t>
      </w:r>
    </w:p>
  </w:footnote>
  <w:footnote w:id="18">
    <w:p w:rsidR="008D42E3" w:rsidRDefault="008D42E3">
      <w:pPr>
        <w:pStyle w:val="FootnoteText"/>
      </w:pPr>
      <w:r>
        <w:rPr>
          <w:rStyle w:val="FootnoteReference"/>
        </w:rPr>
        <w:footnoteRef/>
      </w:r>
      <w:r>
        <w:t xml:space="preserve"> Initial Comments of Texas Electric Cooperatives, Inc. at 2 (Feb. 11, 2019) (hereafter, TEC Comments); South Texas Electric Cooperative, Inc.’s Initial Comments at 2–3 (Feb. 11, 2019) (hereafter, STEC Comments).</w:t>
      </w:r>
    </w:p>
  </w:footnote>
  <w:footnote w:id="19">
    <w:p w:rsidR="008D42E3" w:rsidRDefault="008D42E3">
      <w:pPr>
        <w:pStyle w:val="FootnoteText"/>
      </w:pPr>
      <w:r>
        <w:rPr>
          <w:rStyle w:val="FootnoteReference"/>
        </w:rPr>
        <w:footnoteRef/>
      </w:r>
      <w:r>
        <w:t xml:space="preserve"> STEC Comments at 3 (Feb. 11, 2019).</w:t>
      </w:r>
    </w:p>
  </w:footnote>
  <w:footnote w:id="20">
    <w:p w:rsidR="008D42E3" w:rsidRDefault="008D42E3">
      <w:pPr>
        <w:pStyle w:val="FootnoteText"/>
      </w:pPr>
      <w:r>
        <w:rPr>
          <w:rStyle w:val="FootnoteReference"/>
        </w:rPr>
        <w:footnoteRef/>
      </w:r>
      <w:r>
        <w:t xml:space="preserve"> Initial Comments of Electric Reliability Council of Texas, Inc. (Feb. 11, 2019).</w:t>
      </w:r>
    </w:p>
  </w:footnote>
  <w:footnote w:id="21">
    <w:p w:rsidR="008D42E3" w:rsidRPr="00C166BE" w:rsidRDefault="008D42E3">
      <w:pPr>
        <w:pStyle w:val="FootnoteText"/>
      </w:pPr>
      <w:r>
        <w:rPr>
          <w:rStyle w:val="FootnoteReference"/>
        </w:rPr>
        <w:footnoteRef/>
      </w:r>
      <w:r>
        <w:t xml:space="preserve"> </w:t>
      </w:r>
      <w:r>
        <w:rPr>
          <w:i/>
        </w:rPr>
        <w:t>Id.</w:t>
      </w:r>
      <w:r>
        <w:t xml:space="preserve"> at 2.</w:t>
      </w:r>
    </w:p>
  </w:footnote>
  <w:footnote w:id="22">
    <w:p w:rsidR="008D42E3" w:rsidRDefault="008D42E3" w:rsidP="00A77379">
      <w:pPr>
        <w:pStyle w:val="FootnoteText"/>
      </w:pPr>
      <w:r>
        <w:rPr>
          <w:rStyle w:val="FootnoteReference"/>
        </w:rPr>
        <w:footnoteRef/>
      </w:r>
      <w:r>
        <w:t xml:space="preserve"> </w:t>
      </w:r>
      <w:r>
        <w:rPr>
          <w:i/>
        </w:rPr>
        <w:t>See, e.g.</w:t>
      </w:r>
      <w:r>
        <w:t xml:space="preserve">, Tr. of Dr. Patton Testimony to ERCOT Board at pp. 73–74 (Jun. 14, 2016) (“What you tend to get is -- shortages will increase exponentially with load -- unusually high load or unusually low generation availability. </w:t>
      </w:r>
      <w:proofErr w:type="gramStart"/>
      <w:r>
        <w:t>So</w:t>
      </w:r>
      <w:proofErr w:type="gramEnd"/>
      <w:r>
        <w:t xml:space="preserve"> what you should expect is whatever the average is over 10 years you’re going to get most of it in about two years and a big chunk of it in one year; you know, the kind of year you had in 2011. </w:t>
      </w:r>
      <w:proofErr w:type="gramStart"/>
      <w:r>
        <w:t>So</w:t>
      </w:r>
      <w:proofErr w:type="gramEnd"/>
      <w:r>
        <w:t xml:space="preserve"> in the other eight years I’m going to stand up here and say ORDC didn’t add a lot of value to the energy price, but that’s what we expect.”).</w:t>
      </w:r>
    </w:p>
  </w:footnote>
  <w:footnote w:id="23">
    <w:p w:rsidR="008D42E3" w:rsidRDefault="008D42E3">
      <w:pPr>
        <w:pStyle w:val="FootnoteText"/>
      </w:pPr>
      <w:r>
        <w:rPr>
          <w:rStyle w:val="FootnoteReference"/>
        </w:rPr>
        <w:footnoteRef/>
      </w:r>
      <w:r>
        <w:t xml:space="preserve"> Initial Comments of the Lower Colorado River Authority at 2–5 (Feb. 11, 2019) (hereafter, LCRA Comments); Steel Mills Comments at 2–3 (Feb. 11, 2019).</w:t>
      </w:r>
    </w:p>
  </w:footnote>
  <w:footnote w:id="24">
    <w:p w:rsidR="008D42E3" w:rsidRDefault="008D42E3">
      <w:pPr>
        <w:pStyle w:val="FootnoteText"/>
      </w:pPr>
      <w:r>
        <w:rPr>
          <w:rStyle w:val="FootnoteReference"/>
        </w:rPr>
        <w:footnoteRef/>
      </w:r>
      <w:r>
        <w:t xml:space="preserve"> LCRA’s suggested revisions would strip out much of the detail in the existing subsection (f). While TCPA agrees with LCRA’s arguments as to why the reporting requirements should be retained, TCPA prefers the redline that it suggested in its initial comments, so that there is no question as to what ERCOT must report.</w:t>
      </w:r>
    </w:p>
  </w:footnote>
  <w:footnote w:id="25">
    <w:p w:rsidR="008D42E3" w:rsidRDefault="008D42E3">
      <w:pPr>
        <w:pStyle w:val="FootnoteText"/>
      </w:pPr>
      <w:r>
        <w:rPr>
          <w:rStyle w:val="FootnoteReference"/>
        </w:rPr>
        <w:footnoteRef/>
      </w:r>
      <w:r>
        <w:t xml:space="preserve"> Steel Mills Comments at 2–3 (Feb. 11, 2019).</w:t>
      </w:r>
    </w:p>
  </w:footnote>
  <w:footnote w:id="26">
    <w:p w:rsidR="008D42E3" w:rsidRDefault="008D42E3">
      <w:pPr>
        <w:pStyle w:val="FootnoteText"/>
      </w:pPr>
      <w:r>
        <w:rPr>
          <w:rStyle w:val="FootnoteReference"/>
        </w:rPr>
        <w:footnoteRef/>
      </w:r>
      <w:r>
        <w:t xml:space="preserve"> REP Group Comments at 3 (Feb. 11,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F41472"/>
    <w:multiLevelType w:val="hybridMultilevel"/>
    <w:tmpl w:val="126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8C8627C"/>
    <w:multiLevelType w:val="hybridMultilevel"/>
    <w:tmpl w:val="D556C2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B76685"/>
    <w:multiLevelType w:val="hybridMultilevel"/>
    <w:tmpl w:val="B5EE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10790"/>
    <w:multiLevelType w:val="hybridMultilevel"/>
    <w:tmpl w:val="E2241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15:restartNumberingAfterBreak="0">
    <w:nsid w:val="73821E9C"/>
    <w:multiLevelType w:val="hybridMultilevel"/>
    <w:tmpl w:val="047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0"/>
  </w:num>
  <w:num w:numId="4">
    <w:abstractNumId w:val="15"/>
  </w:num>
  <w:num w:numId="5">
    <w:abstractNumId w:val="22"/>
  </w:num>
  <w:num w:numId="6">
    <w:abstractNumId w:val="14"/>
  </w:num>
  <w:num w:numId="7">
    <w:abstractNumId w:val="9"/>
  </w:num>
  <w:num w:numId="8">
    <w:abstractNumId w:val="1"/>
  </w:num>
  <w:num w:numId="9">
    <w:abstractNumId w:val="19"/>
  </w:num>
  <w:num w:numId="10">
    <w:abstractNumId w:val="19"/>
    <w:lvlOverride w:ilvl="0">
      <w:startOverride w:val="9"/>
    </w:lvlOverride>
  </w:num>
  <w:num w:numId="11">
    <w:abstractNumId w:val="8"/>
  </w:num>
  <w:num w:numId="12">
    <w:abstractNumId w:val="19"/>
  </w:num>
  <w:num w:numId="13">
    <w:abstractNumId w:val="5"/>
  </w:num>
  <w:num w:numId="14">
    <w:abstractNumId w:val="4"/>
  </w:num>
  <w:num w:numId="15">
    <w:abstractNumId w:val="11"/>
  </w:num>
  <w:num w:numId="16">
    <w:abstractNumId w:val="6"/>
  </w:num>
  <w:num w:numId="17">
    <w:abstractNumId w:val="7"/>
  </w:num>
  <w:num w:numId="18">
    <w:abstractNumId w:val="0"/>
  </w:num>
  <w:num w:numId="19">
    <w:abstractNumId w:val="16"/>
  </w:num>
  <w:num w:numId="20">
    <w:abstractNumId w:val="3"/>
  </w:num>
  <w:num w:numId="21">
    <w:abstractNumId w:val="21"/>
  </w:num>
  <w:num w:numId="22">
    <w:abstractNumId w:val="10"/>
  </w:num>
  <w:num w:numId="23">
    <w:abstractNumId w:val="1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A"/>
    <w:rsid w:val="000050C8"/>
    <w:rsid w:val="00010075"/>
    <w:rsid w:val="000108EB"/>
    <w:rsid w:val="000118D2"/>
    <w:rsid w:val="00014944"/>
    <w:rsid w:val="0002222D"/>
    <w:rsid w:val="0002240E"/>
    <w:rsid w:val="0002294B"/>
    <w:rsid w:val="00023A1F"/>
    <w:rsid w:val="0002732C"/>
    <w:rsid w:val="000307CD"/>
    <w:rsid w:val="00031251"/>
    <w:rsid w:val="0003371E"/>
    <w:rsid w:val="0003477C"/>
    <w:rsid w:val="00034B17"/>
    <w:rsid w:val="00036921"/>
    <w:rsid w:val="00042EF0"/>
    <w:rsid w:val="00044895"/>
    <w:rsid w:val="00045229"/>
    <w:rsid w:val="00046768"/>
    <w:rsid w:val="00046AEB"/>
    <w:rsid w:val="00054347"/>
    <w:rsid w:val="000571E2"/>
    <w:rsid w:val="000607FF"/>
    <w:rsid w:val="00061659"/>
    <w:rsid w:val="0006729F"/>
    <w:rsid w:val="0006748C"/>
    <w:rsid w:val="0006777B"/>
    <w:rsid w:val="00071F62"/>
    <w:rsid w:val="000732E0"/>
    <w:rsid w:val="00075B12"/>
    <w:rsid w:val="00075F59"/>
    <w:rsid w:val="000955AD"/>
    <w:rsid w:val="00096E26"/>
    <w:rsid w:val="00097506"/>
    <w:rsid w:val="00097689"/>
    <w:rsid w:val="000A0F6F"/>
    <w:rsid w:val="000A37D9"/>
    <w:rsid w:val="000A5731"/>
    <w:rsid w:val="000A79B5"/>
    <w:rsid w:val="000B51B5"/>
    <w:rsid w:val="000B5DE9"/>
    <w:rsid w:val="000C0D48"/>
    <w:rsid w:val="000C36D3"/>
    <w:rsid w:val="000C3B7E"/>
    <w:rsid w:val="000C40D6"/>
    <w:rsid w:val="000C4DA0"/>
    <w:rsid w:val="000C5978"/>
    <w:rsid w:val="000D06A7"/>
    <w:rsid w:val="000D21B1"/>
    <w:rsid w:val="000E0524"/>
    <w:rsid w:val="000E0E9F"/>
    <w:rsid w:val="000E2B2D"/>
    <w:rsid w:val="000E7B5F"/>
    <w:rsid w:val="000F0DB3"/>
    <w:rsid w:val="000F2173"/>
    <w:rsid w:val="000F46BC"/>
    <w:rsid w:val="000F74FD"/>
    <w:rsid w:val="00103F50"/>
    <w:rsid w:val="00104910"/>
    <w:rsid w:val="00106A87"/>
    <w:rsid w:val="001105F6"/>
    <w:rsid w:val="0011353B"/>
    <w:rsid w:val="001145CD"/>
    <w:rsid w:val="00121648"/>
    <w:rsid w:val="00123CBB"/>
    <w:rsid w:val="0012447A"/>
    <w:rsid w:val="001260C5"/>
    <w:rsid w:val="0012646D"/>
    <w:rsid w:val="001304BD"/>
    <w:rsid w:val="00137E19"/>
    <w:rsid w:val="0014425D"/>
    <w:rsid w:val="00154015"/>
    <w:rsid w:val="001572FC"/>
    <w:rsid w:val="001578F3"/>
    <w:rsid w:val="001628CB"/>
    <w:rsid w:val="00163B6B"/>
    <w:rsid w:val="001667EA"/>
    <w:rsid w:val="00166969"/>
    <w:rsid w:val="00167A82"/>
    <w:rsid w:val="00170117"/>
    <w:rsid w:val="001702F0"/>
    <w:rsid w:val="00172AC6"/>
    <w:rsid w:val="00184306"/>
    <w:rsid w:val="0018490A"/>
    <w:rsid w:val="00190776"/>
    <w:rsid w:val="00192C6E"/>
    <w:rsid w:val="00192CC8"/>
    <w:rsid w:val="001935D1"/>
    <w:rsid w:val="00193720"/>
    <w:rsid w:val="001938E2"/>
    <w:rsid w:val="00194B40"/>
    <w:rsid w:val="00195B5A"/>
    <w:rsid w:val="001962FF"/>
    <w:rsid w:val="001A76B9"/>
    <w:rsid w:val="001B0241"/>
    <w:rsid w:val="001C13B7"/>
    <w:rsid w:val="001D0396"/>
    <w:rsid w:val="001D07D6"/>
    <w:rsid w:val="001D0FB6"/>
    <w:rsid w:val="001D4FA4"/>
    <w:rsid w:val="001D6158"/>
    <w:rsid w:val="001D6DBB"/>
    <w:rsid w:val="001E0114"/>
    <w:rsid w:val="001E0E5C"/>
    <w:rsid w:val="001E2AAB"/>
    <w:rsid w:val="001F281C"/>
    <w:rsid w:val="001F347E"/>
    <w:rsid w:val="001F40DA"/>
    <w:rsid w:val="001F4BDD"/>
    <w:rsid w:val="001F4EBD"/>
    <w:rsid w:val="001F5AEB"/>
    <w:rsid w:val="00200305"/>
    <w:rsid w:val="0020067B"/>
    <w:rsid w:val="00202C43"/>
    <w:rsid w:val="00204621"/>
    <w:rsid w:val="00205243"/>
    <w:rsid w:val="00205437"/>
    <w:rsid w:val="00205D0C"/>
    <w:rsid w:val="002067AC"/>
    <w:rsid w:val="00207B19"/>
    <w:rsid w:val="00213D64"/>
    <w:rsid w:val="00216C26"/>
    <w:rsid w:val="00220746"/>
    <w:rsid w:val="00227A7D"/>
    <w:rsid w:val="00232B97"/>
    <w:rsid w:val="0023431A"/>
    <w:rsid w:val="00242FD3"/>
    <w:rsid w:val="00246234"/>
    <w:rsid w:val="002512D8"/>
    <w:rsid w:val="00251B7C"/>
    <w:rsid w:val="00252014"/>
    <w:rsid w:val="00253B79"/>
    <w:rsid w:val="00255E09"/>
    <w:rsid w:val="00260301"/>
    <w:rsid w:val="0026067E"/>
    <w:rsid w:val="00261180"/>
    <w:rsid w:val="00261A5B"/>
    <w:rsid w:val="00262B70"/>
    <w:rsid w:val="00266E3F"/>
    <w:rsid w:val="00273648"/>
    <w:rsid w:val="00273E67"/>
    <w:rsid w:val="00274379"/>
    <w:rsid w:val="0027450E"/>
    <w:rsid w:val="002745DE"/>
    <w:rsid w:val="00287E68"/>
    <w:rsid w:val="00291D2C"/>
    <w:rsid w:val="00294D9C"/>
    <w:rsid w:val="00295120"/>
    <w:rsid w:val="002962D2"/>
    <w:rsid w:val="002A0975"/>
    <w:rsid w:val="002A1981"/>
    <w:rsid w:val="002A4D83"/>
    <w:rsid w:val="002A614C"/>
    <w:rsid w:val="002B3775"/>
    <w:rsid w:val="002B5E28"/>
    <w:rsid w:val="002B7F45"/>
    <w:rsid w:val="002C12ED"/>
    <w:rsid w:val="002C1DCB"/>
    <w:rsid w:val="002C3B37"/>
    <w:rsid w:val="002C3FDB"/>
    <w:rsid w:val="002C5749"/>
    <w:rsid w:val="002C73BD"/>
    <w:rsid w:val="002C74F9"/>
    <w:rsid w:val="002D474F"/>
    <w:rsid w:val="002D47C2"/>
    <w:rsid w:val="002D4FED"/>
    <w:rsid w:val="002D5EF1"/>
    <w:rsid w:val="002D7408"/>
    <w:rsid w:val="002D7A15"/>
    <w:rsid w:val="002E06D4"/>
    <w:rsid w:val="002E100C"/>
    <w:rsid w:val="002E3FBA"/>
    <w:rsid w:val="002E6058"/>
    <w:rsid w:val="002F2BB9"/>
    <w:rsid w:val="002F3373"/>
    <w:rsid w:val="002F3473"/>
    <w:rsid w:val="002F5466"/>
    <w:rsid w:val="003000FA"/>
    <w:rsid w:val="0030035A"/>
    <w:rsid w:val="00302EA6"/>
    <w:rsid w:val="0030411D"/>
    <w:rsid w:val="003045BD"/>
    <w:rsid w:val="003074CE"/>
    <w:rsid w:val="00310577"/>
    <w:rsid w:val="0031088C"/>
    <w:rsid w:val="003129AE"/>
    <w:rsid w:val="003168C1"/>
    <w:rsid w:val="003179B7"/>
    <w:rsid w:val="00317BB7"/>
    <w:rsid w:val="0032183E"/>
    <w:rsid w:val="00322636"/>
    <w:rsid w:val="003271A1"/>
    <w:rsid w:val="00331070"/>
    <w:rsid w:val="0033473A"/>
    <w:rsid w:val="00334F49"/>
    <w:rsid w:val="00337FAE"/>
    <w:rsid w:val="00341CCF"/>
    <w:rsid w:val="00342F37"/>
    <w:rsid w:val="003436BD"/>
    <w:rsid w:val="003454B6"/>
    <w:rsid w:val="00346635"/>
    <w:rsid w:val="0034686C"/>
    <w:rsid w:val="00350114"/>
    <w:rsid w:val="003505C9"/>
    <w:rsid w:val="00351721"/>
    <w:rsid w:val="003518D2"/>
    <w:rsid w:val="00351DD7"/>
    <w:rsid w:val="0035291C"/>
    <w:rsid w:val="00353573"/>
    <w:rsid w:val="00356B8F"/>
    <w:rsid w:val="00357097"/>
    <w:rsid w:val="00360BC4"/>
    <w:rsid w:val="00367BF2"/>
    <w:rsid w:val="0037075A"/>
    <w:rsid w:val="0037172E"/>
    <w:rsid w:val="00375AF6"/>
    <w:rsid w:val="00377B68"/>
    <w:rsid w:val="0038518F"/>
    <w:rsid w:val="00386473"/>
    <w:rsid w:val="00386622"/>
    <w:rsid w:val="00393354"/>
    <w:rsid w:val="00393D78"/>
    <w:rsid w:val="003946A4"/>
    <w:rsid w:val="003A23DF"/>
    <w:rsid w:val="003A2492"/>
    <w:rsid w:val="003A2A12"/>
    <w:rsid w:val="003A384B"/>
    <w:rsid w:val="003B73E3"/>
    <w:rsid w:val="003B79DD"/>
    <w:rsid w:val="003C0381"/>
    <w:rsid w:val="003C2E95"/>
    <w:rsid w:val="003C32F3"/>
    <w:rsid w:val="003C37A3"/>
    <w:rsid w:val="003C7AF6"/>
    <w:rsid w:val="003D6349"/>
    <w:rsid w:val="003D7037"/>
    <w:rsid w:val="003D71A1"/>
    <w:rsid w:val="003D72B3"/>
    <w:rsid w:val="003D7DB6"/>
    <w:rsid w:val="003E0E39"/>
    <w:rsid w:val="003E15AD"/>
    <w:rsid w:val="003E24DE"/>
    <w:rsid w:val="003E3484"/>
    <w:rsid w:val="003E62A8"/>
    <w:rsid w:val="003E6C93"/>
    <w:rsid w:val="003E7AC6"/>
    <w:rsid w:val="003E7BF5"/>
    <w:rsid w:val="003F1018"/>
    <w:rsid w:val="003F3017"/>
    <w:rsid w:val="003F4465"/>
    <w:rsid w:val="003F4A9F"/>
    <w:rsid w:val="003F760C"/>
    <w:rsid w:val="003F7944"/>
    <w:rsid w:val="00401872"/>
    <w:rsid w:val="00402512"/>
    <w:rsid w:val="00403061"/>
    <w:rsid w:val="004059E8"/>
    <w:rsid w:val="00405E6B"/>
    <w:rsid w:val="004112F6"/>
    <w:rsid w:val="004141D5"/>
    <w:rsid w:val="00416537"/>
    <w:rsid w:val="004202E4"/>
    <w:rsid w:val="00420657"/>
    <w:rsid w:val="00421971"/>
    <w:rsid w:val="00422B62"/>
    <w:rsid w:val="00422FFD"/>
    <w:rsid w:val="004410EA"/>
    <w:rsid w:val="00441E6D"/>
    <w:rsid w:val="00442514"/>
    <w:rsid w:val="0044279D"/>
    <w:rsid w:val="00442CD2"/>
    <w:rsid w:val="00442F89"/>
    <w:rsid w:val="004453EB"/>
    <w:rsid w:val="00453DFA"/>
    <w:rsid w:val="00454A2A"/>
    <w:rsid w:val="00454FDD"/>
    <w:rsid w:val="00456605"/>
    <w:rsid w:val="00456B28"/>
    <w:rsid w:val="00460964"/>
    <w:rsid w:val="004659AC"/>
    <w:rsid w:val="00473324"/>
    <w:rsid w:val="004736E9"/>
    <w:rsid w:val="00474230"/>
    <w:rsid w:val="004747AD"/>
    <w:rsid w:val="00475896"/>
    <w:rsid w:val="00476493"/>
    <w:rsid w:val="00480DCE"/>
    <w:rsid w:val="00481573"/>
    <w:rsid w:val="0048370E"/>
    <w:rsid w:val="0048570C"/>
    <w:rsid w:val="00486B34"/>
    <w:rsid w:val="00486C04"/>
    <w:rsid w:val="0049028A"/>
    <w:rsid w:val="0049069F"/>
    <w:rsid w:val="004944DB"/>
    <w:rsid w:val="0049726E"/>
    <w:rsid w:val="004A48CE"/>
    <w:rsid w:val="004A6051"/>
    <w:rsid w:val="004A6B7E"/>
    <w:rsid w:val="004B005F"/>
    <w:rsid w:val="004B05C4"/>
    <w:rsid w:val="004B15F8"/>
    <w:rsid w:val="004B3900"/>
    <w:rsid w:val="004B4D3C"/>
    <w:rsid w:val="004B5D47"/>
    <w:rsid w:val="004B63FA"/>
    <w:rsid w:val="004C038E"/>
    <w:rsid w:val="004C28BC"/>
    <w:rsid w:val="004C3D82"/>
    <w:rsid w:val="004C4619"/>
    <w:rsid w:val="004C6F68"/>
    <w:rsid w:val="004D1B6D"/>
    <w:rsid w:val="004D545E"/>
    <w:rsid w:val="004D69B9"/>
    <w:rsid w:val="004D6DDB"/>
    <w:rsid w:val="004E4800"/>
    <w:rsid w:val="004E67C6"/>
    <w:rsid w:val="004E73ED"/>
    <w:rsid w:val="004F06DF"/>
    <w:rsid w:val="004F07B0"/>
    <w:rsid w:val="004F3661"/>
    <w:rsid w:val="004F458F"/>
    <w:rsid w:val="004F7A4B"/>
    <w:rsid w:val="0050125D"/>
    <w:rsid w:val="00501EDE"/>
    <w:rsid w:val="00507614"/>
    <w:rsid w:val="00512CAA"/>
    <w:rsid w:val="00512F74"/>
    <w:rsid w:val="005138FF"/>
    <w:rsid w:val="00516B2C"/>
    <w:rsid w:val="00523240"/>
    <w:rsid w:val="00523645"/>
    <w:rsid w:val="00523920"/>
    <w:rsid w:val="0053147F"/>
    <w:rsid w:val="0053303B"/>
    <w:rsid w:val="00533362"/>
    <w:rsid w:val="0053412A"/>
    <w:rsid w:val="0053445C"/>
    <w:rsid w:val="00534C97"/>
    <w:rsid w:val="005350ED"/>
    <w:rsid w:val="005351A0"/>
    <w:rsid w:val="00535AFB"/>
    <w:rsid w:val="0054069F"/>
    <w:rsid w:val="00543962"/>
    <w:rsid w:val="00543EF0"/>
    <w:rsid w:val="0054482C"/>
    <w:rsid w:val="00545172"/>
    <w:rsid w:val="00550B6E"/>
    <w:rsid w:val="0055292B"/>
    <w:rsid w:val="00554BCF"/>
    <w:rsid w:val="00562A04"/>
    <w:rsid w:val="00563AB2"/>
    <w:rsid w:val="00563D57"/>
    <w:rsid w:val="00566616"/>
    <w:rsid w:val="005726D7"/>
    <w:rsid w:val="0057376B"/>
    <w:rsid w:val="0057664E"/>
    <w:rsid w:val="0057686D"/>
    <w:rsid w:val="00577402"/>
    <w:rsid w:val="00577953"/>
    <w:rsid w:val="00580056"/>
    <w:rsid w:val="00580D73"/>
    <w:rsid w:val="005810FF"/>
    <w:rsid w:val="0058232C"/>
    <w:rsid w:val="005837D7"/>
    <w:rsid w:val="00583852"/>
    <w:rsid w:val="00585B1C"/>
    <w:rsid w:val="005869AF"/>
    <w:rsid w:val="005908BF"/>
    <w:rsid w:val="0059488D"/>
    <w:rsid w:val="00596C8C"/>
    <w:rsid w:val="005A06B8"/>
    <w:rsid w:val="005A0BFF"/>
    <w:rsid w:val="005A3128"/>
    <w:rsid w:val="005A4476"/>
    <w:rsid w:val="005A590A"/>
    <w:rsid w:val="005A5A20"/>
    <w:rsid w:val="005A7447"/>
    <w:rsid w:val="005A7F91"/>
    <w:rsid w:val="005B2901"/>
    <w:rsid w:val="005B4EF8"/>
    <w:rsid w:val="005B7F26"/>
    <w:rsid w:val="005C0660"/>
    <w:rsid w:val="005C5B1D"/>
    <w:rsid w:val="005C6ED9"/>
    <w:rsid w:val="005C7A60"/>
    <w:rsid w:val="005D2045"/>
    <w:rsid w:val="005D5104"/>
    <w:rsid w:val="005D5BF5"/>
    <w:rsid w:val="005D6220"/>
    <w:rsid w:val="005D6D79"/>
    <w:rsid w:val="005E3915"/>
    <w:rsid w:val="005E3DA5"/>
    <w:rsid w:val="005E4ABB"/>
    <w:rsid w:val="005E7C8B"/>
    <w:rsid w:val="005F2475"/>
    <w:rsid w:val="005F3566"/>
    <w:rsid w:val="005F3E8A"/>
    <w:rsid w:val="005F4A22"/>
    <w:rsid w:val="005F4EF4"/>
    <w:rsid w:val="005F7E12"/>
    <w:rsid w:val="00601243"/>
    <w:rsid w:val="00601D3C"/>
    <w:rsid w:val="006023FA"/>
    <w:rsid w:val="006036B6"/>
    <w:rsid w:val="0060436A"/>
    <w:rsid w:val="006051C0"/>
    <w:rsid w:val="00612619"/>
    <w:rsid w:val="00615790"/>
    <w:rsid w:val="00616BA6"/>
    <w:rsid w:val="00617E91"/>
    <w:rsid w:val="00620C1B"/>
    <w:rsid w:val="00621084"/>
    <w:rsid w:val="00625386"/>
    <w:rsid w:val="00630B3E"/>
    <w:rsid w:val="0063287F"/>
    <w:rsid w:val="00634846"/>
    <w:rsid w:val="0063546B"/>
    <w:rsid w:val="00642F78"/>
    <w:rsid w:val="00643A83"/>
    <w:rsid w:val="00644382"/>
    <w:rsid w:val="00647A5D"/>
    <w:rsid w:val="00652641"/>
    <w:rsid w:val="00653171"/>
    <w:rsid w:val="0065582D"/>
    <w:rsid w:val="006631FD"/>
    <w:rsid w:val="00665A5E"/>
    <w:rsid w:val="00673E53"/>
    <w:rsid w:val="006747FB"/>
    <w:rsid w:val="00676E78"/>
    <w:rsid w:val="006806D1"/>
    <w:rsid w:val="0068212D"/>
    <w:rsid w:val="00682353"/>
    <w:rsid w:val="0068364D"/>
    <w:rsid w:val="00684555"/>
    <w:rsid w:val="006865B5"/>
    <w:rsid w:val="00691BC3"/>
    <w:rsid w:val="006938BA"/>
    <w:rsid w:val="0069392E"/>
    <w:rsid w:val="00694950"/>
    <w:rsid w:val="006963EB"/>
    <w:rsid w:val="00696FAA"/>
    <w:rsid w:val="006A116E"/>
    <w:rsid w:val="006A69E1"/>
    <w:rsid w:val="006A79B4"/>
    <w:rsid w:val="006B0E5A"/>
    <w:rsid w:val="006B4FB1"/>
    <w:rsid w:val="006C1654"/>
    <w:rsid w:val="006C550F"/>
    <w:rsid w:val="006C6A40"/>
    <w:rsid w:val="006C7213"/>
    <w:rsid w:val="006C7B8C"/>
    <w:rsid w:val="006D337D"/>
    <w:rsid w:val="006D4C81"/>
    <w:rsid w:val="006D5DC4"/>
    <w:rsid w:val="006D687A"/>
    <w:rsid w:val="006E16AD"/>
    <w:rsid w:val="006E1D14"/>
    <w:rsid w:val="006E346F"/>
    <w:rsid w:val="006E43F5"/>
    <w:rsid w:val="006E55AF"/>
    <w:rsid w:val="006E63DA"/>
    <w:rsid w:val="006F189D"/>
    <w:rsid w:val="006F20D6"/>
    <w:rsid w:val="006F2AE8"/>
    <w:rsid w:val="006F3AB2"/>
    <w:rsid w:val="006F42C9"/>
    <w:rsid w:val="006F4967"/>
    <w:rsid w:val="00700F70"/>
    <w:rsid w:val="007015A7"/>
    <w:rsid w:val="00702CAC"/>
    <w:rsid w:val="00704061"/>
    <w:rsid w:val="00707AF0"/>
    <w:rsid w:val="0071048C"/>
    <w:rsid w:val="00710DB0"/>
    <w:rsid w:val="0071256C"/>
    <w:rsid w:val="00720517"/>
    <w:rsid w:val="00720814"/>
    <w:rsid w:val="00726973"/>
    <w:rsid w:val="007275B4"/>
    <w:rsid w:val="00727686"/>
    <w:rsid w:val="00731027"/>
    <w:rsid w:val="0073526D"/>
    <w:rsid w:val="007372EC"/>
    <w:rsid w:val="00743CA6"/>
    <w:rsid w:val="00745DC3"/>
    <w:rsid w:val="007518FE"/>
    <w:rsid w:val="0076364F"/>
    <w:rsid w:val="00767658"/>
    <w:rsid w:val="007712BC"/>
    <w:rsid w:val="0077413E"/>
    <w:rsid w:val="00776784"/>
    <w:rsid w:val="00783E5C"/>
    <w:rsid w:val="007855A7"/>
    <w:rsid w:val="00793A0E"/>
    <w:rsid w:val="00793FA7"/>
    <w:rsid w:val="00794CDC"/>
    <w:rsid w:val="00797C3B"/>
    <w:rsid w:val="007A05F6"/>
    <w:rsid w:val="007A069A"/>
    <w:rsid w:val="007A3AE4"/>
    <w:rsid w:val="007A51B5"/>
    <w:rsid w:val="007A5D3A"/>
    <w:rsid w:val="007A65EB"/>
    <w:rsid w:val="007A7F89"/>
    <w:rsid w:val="007B09F9"/>
    <w:rsid w:val="007B59D1"/>
    <w:rsid w:val="007B5A31"/>
    <w:rsid w:val="007B5B7E"/>
    <w:rsid w:val="007B74F7"/>
    <w:rsid w:val="007C0C14"/>
    <w:rsid w:val="007C45C7"/>
    <w:rsid w:val="007C66EC"/>
    <w:rsid w:val="007D0A8E"/>
    <w:rsid w:val="007D315C"/>
    <w:rsid w:val="007D68CE"/>
    <w:rsid w:val="007E1926"/>
    <w:rsid w:val="007E475B"/>
    <w:rsid w:val="007E5720"/>
    <w:rsid w:val="007E64D4"/>
    <w:rsid w:val="007F1B6D"/>
    <w:rsid w:val="007F3133"/>
    <w:rsid w:val="007F6352"/>
    <w:rsid w:val="007F68E4"/>
    <w:rsid w:val="007F6FE9"/>
    <w:rsid w:val="00801380"/>
    <w:rsid w:val="00804328"/>
    <w:rsid w:val="0080470A"/>
    <w:rsid w:val="00810997"/>
    <w:rsid w:val="00811303"/>
    <w:rsid w:val="00812A5E"/>
    <w:rsid w:val="008130DD"/>
    <w:rsid w:val="00813C18"/>
    <w:rsid w:val="00814F19"/>
    <w:rsid w:val="008152B7"/>
    <w:rsid w:val="00821BB7"/>
    <w:rsid w:val="008228CD"/>
    <w:rsid w:val="00827DA5"/>
    <w:rsid w:val="00827ED4"/>
    <w:rsid w:val="00831625"/>
    <w:rsid w:val="008317A7"/>
    <w:rsid w:val="00834006"/>
    <w:rsid w:val="008360BE"/>
    <w:rsid w:val="008361EF"/>
    <w:rsid w:val="008406BD"/>
    <w:rsid w:val="008429DC"/>
    <w:rsid w:val="00843778"/>
    <w:rsid w:val="008478E0"/>
    <w:rsid w:val="0084791A"/>
    <w:rsid w:val="00854E6C"/>
    <w:rsid w:val="008567E0"/>
    <w:rsid w:val="00857D57"/>
    <w:rsid w:val="008604CF"/>
    <w:rsid w:val="008614FE"/>
    <w:rsid w:val="00861FC1"/>
    <w:rsid w:val="00864A38"/>
    <w:rsid w:val="00867684"/>
    <w:rsid w:val="00870F2B"/>
    <w:rsid w:val="008715FB"/>
    <w:rsid w:val="0087198F"/>
    <w:rsid w:val="00874B17"/>
    <w:rsid w:val="00874DCA"/>
    <w:rsid w:val="00877424"/>
    <w:rsid w:val="00880FA4"/>
    <w:rsid w:val="00890DEC"/>
    <w:rsid w:val="008916F0"/>
    <w:rsid w:val="00891DFE"/>
    <w:rsid w:val="00892B9E"/>
    <w:rsid w:val="00895D51"/>
    <w:rsid w:val="008A06EE"/>
    <w:rsid w:val="008A10B8"/>
    <w:rsid w:val="008A28EC"/>
    <w:rsid w:val="008B2C47"/>
    <w:rsid w:val="008B7BA2"/>
    <w:rsid w:val="008C278E"/>
    <w:rsid w:val="008C3D7D"/>
    <w:rsid w:val="008C44DA"/>
    <w:rsid w:val="008C47C3"/>
    <w:rsid w:val="008C7220"/>
    <w:rsid w:val="008D079A"/>
    <w:rsid w:val="008D2297"/>
    <w:rsid w:val="008D33B5"/>
    <w:rsid w:val="008D38FE"/>
    <w:rsid w:val="008D3FCD"/>
    <w:rsid w:val="008D42E3"/>
    <w:rsid w:val="008D6CF1"/>
    <w:rsid w:val="008E58EF"/>
    <w:rsid w:val="008E59DA"/>
    <w:rsid w:val="008E5CE5"/>
    <w:rsid w:val="008F05D3"/>
    <w:rsid w:val="008F11D2"/>
    <w:rsid w:val="008F4528"/>
    <w:rsid w:val="008F471B"/>
    <w:rsid w:val="008F5947"/>
    <w:rsid w:val="008F72C1"/>
    <w:rsid w:val="00900FB7"/>
    <w:rsid w:val="009040B4"/>
    <w:rsid w:val="00904140"/>
    <w:rsid w:val="00906213"/>
    <w:rsid w:val="00906CBB"/>
    <w:rsid w:val="0090787E"/>
    <w:rsid w:val="00910C19"/>
    <w:rsid w:val="00911E21"/>
    <w:rsid w:val="00915628"/>
    <w:rsid w:val="009160B1"/>
    <w:rsid w:val="00916206"/>
    <w:rsid w:val="00917328"/>
    <w:rsid w:val="0091767B"/>
    <w:rsid w:val="00920A4E"/>
    <w:rsid w:val="0092368C"/>
    <w:rsid w:val="0092379C"/>
    <w:rsid w:val="0093425C"/>
    <w:rsid w:val="00934977"/>
    <w:rsid w:val="00935DE5"/>
    <w:rsid w:val="00941960"/>
    <w:rsid w:val="0095320D"/>
    <w:rsid w:val="009537D0"/>
    <w:rsid w:val="0095552D"/>
    <w:rsid w:val="0095655C"/>
    <w:rsid w:val="009606AB"/>
    <w:rsid w:val="00961D8F"/>
    <w:rsid w:val="00962E4F"/>
    <w:rsid w:val="0096334C"/>
    <w:rsid w:val="00963B10"/>
    <w:rsid w:val="00965CAF"/>
    <w:rsid w:val="00971A1F"/>
    <w:rsid w:val="00974886"/>
    <w:rsid w:val="00976844"/>
    <w:rsid w:val="00977459"/>
    <w:rsid w:val="00977FE0"/>
    <w:rsid w:val="00983F69"/>
    <w:rsid w:val="00985281"/>
    <w:rsid w:val="00985D40"/>
    <w:rsid w:val="0098614D"/>
    <w:rsid w:val="0099153A"/>
    <w:rsid w:val="00995B4C"/>
    <w:rsid w:val="009979A1"/>
    <w:rsid w:val="009A2315"/>
    <w:rsid w:val="009A27EB"/>
    <w:rsid w:val="009A39DF"/>
    <w:rsid w:val="009A44C3"/>
    <w:rsid w:val="009A50F2"/>
    <w:rsid w:val="009A52F9"/>
    <w:rsid w:val="009A7140"/>
    <w:rsid w:val="009B1C0C"/>
    <w:rsid w:val="009B3B6A"/>
    <w:rsid w:val="009B571F"/>
    <w:rsid w:val="009C18AA"/>
    <w:rsid w:val="009C3F13"/>
    <w:rsid w:val="009C5F54"/>
    <w:rsid w:val="009C7640"/>
    <w:rsid w:val="009C7B1E"/>
    <w:rsid w:val="009D303C"/>
    <w:rsid w:val="009D6C12"/>
    <w:rsid w:val="009E014E"/>
    <w:rsid w:val="009E18D0"/>
    <w:rsid w:val="009E4220"/>
    <w:rsid w:val="009E569C"/>
    <w:rsid w:val="009F1AC8"/>
    <w:rsid w:val="009F63CA"/>
    <w:rsid w:val="009F68AF"/>
    <w:rsid w:val="00A01422"/>
    <w:rsid w:val="00A02864"/>
    <w:rsid w:val="00A04721"/>
    <w:rsid w:val="00A05E85"/>
    <w:rsid w:val="00A0782E"/>
    <w:rsid w:val="00A11D6F"/>
    <w:rsid w:val="00A166A1"/>
    <w:rsid w:val="00A21316"/>
    <w:rsid w:val="00A21A90"/>
    <w:rsid w:val="00A24866"/>
    <w:rsid w:val="00A26DE3"/>
    <w:rsid w:val="00A274ED"/>
    <w:rsid w:val="00A31A3A"/>
    <w:rsid w:val="00A31D2E"/>
    <w:rsid w:val="00A36DF0"/>
    <w:rsid w:val="00A42A08"/>
    <w:rsid w:val="00A46914"/>
    <w:rsid w:val="00A50CD8"/>
    <w:rsid w:val="00A5116B"/>
    <w:rsid w:val="00A52DDC"/>
    <w:rsid w:val="00A5433F"/>
    <w:rsid w:val="00A55A34"/>
    <w:rsid w:val="00A56D0B"/>
    <w:rsid w:val="00A5720F"/>
    <w:rsid w:val="00A5764B"/>
    <w:rsid w:val="00A57F29"/>
    <w:rsid w:val="00A64EFD"/>
    <w:rsid w:val="00A6592C"/>
    <w:rsid w:val="00A66D55"/>
    <w:rsid w:val="00A711BD"/>
    <w:rsid w:val="00A7326E"/>
    <w:rsid w:val="00A7479A"/>
    <w:rsid w:val="00A76AAC"/>
    <w:rsid w:val="00A76F6C"/>
    <w:rsid w:val="00A77379"/>
    <w:rsid w:val="00A82564"/>
    <w:rsid w:val="00A867B1"/>
    <w:rsid w:val="00A86EBB"/>
    <w:rsid w:val="00A8730B"/>
    <w:rsid w:val="00A87B1A"/>
    <w:rsid w:val="00A910DC"/>
    <w:rsid w:val="00A91A13"/>
    <w:rsid w:val="00A91B01"/>
    <w:rsid w:val="00A92066"/>
    <w:rsid w:val="00A923EF"/>
    <w:rsid w:val="00A92658"/>
    <w:rsid w:val="00A92660"/>
    <w:rsid w:val="00A92F33"/>
    <w:rsid w:val="00A934BB"/>
    <w:rsid w:val="00A9395F"/>
    <w:rsid w:val="00A96898"/>
    <w:rsid w:val="00A96E53"/>
    <w:rsid w:val="00A9792A"/>
    <w:rsid w:val="00AA06B7"/>
    <w:rsid w:val="00AA1201"/>
    <w:rsid w:val="00AA21DA"/>
    <w:rsid w:val="00AA4757"/>
    <w:rsid w:val="00AA61DE"/>
    <w:rsid w:val="00AA719C"/>
    <w:rsid w:val="00AB14A5"/>
    <w:rsid w:val="00AB3BCB"/>
    <w:rsid w:val="00AB40AF"/>
    <w:rsid w:val="00AB549D"/>
    <w:rsid w:val="00AC27BE"/>
    <w:rsid w:val="00AC49A9"/>
    <w:rsid w:val="00AC5141"/>
    <w:rsid w:val="00AD1628"/>
    <w:rsid w:val="00AD33B9"/>
    <w:rsid w:val="00AD3527"/>
    <w:rsid w:val="00AD43D1"/>
    <w:rsid w:val="00AD780B"/>
    <w:rsid w:val="00AD7AD3"/>
    <w:rsid w:val="00AD7E75"/>
    <w:rsid w:val="00AE0022"/>
    <w:rsid w:val="00AE3021"/>
    <w:rsid w:val="00AE4425"/>
    <w:rsid w:val="00AE4AE7"/>
    <w:rsid w:val="00AF0DBB"/>
    <w:rsid w:val="00AF24FF"/>
    <w:rsid w:val="00AF2D10"/>
    <w:rsid w:val="00AF7F6F"/>
    <w:rsid w:val="00B02594"/>
    <w:rsid w:val="00B038D0"/>
    <w:rsid w:val="00B04561"/>
    <w:rsid w:val="00B05E4B"/>
    <w:rsid w:val="00B076CF"/>
    <w:rsid w:val="00B12DCF"/>
    <w:rsid w:val="00B16421"/>
    <w:rsid w:val="00B21A2A"/>
    <w:rsid w:val="00B2318C"/>
    <w:rsid w:val="00B26586"/>
    <w:rsid w:val="00B31EF6"/>
    <w:rsid w:val="00B34687"/>
    <w:rsid w:val="00B34F7E"/>
    <w:rsid w:val="00B40FE0"/>
    <w:rsid w:val="00B47E43"/>
    <w:rsid w:val="00B47F29"/>
    <w:rsid w:val="00B50566"/>
    <w:rsid w:val="00B514D3"/>
    <w:rsid w:val="00B51867"/>
    <w:rsid w:val="00B526DE"/>
    <w:rsid w:val="00B552A5"/>
    <w:rsid w:val="00B62AC8"/>
    <w:rsid w:val="00B6309A"/>
    <w:rsid w:val="00B71B3C"/>
    <w:rsid w:val="00B72B5D"/>
    <w:rsid w:val="00B75B5C"/>
    <w:rsid w:val="00B86DAB"/>
    <w:rsid w:val="00B87F52"/>
    <w:rsid w:val="00B91293"/>
    <w:rsid w:val="00B9225D"/>
    <w:rsid w:val="00B93D6D"/>
    <w:rsid w:val="00B958AF"/>
    <w:rsid w:val="00BA2304"/>
    <w:rsid w:val="00BA7433"/>
    <w:rsid w:val="00BA75AB"/>
    <w:rsid w:val="00BB0C18"/>
    <w:rsid w:val="00BB190D"/>
    <w:rsid w:val="00BB3797"/>
    <w:rsid w:val="00BB6335"/>
    <w:rsid w:val="00BC0C68"/>
    <w:rsid w:val="00BC51FC"/>
    <w:rsid w:val="00BD1A9E"/>
    <w:rsid w:val="00BD5BA3"/>
    <w:rsid w:val="00BD5DD2"/>
    <w:rsid w:val="00BE3A7C"/>
    <w:rsid w:val="00BE4090"/>
    <w:rsid w:val="00BE70E0"/>
    <w:rsid w:val="00BF7557"/>
    <w:rsid w:val="00BF7E67"/>
    <w:rsid w:val="00C0255A"/>
    <w:rsid w:val="00C03ED5"/>
    <w:rsid w:val="00C0423A"/>
    <w:rsid w:val="00C04743"/>
    <w:rsid w:val="00C117AB"/>
    <w:rsid w:val="00C12459"/>
    <w:rsid w:val="00C1362F"/>
    <w:rsid w:val="00C14C6B"/>
    <w:rsid w:val="00C166BE"/>
    <w:rsid w:val="00C16EC2"/>
    <w:rsid w:val="00C214B9"/>
    <w:rsid w:val="00C217B2"/>
    <w:rsid w:val="00C226D5"/>
    <w:rsid w:val="00C3179F"/>
    <w:rsid w:val="00C32FD5"/>
    <w:rsid w:val="00C34C4B"/>
    <w:rsid w:val="00C44A2D"/>
    <w:rsid w:val="00C44A6F"/>
    <w:rsid w:val="00C46392"/>
    <w:rsid w:val="00C46A33"/>
    <w:rsid w:val="00C5129B"/>
    <w:rsid w:val="00C53E29"/>
    <w:rsid w:val="00C63075"/>
    <w:rsid w:val="00C63668"/>
    <w:rsid w:val="00C63965"/>
    <w:rsid w:val="00C657D5"/>
    <w:rsid w:val="00C67E19"/>
    <w:rsid w:val="00C7246E"/>
    <w:rsid w:val="00C768DF"/>
    <w:rsid w:val="00C83641"/>
    <w:rsid w:val="00C83B4F"/>
    <w:rsid w:val="00C83FF3"/>
    <w:rsid w:val="00C87E04"/>
    <w:rsid w:val="00C87E4D"/>
    <w:rsid w:val="00C90CEF"/>
    <w:rsid w:val="00C9107F"/>
    <w:rsid w:val="00C92B10"/>
    <w:rsid w:val="00C94D91"/>
    <w:rsid w:val="00C96A7B"/>
    <w:rsid w:val="00CA15E4"/>
    <w:rsid w:val="00CA1AB6"/>
    <w:rsid w:val="00CA206B"/>
    <w:rsid w:val="00CA4762"/>
    <w:rsid w:val="00CA739D"/>
    <w:rsid w:val="00CA7A66"/>
    <w:rsid w:val="00CB16B5"/>
    <w:rsid w:val="00CB370B"/>
    <w:rsid w:val="00CB5475"/>
    <w:rsid w:val="00CB58CE"/>
    <w:rsid w:val="00CC160D"/>
    <w:rsid w:val="00CC4016"/>
    <w:rsid w:val="00CC4081"/>
    <w:rsid w:val="00CC525B"/>
    <w:rsid w:val="00CC7C6E"/>
    <w:rsid w:val="00CD0118"/>
    <w:rsid w:val="00CD2228"/>
    <w:rsid w:val="00CD408B"/>
    <w:rsid w:val="00CD5002"/>
    <w:rsid w:val="00CD62CC"/>
    <w:rsid w:val="00CE359C"/>
    <w:rsid w:val="00CE4896"/>
    <w:rsid w:val="00CE4F4C"/>
    <w:rsid w:val="00CE4FE6"/>
    <w:rsid w:val="00CE5233"/>
    <w:rsid w:val="00CE5D61"/>
    <w:rsid w:val="00CE7736"/>
    <w:rsid w:val="00CE7FB7"/>
    <w:rsid w:val="00CF0752"/>
    <w:rsid w:val="00CF29B5"/>
    <w:rsid w:val="00CF3239"/>
    <w:rsid w:val="00CF4743"/>
    <w:rsid w:val="00CF55FF"/>
    <w:rsid w:val="00CF5AA1"/>
    <w:rsid w:val="00D01054"/>
    <w:rsid w:val="00D01067"/>
    <w:rsid w:val="00D016A0"/>
    <w:rsid w:val="00D04111"/>
    <w:rsid w:val="00D050D1"/>
    <w:rsid w:val="00D06B51"/>
    <w:rsid w:val="00D07317"/>
    <w:rsid w:val="00D1211C"/>
    <w:rsid w:val="00D12AB9"/>
    <w:rsid w:val="00D15E3F"/>
    <w:rsid w:val="00D16364"/>
    <w:rsid w:val="00D2140B"/>
    <w:rsid w:val="00D2261F"/>
    <w:rsid w:val="00D22634"/>
    <w:rsid w:val="00D23516"/>
    <w:rsid w:val="00D246CD"/>
    <w:rsid w:val="00D27F52"/>
    <w:rsid w:val="00D3197F"/>
    <w:rsid w:val="00D32ED6"/>
    <w:rsid w:val="00D34D27"/>
    <w:rsid w:val="00D419D8"/>
    <w:rsid w:val="00D426E6"/>
    <w:rsid w:val="00D43326"/>
    <w:rsid w:val="00D43756"/>
    <w:rsid w:val="00D444EE"/>
    <w:rsid w:val="00D44601"/>
    <w:rsid w:val="00D45AED"/>
    <w:rsid w:val="00D47A7D"/>
    <w:rsid w:val="00D517AE"/>
    <w:rsid w:val="00D53B62"/>
    <w:rsid w:val="00D55B68"/>
    <w:rsid w:val="00D62913"/>
    <w:rsid w:val="00D642BB"/>
    <w:rsid w:val="00D648CA"/>
    <w:rsid w:val="00D65371"/>
    <w:rsid w:val="00D6576E"/>
    <w:rsid w:val="00D66400"/>
    <w:rsid w:val="00D6719A"/>
    <w:rsid w:val="00D72990"/>
    <w:rsid w:val="00D730A6"/>
    <w:rsid w:val="00D75D66"/>
    <w:rsid w:val="00D76C64"/>
    <w:rsid w:val="00D772B0"/>
    <w:rsid w:val="00D82789"/>
    <w:rsid w:val="00D850DA"/>
    <w:rsid w:val="00D87348"/>
    <w:rsid w:val="00D8782E"/>
    <w:rsid w:val="00D90BC0"/>
    <w:rsid w:val="00D90F66"/>
    <w:rsid w:val="00D926AA"/>
    <w:rsid w:val="00D952B5"/>
    <w:rsid w:val="00D977E6"/>
    <w:rsid w:val="00DA0B5E"/>
    <w:rsid w:val="00DA407F"/>
    <w:rsid w:val="00DA49BD"/>
    <w:rsid w:val="00DB26C5"/>
    <w:rsid w:val="00DB3ED7"/>
    <w:rsid w:val="00DB4446"/>
    <w:rsid w:val="00DB646F"/>
    <w:rsid w:val="00DC1770"/>
    <w:rsid w:val="00DC2AF1"/>
    <w:rsid w:val="00DC320E"/>
    <w:rsid w:val="00DC6069"/>
    <w:rsid w:val="00DC6A09"/>
    <w:rsid w:val="00DC6AF3"/>
    <w:rsid w:val="00DD1D1F"/>
    <w:rsid w:val="00DD3CB5"/>
    <w:rsid w:val="00DD6D86"/>
    <w:rsid w:val="00DD76AD"/>
    <w:rsid w:val="00DE024B"/>
    <w:rsid w:val="00DE1BA1"/>
    <w:rsid w:val="00DE2AE9"/>
    <w:rsid w:val="00DE4A1C"/>
    <w:rsid w:val="00DE6557"/>
    <w:rsid w:val="00DE693D"/>
    <w:rsid w:val="00DE7BF2"/>
    <w:rsid w:val="00DF0C8A"/>
    <w:rsid w:val="00DF4F4F"/>
    <w:rsid w:val="00DF5FEB"/>
    <w:rsid w:val="00DF70F0"/>
    <w:rsid w:val="00E02E67"/>
    <w:rsid w:val="00E03753"/>
    <w:rsid w:val="00E0417F"/>
    <w:rsid w:val="00E10373"/>
    <w:rsid w:val="00E1269C"/>
    <w:rsid w:val="00E134F9"/>
    <w:rsid w:val="00E13872"/>
    <w:rsid w:val="00E13A27"/>
    <w:rsid w:val="00E141A3"/>
    <w:rsid w:val="00E15263"/>
    <w:rsid w:val="00E15AE7"/>
    <w:rsid w:val="00E20D63"/>
    <w:rsid w:val="00E210A1"/>
    <w:rsid w:val="00E211B7"/>
    <w:rsid w:val="00E226F9"/>
    <w:rsid w:val="00E231E5"/>
    <w:rsid w:val="00E30238"/>
    <w:rsid w:val="00E3512B"/>
    <w:rsid w:val="00E4329C"/>
    <w:rsid w:val="00E444D5"/>
    <w:rsid w:val="00E455E7"/>
    <w:rsid w:val="00E47C8D"/>
    <w:rsid w:val="00E50117"/>
    <w:rsid w:val="00E50D0A"/>
    <w:rsid w:val="00E50E7E"/>
    <w:rsid w:val="00E56096"/>
    <w:rsid w:val="00E57DF1"/>
    <w:rsid w:val="00E60C0F"/>
    <w:rsid w:val="00E60F84"/>
    <w:rsid w:val="00E612B8"/>
    <w:rsid w:val="00E626DE"/>
    <w:rsid w:val="00E64DF8"/>
    <w:rsid w:val="00E6664D"/>
    <w:rsid w:val="00E72046"/>
    <w:rsid w:val="00E7322D"/>
    <w:rsid w:val="00E801FF"/>
    <w:rsid w:val="00E830C1"/>
    <w:rsid w:val="00E842E7"/>
    <w:rsid w:val="00E873F4"/>
    <w:rsid w:val="00E90EC7"/>
    <w:rsid w:val="00E90FA6"/>
    <w:rsid w:val="00E92A4C"/>
    <w:rsid w:val="00E95FD3"/>
    <w:rsid w:val="00EB3CD8"/>
    <w:rsid w:val="00EB480C"/>
    <w:rsid w:val="00EB63C1"/>
    <w:rsid w:val="00EB7F72"/>
    <w:rsid w:val="00EC1557"/>
    <w:rsid w:val="00EC1A00"/>
    <w:rsid w:val="00EC2147"/>
    <w:rsid w:val="00EC2785"/>
    <w:rsid w:val="00EC3B68"/>
    <w:rsid w:val="00EC5AEF"/>
    <w:rsid w:val="00EC659B"/>
    <w:rsid w:val="00ED0C77"/>
    <w:rsid w:val="00ED1662"/>
    <w:rsid w:val="00ED3241"/>
    <w:rsid w:val="00ED5769"/>
    <w:rsid w:val="00ED7C84"/>
    <w:rsid w:val="00EE4124"/>
    <w:rsid w:val="00EF1DAF"/>
    <w:rsid w:val="00EF496A"/>
    <w:rsid w:val="00EF4A4F"/>
    <w:rsid w:val="00EF4CA6"/>
    <w:rsid w:val="00EF56FE"/>
    <w:rsid w:val="00F01803"/>
    <w:rsid w:val="00F04454"/>
    <w:rsid w:val="00F07BEC"/>
    <w:rsid w:val="00F07C65"/>
    <w:rsid w:val="00F12100"/>
    <w:rsid w:val="00F14E9B"/>
    <w:rsid w:val="00F169EC"/>
    <w:rsid w:val="00F22D3A"/>
    <w:rsid w:val="00F23881"/>
    <w:rsid w:val="00F23D52"/>
    <w:rsid w:val="00F312C6"/>
    <w:rsid w:val="00F31376"/>
    <w:rsid w:val="00F31F87"/>
    <w:rsid w:val="00F32A01"/>
    <w:rsid w:val="00F34A7E"/>
    <w:rsid w:val="00F34BA6"/>
    <w:rsid w:val="00F42998"/>
    <w:rsid w:val="00F457E0"/>
    <w:rsid w:val="00F4663B"/>
    <w:rsid w:val="00F46941"/>
    <w:rsid w:val="00F50D4C"/>
    <w:rsid w:val="00F512B9"/>
    <w:rsid w:val="00F53F84"/>
    <w:rsid w:val="00F54BDD"/>
    <w:rsid w:val="00F56215"/>
    <w:rsid w:val="00F604E6"/>
    <w:rsid w:val="00F62CF8"/>
    <w:rsid w:val="00F63A09"/>
    <w:rsid w:val="00F666F7"/>
    <w:rsid w:val="00F678CB"/>
    <w:rsid w:val="00F72635"/>
    <w:rsid w:val="00F731E8"/>
    <w:rsid w:val="00F75562"/>
    <w:rsid w:val="00F779C8"/>
    <w:rsid w:val="00F80475"/>
    <w:rsid w:val="00F80C85"/>
    <w:rsid w:val="00F8155D"/>
    <w:rsid w:val="00F840FE"/>
    <w:rsid w:val="00F857EA"/>
    <w:rsid w:val="00F90019"/>
    <w:rsid w:val="00F900BD"/>
    <w:rsid w:val="00F91575"/>
    <w:rsid w:val="00F92155"/>
    <w:rsid w:val="00F9273F"/>
    <w:rsid w:val="00F9614F"/>
    <w:rsid w:val="00FA02F3"/>
    <w:rsid w:val="00FA1FB8"/>
    <w:rsid w:val="00FA567E"/>
    <w:rsid w:val="00FA6A94"/>
    <w:rsid w:val="00FA6FD7"/>
    <w:rsid w:val="00FA7269"/>
    <w:rsid w:val="00FB3873"/>
    <w:rsid w:val="00FB55EB"/>
    <w:rsid w:val="00FB59DA"/>
    <w:rsid w:val="00FB5F4E"/>
    <w:rsid w:val="00FB6333"/>
    <w:rsid w:val="00FC013D"/>
    <w:rsid w:val="00FC0A57"/>
    <w:rsid w:val="00FC0CE9"/>
    <w:rsid w:val="00FC14F2"/>
    <w:rsid w:val="00FC4E5A"/>
    <w:rsid w:val="00FC6BEB"/>
    <w:rsid w:val="00FD0D6A"/>
    <w:rsid w:val="00FD11B5"/>
    <w:rsid w:val="00FD1C6E"/>
    <w:rsid w:val="00FD506B"/>
    <w:rsid w:val="00FD762D"/>
    <w:rsid w:val="00FE0E24"/>
    <w:rsid w:val="00FE15D9"/>
    <w:rsid w:val="00FE2D29"/>
    <w:rsid w:val="00FE2DFF"/>
    <w:rsid w:val="00FE5713"/>
    <w:rsid w:val="00FE7A6A"/>
    <w:rsid w:val="00FE7BD0"/>
    <w:rsid w:val="00FF29FB"/>
    <w:rsid w:val="00FF4908"/>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9C18AA"/>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9C18AA"/>
    <w:rPr>
      <w:rFonts w:ascii="Times New Roman" w:hAnsi="Times New Roman"/>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580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 w:id="20431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competitivepower.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content/wcm/key_documents_lists/161457/11_Independent_Market_Monitor__IMM__Report.pdf" TargetMode="External"/><Relationship Id="rId2" Type="http://schemas.openxmlformats.org/officeDocument/2006/relationships/hyperlink" Target="http://www.ercot.com/content/wcm/key_documents_lists/161457/11_Independent_Market_Monitor__IMM__Report.pdf" TargetMode="External"/><Relationship Id="rId1" Type="http://schemas.openxmlformats.org/officeDocument/2006/relationships/hyperlink" Target="http://www.ercot.com/content/wcm/key_documents_lists/161457/11_Independent_Market_Monitor__IMM_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3958-75FC-4DBD-9C74-842011A4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2019-02-21T19:55:00Z</dcterms:created>
  <dcterms:modified xsi:type="dcterms:W3CDTF">2019-02-21T20:19:00Z</dcterms:modified>
</cp:coreProperties>
</file>