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0618" w14:textId="77777777"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48</w:t>
      </w:r>
      <w:r w:rsidR="004E4800">
        <w:rPr>
          <w:rFonts w:ascii="Times New Roman" w:hAnsi="Times New Roman" w:cs="Times New Roman"/>
          <w:b/>
          <w:caps/>
          <w:sz w:val="24"/>
          <w:szCs w:val="24"/>
        </w:rPr>
        <w:t>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359"/>
        <w:gridCol w:w="4407"/>
      </w:tblGrid>
      <w:tr w:rsidR="00FA7269" w:rsidRPr="009537D0" w14:paraId="3CC14986" w14:textId="77777777" w:rsidTr="008B2C47">
        <w:tc>
          <w:tcPr>
            <w:tcW w:w="4698" w:type="dxa"/>
          </w:tcPr>
          <w:p w14:paraId="1DB09B04" w14:textId="77777777" w:rsidR="00FA7269" w:rsidRPr="00192C6E" w:rsidRDefault="004E4800" w:rsidP="00DE1BA1">
            <w:pPr>
              <w:rPr>
                <w:rFonts w:ascii="Times New Roman" w:hAnsi="Times New Roman" w:cs="Times New Roman"/>
                <w:b/>
                <w:caps/>
                <w:sz w:val="24"/>
                <w:szCs w:val="24"/>
              </w:rPr>
            </w:pPr>
            <w:r>
              <w:rPr>
                <w:rFonts w:ascii="Times New Roman" w:hAnsi="Times New Roman" w:cs="Times New Roman"/>
                <w:b/>
                <w:color w:val="333333"/>
                <w:sz w:val="24"/>
                <w:szCs w:val="24"/>
                <w:lang w:val="en"/>
              </w:rPr>
              <w:t>RULEMAKING TO ADDRESS THE USE OF NON-TRADITIONAL TECHNOLOGIES IN ELECTRIC DELIVERY SERVICE</w:t>
            </w:r>
          </w:p>
        </w:tc>
        <w:tc>
          <w:tcPr>
            <w:tcW w:w="360" w:type="dxa"/>
          </w:tcPr>
          <w:p w14:paraId="1B37A932"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162943E"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7DDDE763" w14:textId="77777777"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502AB23" w14:textId="77777777"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126C4665" w14:textId="77777777" w:rsidR="00B552A5" w:rsidRPr="005350ED" w:rsidRDefault="00B552A5" w:rsidP="007F68E4">
            <w:pPr>
              <w:rPr>
                <w:rFonts w:ascii="Times New Roman" w:hAnsi="Times New Roman" w:cs="Times New Roman"/>
                <w:b/>
                <w:caps/>
                <w:sz w:val="24"/>
                <w:szCs w:val="24"/>
              </w:rPr>
            </w:pPr>
          </w:p>
        </w:tc>
        <w:tc>
          <w:tcPr>
            <w:tcW w:w="4518" w:type="dxa"/>
          </w:tcPr>
          <w:p w14:paraId="5ED53AA6" w14:textId="77777777"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14:paraId="3537E7B8" w14:textId="77777777"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14:paraId="5E2E5EB0" w14:textId="77777777" w:rsidR="006E55AF" w:rsidRPr="00D6576E" w:rsidRDefault="006E55AF" w:rsidP="00FA7269">
      <w:pPr>
        <w:spacing w:after="0" w:line="240" w:lineRule="auto"/>
        <w:jc w:val="center"/>
        <w:rPr>
          <w:rFonts w:ascii="Times New Roman" w:hAnsi="Times New Roman" w:cs="Times New Roman"/>
          <w:b/>
          <w:sz w:val="24"/>
          <w:szCs w:val="24"/>
        </w:rPr>
      </w:pPr>
    </w:p>
    <w:p w14:paraId="33F36AF1" w14:textId="77777777" w:rsidR="00BA2304" w:rsidRPr="00D6576E" w:rsidRDefault="00BA2304" w:rsidP="00FA7269">
      <w:pPr>
        <w:spacing w:after="0" w:line="240" w:lineRule="auto"/>
        <w:jc w:val="center"/>
        <w:rPr>
          <w:rFonts w:ascii="Times New Roman" w:hAnsi="Times New Roman" w:cs="Times New Roman"/>
          <w:b/>
          <w:sz w:val="24"/>
          <w:szCs w:val="24"/>
        </w:rPr>
      </w:pPr>
    </w:p>
    <w:p w14:paraId="1C5A73B3" w14:textId="77777777"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TEXAS COMPETITIVE POWER ADVOCATES (TCPA) </w:t>
      </w:r>
      <w:r w:rsidR="004E4800">
        <w:rPr>
          <w:rFonts w:ascii="Times New Roman" w:hAnsi="Times New Roman" w:cs="Times New Roman"/>
          <w:b/>
          <w:sz w:val="24"/>
          <w:szCs w:val="24"/>
        </w:rPr>
        <w:t>REPLY TO THE STAFF REQUEST FOR COMMENTS</w:t>
      </w:r>
    </w:p>
    <w:p w14:paraId="55154CD4" w14:textId="77777777" w:rsidR="005D6220" w:rsidRPr="0048370E" w:rsidRDefault="005D6220" w:rsidP="00FA7269">
      <w:pPr>
        <w:spacing w:after="0" w:line="240" w:lineRule="auto"/>
        <w:jc w:val="center"/>
        <w:rPr>
          <w:rFonts w:ascii="Times New Roman" w:hAnsi="Times New Roman" w:cs="Times New Roman"/>
          <w:b/>
          <w:sz w:val="24"/>
          <w:szCs w:val="24"/>
        </w:rPr>
      </w:pPr>
    </w:p>
    <w:p w14:paraId="2D3140B3" w14:textId="77777777" w:rsidR="009537D0" w:rsidRPr="0048370E" w:rsidRDefault="009537D0" w:rsidP="00FA7269">
      <w:pPr>
        <w:spacing w:after="0" w:line="240" w:lineRule="auto"/>
        <w:jc w:val="center"/>
        <w:rPr>
          <w:rFonts w:ascii="Times New Roman" w:hAnsi="Times New Roman" w:cs="Times New Roman"/>
          <w:b/>
          <w:sz w:val="24"/>
          <w:szCs w:val="24"/>
        </w:rPr>
      </w:pPr>
    </w:p>
    <w:p w14:paraId="558BEB24" w14:textId="0283D199" w:rsidR="00A923EF" w:rsidRPr="00042EF0" w:rsidRDefault="00042EF0" w:rsidP="00042EF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42EF0">
        <w:rPr>
          <w:rFonts w:ascii="Times New Roman" w:hAnsi="Times New Roman" w:cs="Times New Roman"/>
          <w:sz w:val="24"/>
          <w:szCs w:val="24"/>
        </w:rPr>
        <w:t xml:space="preserve">Texas Competitive Power Advocates (TCPA) is a trade association representing power generation companies, wholesale power marketers, and retail electric providers with investments in Texas and the Electric Reliability Council of Texas (ERCOT) wholesale electric market. </w:t>
      </w:r>
      <w:r>
        <w:rPr>
          <w:rFonts w:ascii="Times New Roman" w:hAnsi="Times New Roman" w:cs="Times New Roman"/>
          <w:sz w:val="24"/>
          <w:szCs w:val="24"/>
        </w:rPr>
        <w:t xml:space="preserve">TCPA members and their affiliates provide a wide range of important market functions and services in ERCOT, including the development, operation, and management of power generation assets, the scheduling and marketing of power, the provision of energy management services and the sales of competitive electric service to consumers. TCPA members provide more than </w:t>
      </w:r>
      <w:r w:rsidR="005A7447">
        <w:rPr>
          <w:rFonts w:ascii="Times New Roman" w:hAnsi="Times New Roman" w:cs="Times New Roman"/>
          <w:sz w:val="24"/>
          <w:szCs w:val="24"/>
        </w:rPr>
        <w:t>fifty</w:t>
      </w:r>
      <w:r>
        <w:rPr>
          <w:rFonts w:ascii="Times New Roman" w:hAnsi="Times New Roman" w:cs="Times New Roman"/>
          <w:sz w:val="24"/>
          <w:szCs w:val="24"/>
        </w:rPr>
        <w:t xml:space="preserve"> percent (</w:t>
      </w:r>
      <w:r w:rsidR="005A7447">
        <w:rPr>
          <w:rFonts w:ascii="Times New Roman" w:hAnsi="Times New Roman" w:cs="Times New Roman"/>
          <w:sz w:val="24"/>
          <w:szCs w:val="24"/>
        </w:rPr>
        <w:t>5</w:t>
      </w:r>
      <w:r>
        <w:rPr>
          <w:rFonts w:ascii="Times New Roman" w:hAnsi="Times New Roman" w:cs="Times New Roman"/>
          <w:sz w:val="24"/>
          <w:szCs w:val="24"/>
        </w:rPr>
        <w:t xml:space="preserve">0%) of the total net operable electric generating capacity in ERCOT, representing billions of dollars of investment in the state, and employing thousands of Texans. TCPA </w:t>
      </w:r>
      <w:r w:rsidR="00643A83">
        <w:rPr>
          <w:rFonts w:ascii="Times New Roman" w:hAnsi="Times New Roman" w:cs="Times New Roman"/>
          <w:sz w:val="24"/>
          <w:szCs w:val="24"/>
        </w:rPr>
        <w:t xml:space="preserve">appreciates the opportunity to provide comments and will address staff questions 2 and 7 below and reserves the right to provide additional </w:t>
      </w:r>
      <w:r w:rsidR="00274379">
        <w:rPr>
          <w:rFonts w:ascii="Times New Roman" w:hAnsi="Times New Roman" w:cs="Times New Roman"/>
          <w:sz w:val="24"/>
          <w:szCs w:val="24"/>
        </w:rPr>
        <w:t>information</w:t>
      </w:r>
      <w:r w:rsidR="00643A83">
        <w:rPr>
          <w:rFonts w:ascii="Times New Roman" w:hAnsi="Times New Roman" w:cs="Times New Roman"/>
          <w:sz w:val="24"/>
          <w:szCs w:val="24"/>
        </w:rPr>
        <w:t xml:space="preserve"> in future comments or workshops in the project. </w:t>
      </w:r>
    </w:p>
    <w:p w14:paraId="73C8B54B" w14:textId="69258FB6" w:rsidR="00FA6A94" w:rsidRPr="0048370E" w:rsidRDefault="00FA6A94" w:rsidP="00FA6A94">
      <w:pPr>
        <w:spacing w:line="360" w:lineRule="auto"/>
        <w:jc w:val="center"/>
        <w:rPr>
          <w:rFonts w:ascii="Times New Roman" w:hAnsi="Times New Roman" w:cs="Times New Roman"/>
          <w:b/>
          <w:sz w:val="24"/>
          <w:szCs w:val="24"/>
        </w:rPr>
      </w:pPr>
      <w:r w:rsidRPr="0048370E">
        <w:rPr>
          <w:rFonts w:ascii="Times New Roman" w:hAnsi="Times New Roman" w:cs="Times New Roman"/>
          <w:b/>
          <w:sz w:val="24"/>
          <w:szCs w:val="24"/>
        </w:rPr>
        <w:t xml:space="preserve">I. </w:t>
      </w:r>
      <w:r w:rsidR="005350ED">
        <w:rPr>
          <w:rFonts w:ascii="Times New Roman" w:hAnsi="Times New Roman" w:cs="Times New Roman"/>
          <w:b/>
          <w:sz w:val="24"/>
          <w:szCs w:val="24"/>
        </w:rPr>
        <w:t xml:space="preserve"> </w:t>
      </w:r>
      <w:r w:rsidR="00192C6E">
        <w:rPr>
          <w:rFonts w:ascii="Times New Roman" w:hAnsi="Times New Roman" w:cs="Times New Roman"/>
          <w:b/>
          <w:sz w:val="24"/>
          <w:szCs w:val="24"/>
        </w:rPr>
        <w:t>Responses to Commission Questions</w:t>
      </w:r>
    </w:p>
    <w:p w14:paraId="75DFE9B1" w14:textId="04D7EF99" w:rsidR="00190776" w:rsidRDefault="00190776" w:rsidP="00190776">
      <w:pPr>
        <w:rPr>
          <w:rFonts w:ascii="Times New Roman" w:hAnsi="Times New Roman" w:cs="Times New Roman"/>
          <w:b/>
          <w:sz w:val="24"/>
          <w:szCs w:val="24"/>
        </w:rPr>
      </w:pPr>
      <w:r w:rsidRPr="006B213C">
        <w:rPr>
          <w:rFonts w:ascii="Times New Roman" w:hAnsi="Times New Roman" w:cs="Times New Roman"/>
          <w:b/>
          <w:sz w:val="24"/>
          <w:szCs w:val="24"/>
        </w:rPr>
        <w:t xml:space="preserve">2. </w:t>
      </w:r>
      <w:r w:rsidR="00625386">
        <w:rPr>
          <w:rFonts w:ascii="Times New Roman" w:hAnsi="Times New Roman" w:cs="Times New Roman"/>
          <w:b/>
          <w:sz w:val="24"/>
          <w:szCs w:val="24"/>
        </w:rPr>
        <w:t xml:space="preserve">  </w:t>
      </w:r>
      <w:r w:rsidR="00643A83">
        <w:rPr>
          <w:rFonts w:ascii="Times New Roman" w:hAnsi="Times New Roman" w:cs="Times New Roman"/>
          <w:b/>
          <w:sz w:val="24"/>
          <w:szCs w:val="24"/>
        </w:rPr>
        <w:t>Can a transmission and distribution utility (TDU) legally own a non-traditional technology device, including energy storage equipment and facilities, to support reliability on its system, without a specific exemption in the Public Utility Regulatory Act? If so, under what legal authority could a TDU own such a device?</w:t>
      </w:r>
    </w:p>
    <w:p w14:paraId="07F16075" w14:textId="6204E8FE" w:rsidR="00616BA6" w:rsidRDefault="00616BA6" w:rsidP="0062538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the current provisions in the Public Utility Regulatory Act (PURA), a TDU is prohibited from owning a non-traditional technology device, including energy storage equipment and facilities. There are multiple provisions in PURA as well as the </w:t>
      </w:r>
      <w:r w:rsidR="00A8730B">
        <w:rPr>
          <w:rFonts w:ascii="Times New Roman" w:hAnsi="Times New Roman" w:cs="Times New Roman"/>
          <w:sz w:val="24"/>
          <w:szCs w:val="24"/>
        </w:rPr>
        <w:t>Public Utility Commission’s (</w:t>
      </w:r>
      <w:r>
        <w:rPr>
          <w:rFonts w:ascii="Times New Roman" w:hAnsi="Times New Roman" w:cs="Times New Roman"/>
          <w:sz w:val="24"/>
          <w:szCs w:val="24"/>
        </w:rPr>
        <w:t>PUC</w:t>
      </w:r>
      <w:r w:rsidR="00A8730B">
        <w:rPr>
          <w:rFonts w:ascii="Times New Roman" w:hAnsi="Times New Roman" w:cs="Times New Roman"/>
          <w:sz w:val="24"/>
          <w:szCs w:val="24"/>
        </w:rPr>
        <w:t>’s</w:t>
      </w:r>
      <w:r w:rsidR="00827ED4">
        <w:rPr>
          <w:rFonts w:ascii="Times New Roman" w:hAnsi="Times New Roman" w:cs="Times New Roman"/>
          <w:sz w:val="24"/>
          <w:szCs w:val="24"/>
        </w:rPr>
        <w:t xml:space="preserve"> or Commission’s</w:t>
      </w:r>
      <w:r w:rsidR="00A8730B">
        <w:rPr>
          <w:rFonts w:ascii="Times New Roman" w:hAnsi="Times New Roman" w:cs="Times New Roman"/>
          <w:sz w:val="24"/>
          <w:szCs w:val="24"/>
        </w:rPr>
        <w:t>)</w:t>
      </w:r>
      <w:r>
        <w:rPr>
          <w:rFonts w:ascii="Times New Roman" w:hAnsi="Times New Roman" w:cs="Times New Roman"/>
          <w:sz w:val="24"/>
          <w:szCs w:val="24"/>
        </w:rPr>
        <w:t xml:space="preserve"> electric </w:t>
      </w:r>
      <w:r w:rsidR="00891DFE">
        <w:rPr>
          <w:rFonts w:ascii="Times New Roman" w:hAnsi="Times New Roman" w:cs="Times New Roman"/>
          <w:sz w:val="24"/>
          <w:szCs w:val="24"/>
        </w:rPr>
        <w:t xml:space="preserve">substantive rules that address this issue in terms of TDU participation in the market </w:t>
      </w:r>
      <w:r w:rsidR="00A8730B">
        <w:rPr>
          <w:rFonts w:ascii="Times New Roman" w:hAnsi="Times New Roman" w:cs="Times New Roman"/>
          <w:sz w:val="24"/>
          <w:szCs w:val="24"/>
        </w:rPr>
        <w:t xml:space="preserve">in general, </w:t>
      </w:r>
      <w:r w:rsidR="00891DFE">
        <w:rPr>
          <w:rFonts w:ascii="Times New Roman" w:hAnsi="Times New Roman" w:cs="Times New Roman"/>
          <w:sz w:val="24"/>
          <w:szCs w:val="24"/>
        </w:rPr>
        <w:t xml:space="preserve">as well as </w:t>
      </w:r>
      <w:r w:rsidR="00A8730B">
        <w:rPr>
          <w:rFonts w:ascii="Times New Roman" w:hAnsi="Times New Roman" w:cs="Times New Roman"/>
          <w:sz w:val="24"/>
          <w:szCs w:val="24"/>
        </w:rPr>
        <w:t xml:space="preserve">the role of </w:t>
      </w:r>
      <w:r w:rsidR="00891DFE">
        <w:rPr>
          <w:rFonts w:ascii="Times New Roman" w:hAnsi="Times New Roman" w:cs="Times New Roman"/>
          <w:sz w:val="24"/>
          <w:szCs w:val="24"/>
        </w:rPr>
        <w:t>batteries</w:t>
      </w:r>
      <w:r w:rsidR="00A8730B">
        <w:rPr>
          <w:rFonts w:ascii="Times New Roman" w:hAnsi="Times New Roman" w:cs="Times New Roman"/>
          <w:sz w:val="24"/>
          <w:szCs w:val="24"/>
        </w:rPr>
        <w:t xml:space="preserve"> in the restructured competitive market specifically</w:t>
      </w:r>
      <w:r w:rsidR="00891DFE">
        <w:rPr>
          <w:rFonts w:ascii="Times New Roman" w:hAnsi="Times New Roman" w:cs="Times New Roman"/>
          <w:sz w:val="24"/>
          <w:szCs w:val="24"/>
        </w:rPr>
        <w:t>.</w:t>
      </w:r>
      <w:r w:rsidR="000A79B5">
        <w:rPr>
          <w:rFonts w:ascii="Times New Roman" w:hAnsi="Times New Roman" w:cs="Times New Roman"/>
          <w:sz w:val="24"/>
          <w:szCs w:val="24"/>
        </w:rPr>
        <w:t xml:space="preserve"> At its very core, allowing a TDU to own a non-traditional technology device </w:t>
      </w:r>
      <w:r w:rsidR="000A79B5">
        <w:rPr>
          <w:rFonts w:ascii="Times New Roman" w:hAnsi="Times New Roman" w:cs="Times New Roman"/>
          <w:sz w:val="24"/>
          <w:szCs w:val="24"/>
        </w:rPr>
        <w:lastRenderedPageBreak/>
        <w:t>would violate both the letter and spirit of the law conveyed in PURA §39.001</w:t>
      </w:r>
      <w:r w:rsidR="00AA06B7">
        <w:rPr>
          <w:rFonts w:ascii="Times New Roman" w:hAnsi="Times New Roman" w:cs="Times New Roman"/>
          <w:sz w:val="24"/>
          <w:szCs w:val="24"/>
        </w:rPr>
        <w:t xml:space="preserve">, </w:t>
      </w:r>
      <w:r w:rsidR="000A79B5">
        <w:rPr>
          <w:rFonts w:ascii="Times New Roman" w:hAnsi="Times New Roman" w:cs="Times New Roman"/>
          <w:sz w:val="24"/>
          <w:szCs w:val="24"/>
        </w:rPr>
        <w:t xml:space="preserve">which mandates </w:t>
      </w:r>
      <w:r w:rsidR="00AA06B7">
        <w:rPr>
          <w:rFonts w:ascii="Times New Roman" w:hAnsi="Times New Roman" w:cs="Times New Roman"/>
          <w:sz w:val="24"/>
          <w:szCs w:val="24"/>
        </w:rPr>
        <w:t xml:space="preserve">that </w:t>
      </w:r>
      <w:r w:rsidR="000A79B5">
        <w:rPr>
          <w:rFonts w:ascii="Times New Roman" w:hAnsi="Times New Roman" w:cs="Times New Roman"/>
          <w:sz w:val="24"/>
          <w:szCs w:val="24"/>
        </w:rPr>
        <w:t>“regulatory authorities…shall authorize or order competitive rather than regulatory methods to achieve the goals of this chapter to the greatest extent feasible and shall adopt rul</w:t>
      </w:r>
      <w:r w:rsidR="00F512B9">
        <w:rPr>
          <w:rFonts w:ascii="Times New Roman" w:hAnsi="Times New Roman" w:cs="Times New Roman"/>
          <w:sz w:val="24"/>
          <w:szCs w:val="24"/>
        </w:rPr>
        <w:t>es and issue orders that are both practical and limited so as to impose the least impact on competition.” The Legislature, in its enactment of SB 7 (76</w:t>
      </w:r>
      <w:r w:rsidR="00F512B9" w:rsidRPr="00F512B9">
        <w:rPr>
          <w:rFonts w:ascii="Times New Roman" w:hAnsi="Times New Roman" w:cs="Times New Roman"/>
          <w:sz w:val="24"/>
          <w:szCs w:val="24"/>
          <w:vertAlign w:val="superscript"/>
        </w:rPr>
        <w:t>th</w:t>
      </w:r>
      <w:r w:rsidR="00F512B9">
        <w:rPr>
          <w:rFonts w:ascii="Times New Roman" w:hAnsi="Times New Roman" w:cs="Times New Roman"/>
          <w:sz w:val="24"/>
          <w:szCs w:val="24"/>
        </w:rPr>
        <w:t xml:space="preserve"> Regular Session), was explicit that electric utilities were to be divided, no later than January 1, 2002, into separate entities that were classified as a power generation company, a retail electric provider, and a transmission and distribution utility.</w:t>
      </w:r>
      <w:r w:rsidR="00F512B9">
        <w:rPr>
          <w:rStyle w:val="FootnoteReference"/>
          <w:rFonts w:ascii="Times New Roman" w:hAnsi="Times New Roman" w:cs="Times New Roman"/>
          <w:sz w:val="24"/>
          <w:szCs w:val="24"/>
        </w:rPr>
        <w:footnoteReference w:id="1"/>
      </w:r>
      <w:r w:rsidR="00341CCF">
        <w:rPr>
          <w:rFonts w:ascii="Times New Roman" w:hAnsi="Times New Roman" w:cs="Times New Roman"/>
          <w:sz w:val="24"/>
          <w:szCs w:val="24"/>
        </w:rPr>
        <w:t xml:space="preserve"> In fact, the very definitions preclude a TDU from owning energy storage equipment and facilities by defining a “power generation company” as follows:</w:t>
      </w:r>
    </w:p>
    <w:p w14:paraId="6B3DE5AF" w14:textId="34FCC0C1" w:rsidR="00341CCF" w:rsidRDefault="00341CCF" w:rsidP="003A384B">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“Power generation company” means a person, including a person who owns or operates a distributed natural gas generation facility, that:</w:t>
      </w:r>
    </w:p>
    <w:p w14:paraId="5F7B7F82" w14:textId="15CA5BC7" w:rsidR="00341CCF" w:rsidRPr="00341CCF" w:rsidRDefault="00341CCF" w:rsidP="003A384B">
      <w:pPr>
        <w:pStyle w:val="ListParagraph"/>
        <w:numPr>
          <w:ilvl w:val="0"/>
          <w:numId w:val="20"/>
        </w:numPr>
        <w:spacing w:line="276" w:lineRule="auto"/>
        <w:jc w:val="both"/>
        <w:rPr>
          <w:rFonts w:ascii="Times New Roman" w:hAnsi="Times New Roman" w:cs="Times New Roman"/>
          <w:i/>
          <w:sz w:val="24"/>
          <w:szCs w:val="24"/>
        </w:rPr>
      </w:pPr>
      <w:r w:rsidRPr="00341CCF">
        <w:rPr>
          <w:rFonts w:ascii="Times New Roman" w:hAnsi="Times New Roman" w:cs="Times New Roman"/>
          <w:i/>
          <w:sz w:val="24"/>
          <w:szCs w:val="24"/>
        </w:rPr>
        <w:t>generates electricity that is intended to be sold at wholesale, including the owner or operator of electric energy storage equipment or facilities to which Subchapter E, Chapter 35 applies;</w:t>
      </w:r>
    </w:p>
    <w:p w14:paraId="4A14A9FE" w14:textId="1966B109" w:rsidR="00341CCF" w:rsidRDefault="00341CCF" w:rsidP="003A384B">
      <w:pPr>
        <w:pStyle w:val="ListParagraph"/>
        <w:numPr>
          <w:ilvl w:val="0"/>
          <w:numId w:val="20"/>
        </w:numPr>
        <w:spacing w:line="276" w:lineRule="auto"/>
        <w:jc w:val="both"/>
        <w:rPr>
          <w:rFonts w:ascii="Times New Roman" w:hAnsi="Times New Roman" w:cs="Times New Roman"/>
          <w:i/>
          <w:sz w:val="24"/>
          <w:szCs w:val="24"/>
        </w:rPr>
      </w:pPr>
      <w:r>
        <w:rPr>
          <w:rFonts w:ascii="Times New Roman" w:hAnsi="Times New Roman" w:cs="Times New Roman"/>
          <w:i/>
          <w:sz w:val="24"/>
          <w:szCs w:val="24"/>
        </w:rPr>
        <w:t>does not own a transmission or distribution facility in this state other than an essential interconnecting facility, a facility not dedicated to public use, or a facility otherwise excluded from the definition of “electric utility” under this section; and</w:t>
      </w:r>
    </w:p>
    <w:p w14:paraId="13A263DD" w14:textId="15301B95" w:rsidR="00341CCF" w:rsidRDefault="00341CCF" w:rsidP="003A384B">
      <w:pPr>
        <w:pStyle w:val="ListParagraph"/>
        <w:numPr>
          <w:ilvl w:val="0"/>
          <w:numId w:val="20"/>
        </w:num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does not have a certificated service area, </w:t>
      </w:r>
      <w:r w:rsidR="00710DB0">
        <w:rPr>
          <w:rFonts w:ascii="Times New Roman" w:hAnsi="Times New Roman" w:cs="Times New Roman"/>
          <w:i/>
          <w:sz w:val="24"/>
          <w:szCs w:val="24"/>
        </w:rPr>
        <w:t>although its affiliated electric utility or transmission and distribution utility may have a certificated service area.</w:t>
      </w:r>
      <w:r w:rsidR="00710DB0">
        <w:rPr>
          <w:rStyle w:val="FootnoteReference"/>
          <w:rFonts w:ascii="Times New Roman" w:hAnsi="Times New Roman" w:cs="Times New Roman"/>
          <w:i/>
          <w:sz w:val="24"/>
          <w:szCs w:val="24"/>
        </w:rPr>
        <w:footnoteReference w:id="2"/>
      </w:r>
    </w:p>
    <w:p w14:paraId="2B26A970" w14:textId="77777777" w:rsidR="00710DB0" w:rsidRDefault="00710DB0" w:rsidP="003A384B">
      <w:pPr>
        <w:spacing w:after="0"/>
        <w:jc w:val="both"/>
        <w:rPr>
          <w:rFonts w:ascii="Times New Roman" w:hAnsi="Times New Roman" w:cs="Times New Roman"/>
          <w:sz w:val="24"/>
          <w:szCs w:val="24"/>
        </w:rPr>
      </w:pPr>
    </w:p>
    <w:p w14:paraId="15DBB62D" w14:textId="292C7B05" w:rsidR="00710DB0" w:rsidRDefault="00710DB0" w:rsidP="006253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separate definition for “transmission and distribution utility” makes it clear that the Legislature does not contemplate such an entity </w:t>
      </w:r>
      <w:r>
        <w:rPr>
          <w:rFonts w:ascii="Times New Roman" w:hAnsi="Times New Roman" w:cs="Times New Roman"/>
          <w:i/>
          <w:sz w:val="24"/>
          <w:szCs w:val="24"/>
        </w:rPr>
        <w:t>owning</w:t>
      </w:r>
      <w:r>
        <w:rPr>
          <w:rFonts w:ascii="Times New Roman" w:hAnsi="Times New Roman" w:cs="Times New Roman"/>
          <w:sz w:val="24"/>
          <w:szCs w:val="24"/>
        </w:rPr>
        <w:t xml:space="preserve"> generation or generation facilities with the words “…that owns or operates for compensation in this state equipment or facilities </w:t>
      </w:r>
      <w:r w:rsidRPr="00710DB0">
        <w:rPr>
          <w:rFonts w:ascii="Times New Roman" w:hAnsi="Times New Roman" w:cs="Times New Roman"/>
          <w:i/>
          <w:sz w:val="24"/>
          <w:szCs w:val="24"/>
        </w:rPr>
        <w:t>to</w:t>
      </w:r>
      <w:r>
        <w:rPr>
          <w:rFonts w:ascii="Times New Roman" w:hAnsi="Times New Roman" w:cs="Times New Roman"/>
          <w:sz w:val="24"/>
          <w:szCs w:val="24"/>
        </w:rPr>
        <w:t xml:space="preserve"> </w:t>
      </w:r>
      <w:r>
        <w:rPr>
          <w:rFonts w:ascii="Times New Roman" w:hAnsi="Times New Roman" w:cs="Times New Roman"/>
          <w:i/>
          <w:sz w:val="24"/>
          <w:szCs w:val="24"/>
        </w:rPr>
        <w:t xml:space="preserve">transmit or distribute electricity, </w:t>
      </w:r>
      <w:r w:rsidRPr="00710DB0">
        <w:rPr>
          <w:rFonts w:ascii="Times New Roman" w:hAnsi="Times New Roman" w:cs="Times New Roman"/>
          <w:sz w:val="24"/>
          <w:szCs w:val="24"/>
        </w:rPr>
        <w:t>except for facilities</w:t>
      </w:r>
      <w:r>
        <w:rPr>
          <w:rFonts w:ascii="Times New Roman" w:hAnsi="Times New Roman" w:cs="Times New Roman"/>
          <w:i/>
          <w:sz w:val="24"/>
          <w:szCs w:val="24"/>
        </w:rPr>
        <w:t xml:space="preserve"> necessary to interconnect a generation facility with the transmission or distribution network…”</w:t>
      </w:r>
      <w:r>
        <w:rPr>
          <w:rStyle w:val="FootnoteReference"/>
          <w:rFonts w:ascii="Times New Roman" w:hAnsi="Times New Roman" w:cs="Times New Roman"/>
          <w:i/>
          <w:sz w:val="24"/>
          <w:szCs w:val="24"/>
        </w:rPr>
        <w:footnoteReference w:id="3"/>
      </w:r>
      <w:r w:rsidR="000A0F6F">
        <w:rPr>
          <w:rFonts w:ascii="Times New Roman" w:hAnsi="Times New Roman" w:cs="Times New Roman"/>
          <w:sz w:val="24"/>
          <w:szCs w:val="24"/>
        </w:rPr>
        <w:t xml:space="preserve"> and such distinctions are made throughout the PURA as previously integrated utilities were directed to unbundle and provisions were made for the competitive generation and retail businesses as compared with the regulated transmission and distribution businesses. </w:t>
      </w:r>
    </w:p>
    <w:p w14:paraId="2A78327A" w14:textId="373A22B0" w:rsidR="000A0F6F" w:rsidRDefault="000A0F6F" w:rsidP="0062538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new technologies were brought to market, the Legislature further clarified its intent that TDUs not own energy storage devices or facilities with the enactment of SB 943 in 2011. That bill </w:t>
      </w:r>
      <w:r>
        <w:rPr>
          <w:rFonts w:ascii="Times New Roman" w:hAnsi="Times New Roman" w:cs="Times New Roman"/>
          <w:sz w:val="24"/>
          <w:szCs w:val="24"/>
        </w:rPr>
        <w:lastRenderedPageBreak/>
        <w:t>created PURA §§</w:t>
      </w:r>
      <w:r w:rsidR="004A6B7E">
        <w:rPr>
          <w:rFonts w:ascii="Times New Roman" w:hAnsi="Times New Roman" w:cs="Times New Roman"/>
          <w:sz w:val="24"/>
          <w:szCs w:val="24"/>
        </w:rPr>
        <w:t xml:space="preserve"> </w:t>
      </w:r>
      <w:r>
        <w:rPr>
          <w:rFonts w:ascii="Times New Roman" w:hAnsi="Times New Roman" w:cs="Times New Roman"/>
          <w:sz w:val="24"/>
          <w:szCs w:val="24"/>
        </w:rPr>
        <w:t>35.151 and 35.152</w:t>
      </w:r>
      <w:r w:rsidR="004A6B7E">
        <w:rPr>
          <w:rFonts w:ascii="Times New Roman" w:hAnsi="Times New Roman" w:cs="Times New Roman"/>
          <w:sz w:val="24"/>
          <w:szCs w:val="24"/>
        </w:rPr>
        <w:t>,</w:t>
      </w:r>
      <w:r>
        <w:rPr>
          <w:rFonts w:ascii="Times New Roman" w:hAnsi="Times New Roman" w:cs="Times New Roman"/>
          <w:sz w:val="24"/>
          <w:szCs w:val="24"/>
        </w:rPr>
        <w:t xml:space="preserve"> which classif</w:t>
      </w:r>
      <w:r w:rsidR="004A6B7E">
        <w:rPr>
          <w:rFonts w:ascii="Times New Roman" w:hAnsi="Times New Roman" w:cs="Times New Roman"/>
          <w:sz w:val="24"/>
          <w:szCs w:val="24"/>
        </w:rPr>
        <w:t>y</w:t>
      </w:r>
      <w:r>
        <w:rPr>
          <w:rFonts w:ascii="Times New Roman" w:hAnsi="Times New Roman" w:cs="Times New Roman"/>
          <w:sz w:val="24"/>
          <w:szCs w:val="24"/>
        </w:rPr>
        <w:t xml:space="preserve"> electric energy storage equipment or facilities </w:t>
      </w:r>
      <w:r w:rsidR="00827ED4">
        <w:rPr>
          <w:rFonts w:ascii="Times New Roman" w:hAnsi="Times New Roman" w:cs="Times New Roman"/>
          <w:sz w:val="24"/>
          <w:szCs w:val="24"/>
        </w:rPr>
        <w:t xml:space="preserve">that put or take electricity from the bulk power system </w:t>
      </w:r>
      <w:r>
        <w:rPr>
          <w:rFonts w:ascii="Times New Roman" w:hAnsi="Times New Roman" w:cs="Times New Roman"/>
          <w:sz w:val="24"/>
          <w:szCs w:val="24"/>
        </w:rPr>
        <w:t xml:space="preserve">as generation and </w:t>
      </w:r>
      <w:r w:rsidR="00827ED4">
        <w:rPr>
          <w:rFonts w:ascii="Times New Roman" w:hAnsi="Times New Roman" w:cs="Times New Roman"/>
          <w:sz w:val="24"/>
          <w:szCs w:val="24"/>
        </w:rPr>
        <w:t xml:space="preserve">requires </w:t>
      </w:r>
      <w:r>
        <w:rPr>
          <w:rFonts w:ascii="Times New Roman" w:hAnsi="Times New Roman" w:cs="Times New Roman"/>
          <w:sz w:val="24"/>
          <w:szCs w:val="24"/>
        </w:rPr>
        <w:t xml:space="preserve">that an owner of such assets </w:t>
      </w:r>
      <w:r w:rsidR="00827ED4">
        <w:rPr>
          <w:rFonts w:ascii="Times New Roman" w:hAnsi="Times New Roman" w:cs="Times New Roman"/>
          <w:sz w:val="24"/>
          <w:szCs w:val="24"/>
        </w:rPr>
        <w:t xml:space="preserve">register as </w:t>
      </w:r>
      <w:r>
        <w:rPr>
          <w:rFonts w:ascii="Times New Roman" w:hAnsi="Times New Roman" w:cs="Times New Roman"/>
          <w:sz w:val="24"/>
          <w:szCs w:val="24"/>
        </w:rPr>
        <w:t xml:space="preserve">a power generation company. </w:t>
      </w:r>
      <w:r w:rsidR="002A1981">
        <w:rPr>
          <w:rFonts w:ascii="Times New Roman" w:hAnsi="Times New Roman" w:cs="Times New Roman"/>
          <w:sz w:val="24"/>
          <w:szCs w:val="24"/>
        </w:rPr>
        <w:t>At that time, the one facility owned by a regulated utility, ETT, was grandfathered from the new provisions as part of PURA §35.152(c). The sum of these actions makes it abundantly clear that</w:t>
      </w:r>
      <w:r w:rsidR="00827ED4">
        <w:rPr>
          <w:rFonts w:ascii="Times New Roman" w:hAnsi="Times New Roman" w:cs="Times New Roman"/>
          <w:sz w:val="24"/>
          <w:szCs w:val="24"/>
        </w:rPr>
        <w:t>,</w:t>
      </w:r>
      <w:r w:rsidR="002A1981">
        <w:rPr>
          <w:rFonts w:ascii="Times New Roman" w:hAnsi="Times New Roman" w:cs="Times New Roman"/>
          <w:sz w:val="24"/>
          <w:szCs w:val="24"/>
        </w:rPr>
        <w:t xml:space="preserve"> absent a specific statutory exemption from these sections, there is no circumstance in which a TDU may legally own an energy storage device or facility. </w:t>
      </w:r>
    </w:p>
    <w:p w14:paraId="719B4484" w14:textId="71C9FD83" w:rsidR="002A1981" w:rsidRPr="000A0F6F" w:rsidRDefault="002A1981" w:rsidP="0062538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w:t>
      </w:r>
      <w:r w:rsidR="00827ED4">
        <w:rPr>
          <w:rFonts w:ascii="Times New Roman" w:hAnsi="Times New Roman" w:cs="Times New Roman"/>
          <w:sz w:val="24"/>
          <w:szCs w:val="24"/>
        </w:rPr>
        <w:t>C</w:t>
      </w:r>
      <w:r>
        <w:rPr>
          <w:rFonts w:ascii="Times New Roman" w:hAnsi="Times New Roman" w:cs="Times New Roman"/>
          <w:sz w:val="24"/>
          <w:szCs w:val="24"/>
        </w:rPr>
        <w:t xml:space="preserve">ommission derives its rulemaking authority from the Legislature and there is no provision of SB 943 or any subsequently enacted legislation that provides the </w:t>
      </w:r>
      <w:r w:rsidR="006806D1">
        <w:rPr>
          <w:rFonts w:ascii="Times New Roman" w:hAnsi="Times New Roman" w:cs="Times New Roman"/>
          <w:sz w:val="24"/>
          <w:szCs w:val="24"/>
        </w:rPr>
        <w:t>C</w:t>
      </w:r>
      <w:r>
        <w:rPr>
          <w:rFonts w:ascii="Times New Roman" w:hAnsi="Times New Roman" w:cs="Times New Roman"/>
          <w:sz w:val="24"/>
          <w:szCs w:val="24"/>
        </w:rPr>
        <w:t xml:space="preserve">ommission authority to promulgate an exception to this law, TCPA does not believe </w:t>
      </w:r>
      <w:r w:rsidR="006806D1">
        <w:rPr>
          <w:rFonts w:ascii="Times New Roman" w:hAnsi="Times New Roman" w:cs="Times New Roman"/>
          <w:sz w:val="24"/>
          <w:szCs w:val="24"/>
        </w:rPr>
        <w:t xml:space="preserve">that </w:t>
      </w:r>
      <w:r>
        <w:rPr>
          <w:rFonts w:ascii="Times New Roman" w:hAnsi="Times New Roman" w:cs="Times New Roman"/>
          <w:sz w:val="24"/>
          <w:szCs w:val="24"/>
        </w:rPr>
        <w:t>any legal authority currently exists that would allow such an exception to be ordered or established by rule.</w:t>
      </w:r>
    </w:p>
    <w:p w14:paraId="2A15176D" w14:textId="567508AF" w:rsidR="00190776" w:rsidRPr="0024216F" w:rsidRDefault="00190776" w:rsidP="00190776">
      <w:pPr>
        <w:rPr>
          <w:rFonts w:ascii="Times New Roman" w:eastAsia="Times New Roman" w:hAnsi="Times New Roman" w:cs="Times New Roman"/>
          <w:b/>
          <w:sz w:val="24"/>
          <w:szCs w:val="24"/>
        </w:rPr>
      </w:pPr>
      <w:r w:rsidRPr="0024216F">
        <w:rPr>
          <w:rFonts w:ascii="Times New Roman" w:eastAsia="Times New Roman" w:hAnsi="Times New Roman" w:cs="Times New Roman"/>
          <w:b/>
          <w:sz w:val="24"/>
          <w:szCs w:val="24"/>
        </w:rPr>
        <w:t xml:space="preserve">7. </w:t>
      </w:r>
      <w:r w:rsidR="00625386">
        <w:rPr>
          <w:rFonts w:ascii="Times New Roman" w:eastAsia="Times New Roman" w:hAnsi="Times New Roman" w:cs="Times New Roman"/>
          <w:b/>
          <w:sz w:val="24"/>
          <w:szCs w:val="24"/>
        </w:rPr>
        <w:t xml:space="preserve">  </w:t>
      </w:r>
      <w:r w:rsidR="00643A83">
        <w:rPr>
          <w:rFonts w:ascii="Times New Roman" w:eastAsia="Times New Roman" w:hAnsi="Times New Roman" w:cs="Times New Roman"/>
          <w:b/>
          <w:sz w:val="24"/>
          <w:szCs w:val="24"/>
        </w:rPr>
        <w:t>If the commission were to adopt a policy of permitting a TDU to procure a non-traditional technology device for the purposes of supporting reliability on the TDU’s transmission or distribution system, what potential effects would such a policy</w:t>
      </w:r>
      <w:r w:rsidR="00097689">
        <w:rPr>
          <w:rFonts w:ascii="Times New Roman" w:eastAsia="Times New Roman" w:hAnsi="Times New Roman" w:cs="Times New Roman"/>
          <w:b/>
          <w:sz w:val="24"/>
          <w:szCs w:val="24"/>
        </w:rPr>
        <w:t xml:space="preserve"> have on ERCOT wholesale market outcomes, and especially price formation, in the ERCOT market? What potential effects might such a policy have on the competitive retail market, if any?</w:t>
      </w:r>
    </w:p>
    <w:p w14:paraId="06306846" w14:textId="6FFC11D3" w:rsidR="00097689" w:rsidRDefault="00097689" w:rsidP="00FD11B5">
      <w:pPr>
        <w:spacing w:line="36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Without a statutory change to permit adoption of such a policy, TCPA believes any such </w:t>
      </w:r>
      <w:r w:rsidR="006806D1">
        <w:rPr>
          <w:rFonts w:ascii="Times New Roman" w:hAnsi="Times New Roman" w:cs="Times New Roman"/>
          <w:color w:val="222222"/>
          <w:sz w:val="24"/>
          <w:szCs w:val="24"/>
        </w:rPr>
        <w:t>C</w:t>
      </w:r>
      <w:r>
        <w:rPr>
          <w:rFonts w:ascii="Times New Roman" w:hAnsi="Times New Roman" w:cs="Times New Roman"/>
          <w:color w:val="222222"/>
          <w:sz w:val="24"/>
          <w:szCs w:val="24"/>
        </w:rPr>
        <w:t xml:space="preserve">ommission policy directive </w:t>
      </w:r>
      <w:r w:rsidR="006806D1">
        <w:rPr>
          <w:rFonts w:ascii="Times New Roman" w:hAnsi="Times New Roman" w:cs="Times New Roman"/>
          <w:color w:val="222222"/>
          <w:sz w:val="24"/>
          <w:szCs w:val="24"/>
        </w:rPr>
        <w:t xml:space="preserve">to permit direct ownership or operation of a non-traditional technology device </w:t>
      </w:r>
      <w:r>
        <w:rPr>
          <w:rFonts w:ascii="Times New Roman" w:hAnsi="Times New Roman" w:cs="Times New Roman"/>
          <w:color w:val="222222"/>
          <w:sz w:val="24"/>
          <w:szCs w:val="24"/>
        </w:rPr>
        <w:t xml:space="preserve">would be in </w:t>
      </w:r>
      <w:r w:rsidR="006806D1">
        <w:rPr>
          <w:rFonts w:ascii="Times New Roman" w:hAnsi="Times New Roman" w:cs="Times New Roman"/>
          <w:color w:val="222222"/>
          <w:sz w:val="24"/>
          <w:szCs w:val="24"/>
        </w:rPr>
        <w:t xml:space="preserve">direct </w:t>
      </w:r>
      <w:r>
        <w:rPr>
          <w:rFonts w:ascii="Times New Roman" w:hAnsi="Times New Roman" w:cs="Times New Roman"/>
          <w:color w:val="222222"/>
          <w:sz w:val="24"/>
          <w:szCs w:val="24"/>
        </w:rPr>
        <w:t xml:space="preserve">conflict with the provisions of PURA discussed in response to </w:t>
      </w:r>
      <w:r w:rsidR="006806D1">
        <w:rPr>
          <w:rFonts w:ascii="Times New Roman" w:hAnsi="Times New Roman" w:cs="Times New Roman"/>
          <w:color w:val="222222"/>
          <w:sz w:val="24"/>
          <w:szCs w:val="24"/>
        </w:rPr>
        <w:t>Q</w:t>
      </w:r>
      <w:r>
        <w:rPr>
          <w:rFonts w:ascii="Times New Roman" w:hAnsi="Times New Roman" w:cs="Times New Roman"/>
          <w:color w:val="222222"/>
          <w:sz w:val="24"/>
          <w:szCs w:val="24"/>
        </w:rPr>
        <w:t>uestion 2 above</w:t>
      </w:r>
      <w:r w:rsidR="006806D1">
        <w:rPr>
          <w:rFonts w:ascii="Times New Roman" w:hAnsi="Times New Roman" w:cs="Times New Roman"/>
          <w:color w:val="222222"/>
          <w:sz w:val="24"/>
          <w:szCs w:val="24"/>
        </w:rPr>
        <w:t xml:space="preserve"> that</w:t>
      </w:r>
      <w:r>
        <w:rPr>
          <w:rFonts w:ascii="Times New Roman" w:hAnsi="Times New Roman" w:cs="Times New Roman"/>
          <w:color w:val="222222"/>
          <w:sz w:val="24"/>
          <w:szCs w:val="24"/>
        </w:rPr>
        <w:t xml:space="preserve"> prohibit TDU ownership of such technology. </w:t>
      </w:r>
      <w:r w:rsidR="006806D1">
        <w:rPr>
          <w:rFonts w:ascii="Times New Roman" w:hAnsi="Times New Roman" w:cs="Times New Roman"/>
          <w:color w:val="222222"/>
          <w:sz w:val="24"/>
          <w:szCs w:val="24"/>
        </w:rPr>
        <w:t>Regardless</w:t>
      </w:r>
      <w:r>
        <w:rPr>
          <w:rFonts w:ascii="Times New Roman" w:hAnsi="Times New Roman" w:cs="Times New Roman"/>
          <w:color w:val="222222"/>
          <w:sz w:val="24"/>
          <w:szCs w:val="24"/>
        </w:rPr>
        <w:t>, such a departure from the restructured construct currently in place would have significant negative effects on both the ERCOT wholesale and competitive retails markets.</w:t>
      </w:r>
    </w:p>
    <w:p w14:paraId="0978D852" w14:textId="3444B959" w:rsidR="0018490A" w:rsidRDefault="00097689" w:rsidP="003A384B">
      <w:pPr>
        <w:pStyle w:val="annettes"/>
        <w:rPr>
          <w:rFonts w:cs="Times New Roman"/>
          <w:szCs w:val="24"/>
        </w:rPr>
      </w:pPr>
      <w:r>
        <w:rPr>
          <w:rFonts w:cs="Times New Roman"/>
          <w:b/>
          <w:szCs w:val="24"/>
        </w:rPr>
        <w:tab/>
      </w:r>
      <w:r w:rsidR="0006748C">
        <w:rPr>
          <w:rFonts w:cs="Times New Roman"/>
          <w:szCs w:val="24"/>
        </w:rPr>
        <w:t xml:space="preserve">Allowing TDUs to procure non-traditional technologies, for reliability or any other purpose, would exacerbate current price formation issues by allowing generation owned by regulated entities to be released onto the grid at times of scarcity, further suppressing wholesale prices. </w:t>
      </w:r>
      <w:r w:rsidR="000607FF">
        <w:rPr>
          <w:rFonts w:cs="Times New Roman"/>
          <w:szCs w:val="24"/>
        </w:rPr>
        <w:t xml:space="preserve">First, allowing a rate-regulated utility to participate in the competitive market provides an unfair advantage over true generation companies that do not enjoy the benefit of a guaranteed return and the ability to recover the cost of their investment from captive ratepayers. At its core, entities that receive market-based compensation would be forced to compete with entities compensated </w:t>
      </w:r>
      <w:r w:rsidR="0018490A">
        <w:rPr>
          <w:rFonts w:cs="Times New Roman"/>
          <w:szCs w:val="24"/>
        </w:rPr>
        <w:t xml:space="preserve">for their capital investment </w:t>
      </w:r>
      <w:r w:rsidR="000607FF">
        <w:rPr>
          <w:rFonts w:cs="Times New Roman"/>
          <w:szCs w:val="24"/>
        </w:rPr>
        <w:t xml:space="preserve">through </w:t>
      </w:r>
      <w:r w:rsidR="00DE024B">
        <w:rPr>
          <w:rFonts w:cs="Times New Roman"/>
          <w:szCs w:val="24"/>
        </w:rPr>
        <w:t>C</w:t>
      </w:r>
      <w:r w:rsidR="000607FF">
        <w:rPr>
          <w:rFonts w:cs="Times New Roman"/>
          <w:szCs w:val="24"/>
        </w:rPr>
        <w:t xml:space="preserve">ommission-approved tariff rates. Currently, </w:t>
      </w:r>
      <w:r w:rsidR="000607FF">
        <w:rPr>
          <w:rFonts w:cs="Times New Roman"/>
          <w:szCs w:val="24"/>
        </w:rPr>
        <w:lastRenderedPageBreak/>
        <w:t xml:space="preserve">TDUs may engage in the market only to </w:t>
      </w:r>
      <w:r w:rsidR="000607FF" w:rsidRPr="009C5F54">
        <w:rPr>
          <w:rFonts w:cs="Times New Roman"/>
          <w:i/>
          <w:szCs w:val="24"/>
        </w:rPr>
        <w:t>purchase</w:t>
      </w:r>
      <w:r w:rsidR="000607FF">
        <w:rPr>
          <w:rFonts w:cs="Times New Roman"/>
          <w:szCs w:val="24"/>
        </w:rPr>
        <w:t xml:space="preserve"> electricity for their own use, not to </w:t>
      </w:r>
      <w:r w:rsidR="0018490A">
        <w:rPr>
          <w:rFonts w:cs="Times New Roman"/>
          <w:szCs w:val="24"/>
        </w:rPr>
        <w:t xml:space="preserve">generate, sell, or </w:t>
      </w:r>
      <w:r w:rsidR="000607FF">
        <w:rPr>
          <w:rFonts w:cs="Times New Roman"/>
          <w:szCs w:val="24"/>
        </w:rPr>
        <w:t>resell.</w:t>
      </w:r>
      <w:r w:rsidR="00C53E29">
        <w:rPr>
          <w:rStyle w:val="FootnoteReference"/>
          <w:rFonts w:cs="Times New Roman"/>
          <w:szCs w:val="24"/>
        </w:rPr>
        <w:footnoteReference w:id="4"/>
      </w:r>
      <w:r w:rsidR="000607FF">
        <w:rPr>
          <w:rFonts w:cs="Times New Roman"/>
          <w:szCs w:val="24"/>
        </w:rPr>
        <w:t xml:space="preserve"> It is unclear who would pay for the electricity a TDU would purchase – presumably its captive ratepayers </w:t>
      </w:r>
      <w:r w:rsidR="008567E0">
        <w:rPr>
          <w:rFonts w:cs="Times New Roman"/>
          <w:szCs w:val="24"/>
        </w:rPr>
        <w:t>–</w:t>
      </w:r>
      <w:r w:rsidR="000607FF">
        <w:rPr>
          <w:rFonts w:cs="Times New Roman"/>
          <w:szCs w:val="24"/>
        </w:rPr>
        <w:t xml:space="preserve"> </w:t>
      </w:r>
      <w:r w:rsidR="008567E0">
        <w:rPr>
          <w:rFonts w:cs="Times New Roman"/>
          <w:szCs w:val="24"/>
        </w:rPr>
        <w:t xml:space="preserve">but the purchase outside of a normal market transaction distorts competitive market forces from the outset. </w:t>
      </w:r>
    </w:p>
    <w:p w14:paraId="7B910042" w14:textId="57EE7A7B" w:rsidR="00961D8F" w:rsidRDefault="00961D8F" w:rsidP="009C5F54">
      <w:pPr>
        <w:pStyle w:val="annettes"/>
        <w:ind w:firstLine="720"/>
        <w:rPr>
          <w:rFonts w:cs="Times New Roman"/>
          <w:szCs w:val="24"/>
        </w:rPr>
      </w:pPr>
      <w:r>
        <w:rPr>
          <w:rFonts w:cs="Times New Roman"/>
          <w:szCs w:val="24"/>
        </w:rPr>
        <w:t xml:space="preserve">In contrast to this scenario, generation resources in ERCOT’s energy-only market </w:t>
      </w:r>
      <w:r w:rsidR="0018490A">
        <w:rPr>
          <w:rFonts w:cs="Times New Roman"/>
          <w:szCs w:val="24"/>
        </w:rPr>
        <w:t>can</w:t>
      </w:r>
      <w:r>
        <w:rPr>
          <w:rFonts w:cs="Times New Roman"/>
          <w:szCs w:val="24"/>
        </w:rPr>
        <w:t xml:space="preserve">not recover their costs from a captive customer base but instead </w:t>
      </w:r>
      <w:r w:rsidR="0018490A">
        <w:rPr>
          <w:rFonts w:cs="Times New Roman"/>
          <w:szCs w:val="24"/>
        </w:rPr>
        <w:t xml:space="preserve">must risk both return of and return on invested capital </w:t>
      </w:r>
      <w:r>
        <w:rPr>
          <w:rFonts w:cs="Times New Roman"/>
          <w:szCs w:val="24"/>
        </w:rPr>
        <w:t xml:space="preserve">through the energy clearing prices in the wholesale market. </w:t>
      </w:r>
      <w:r w:rsidR="008567E0">
        <w:rPr>
          <w:rFonts w:cs="Times New Roman"/>
          <w:szCs w:val="24"/>
        </w:rPr>
        <w:t xml:space="preserve">Since </w:t>
      </w:r>
      <w:r w:rsidR="0018490A">
        <w:rPr>
          <w:rFonts w:cs="Times New Roman"/>
          <w:szCs w:val="24"/>
        </w:rPr>
        <w:t xml:space="preserve">a </w:t>
      </w:r>
      <w:r w:rsidR="008567E0">
        <w:rPr>
          <w:rFonts w:cs="Times New Roman"/>
          <w:szCs w:val="24"/>
        </w:rPr>
        <w:t>TDU</w:t>
      </w:r>
      <w:r w:rsidR="0018490A">
        <w:rPr>
          <w:rFonts w:cs="Times New Roman"/>
          <w:szCs w:val="24"/>
        </w:rPr>
        <w:t>-owned storage facility</w:t>
      </w:r>
      <w:r w:rsidR="008567E0">
        <w:rPr>
          <w:rFonts w:cs="Times New Roman"/>
          <w:szCs w:val="24"/>
        </w:rPr>
        <w:t xml:space="preserve"> could </w:t>
      </w:r>
      <w:r w:rsidR="0018490A">
        <w:rPr>
          <w:rFonts w:cs="Times New Roman"/>
          <w:szCs w:val="24"/>
        </w:rPr>
        <w:t xml:space="preserve">discharge its </w:t>
      </w:r>
      <w:r w:rsidR="008567E0">
        <w:rPr>
          <w:rFonts w:cs="Times New Roman"/>
          <w:szCs w:val="24"/>
        </w:rPr>
        <w:t>stored energy on</w:t>
      </w:r>
      <w:r w:rsidR="0018490A">
        <w:rPr>
          <w:rFonts w:cs="Times New Roman"/>
          <w:szCs w:val="24"/>
        </w:rPr>
        <w:t>to</w:t>
      </w:r>
      <w:r w:rsidR="008567E0">
        <w:rPr>
          <w:rFonts w:cs="Times New Roman"/>
          <w:szCs w:val="24"/>
        </w:rPr>
        <w:t xml:space="preserve"> the grid at any time, this influx of energy would be placed on the grid outside of the normal Security Constrained Economic Dispatch (SCED) through which all generation resources are currently deployed. As a result, the TDU-owned energy storage would suppress market prices by excluding it from the normal process that contributes to price formation</w:t>
      </w:r>
      <w:r>
        <w:rPr>
          <w:rFonts w:cs="Times New Roman"/>
          <w:szCs w:val="24"/>
        </w:rPr>
        <w:t xml:space="preserve"> through scarcity signals</w:t>
      </w:r>
      <w:r w:rsidR="008567E0">
        <w:rPr>
          <w:rFonts w:cs="Times New Roman"/>
          <w:szCs w:val="24"/>
        </w:rPr>
        <w:t xml:space="preserve">. </w:t>
      </w:r>
      <w:r>
        <w:rPr>
          <w:rFonts w:cs="Times New Roman"/>
          <w:szCs w:val="24"/>
        </w:rPr>
        <w:t xml:space="preserve">This concept was discussed in AEP Texas’s case seeking approval to install </w:t>
      </w:r>
      <w:r w:rsidR="007D68CE">
        <w:rPr>
          <w:rFonts w:cs="Times New Roman"/>
          <w:szCs w:val="24"/>
        </w:rPr>
        <w:t xml:space="preserve">lithium-ion </w:t>
      </w:r>
      <w:r>
        <w:rPr>
          <w:rFonts w:cs="Times New Roman"/>
          <w:szCs w:val="24"/>
        </w:rPr>
        <w:t>batter</w:t>
      </w:r>
      <w:r w:rsidR="007D68CE">
        <w:rPr>
          <w:rFonts w:cs="Times New Roman"/>
          <w:szCs w:val="24"/>
        </w:rPr>
        <w:t>ies</w:t>
      </w:r>
      <w:r>
        <w:rPr>
          <w:rFonts w:cs="Times New Roman"/>
          <w:szCs w:val="24"/>
        </w:rPr>
        <w:t xml:space="preserve"> </w:t>
      </w:r>
      <w:r w:rsidR="007D68CE">
        <w:rPr>
          <w:rFonts w:cs="Times New Roman"/>
          <w:szCs w:val="24"/>
        </w:rPr>
        <w:t>on its distribution system</w:t>
      </w:r>
      <w:r>
        <w:rPr>
          <w:rFonts w:cs="Times New Roman"/>
          <w:szCs w:val="24"/>
        </w:rPr>
        <w:t>:</w:t>
      </w:r>
    </w:p>
    <w:p w14:paraId="1B589206" w14:textId="4778F6A1" w:rsidR="00C53E29" w:rsidRDefault="00961D8F" w:rsidP="00652641">
      <w:pPr>
        <w:pStyle w:val="annettes"/>
        <w:spacing w:line="276" w:lineRule="auto"/>
        <w:ind w:left="720"/>
        <w:rPr>
          <w:rFonts w:cs="Times New Roman"/>
          <w:szCs w:val="24"/>
        </w:rPr>
      </w:pPr>
      <w:r>
        <w:rPr>
          <w:rFonts w:cs="Times New Roman"/>
          <w:i/>
          <w:szCs w:val="24"/>
        </w:rPr>
        <w:t>Only generation that is dispatched by SCED has an associated offer that contributes to price</w:t>
      </w:r>
      <w:r>
        <w:rPr>
          <w:rFonts w:cs="Times New Roman"/>
          <w:szCs w:val="24"/>
        </w:rPr>
        <w:t xml:space="preserve"> </w:t>
      </w:r>
      <w:r w:rsidRPr="00961D8F">
        <w:rPr>
          <w:rFonts w:cs="Times New Roman"/>
          <w:i/>
          <w:szCs w:val="24"/>
        </w:rPr>
        <w:t>formation</w:t>
      </w:r>
      <w:r>
        <w:rPr>
          <w:rFonts w:cs="Times New Roman"/>
          <w:i/>
          <w:szCs w:val="24"/>
        </w:rPr>
        <w:t>. Critically, because ERCOT would not be dispatching generation to serve the Paint Rock load through SCED, the battery’s deployed generation would offset generation that would otherwise be deployed by SCED and would suppress the market clearing price.</w:t>
      </w:r>
      <w:r>
        <w:rPr>
          <w:rStyle w:val="FootnoteReference"/>
          <w:rFonts w:cs="Times New Roman"/>
          <w:i/>
          <w:szCs w:val="24"/>
        </w:rPr>
        <w:footnoteReference w:id="5"/>
      </w:r>
    </w:p>
    <w:p w14:paraId="5995D67F" w14:textId="4B53900E" w:rsidR="00720517" w:rsidRDefault="008567E0" w:rsidP="003A384B">
      <w:pPr>
        <w:pStyle w:val="annettes"/>
        <w:ind w:firstLine="720"/>
        <w:rPr>
          <w:rFonts w:cs="Times New Roman"/>
          <w:szCs w:val="24"/>
        </w:rPr>
      </w:pPr>
      <w:r>
        <w:rPr>
          <w:rFonts w:cs="Times New Roman"/>
          <w:szCs w:val="24"/>
        </w:rPr>
        <w:t xml:space="preserve">ERCOT’s energy-only market depends on scarcity price signals to signal retirement needs as well as optimal </w:t>
      </w:r>
      <w:r w:rsidR="00C53E29">
        <w:rPr>
          <w:rFonts w:cs="Times New Roman"/>
          <w:szCs w:val="24"/>
        </w:rPr>
        <w:t xml:space="preserve">time for new generation development. TDU ownership of energy storage through its rate-regulated construct would </w:t>
      </w:r>
      <w:r w:rsidR="00696FAA">
        <w:rPr>
          <w:rFonts w:cs="Times New Roman"/>
          <w:szCs w:val="24"/>
        </w:rPr>
        <w:t xml:space="preserve">violate the statutory relegation of TDU activities to the natural monopoly of poles and wires, and directly </w:t>
      </w:r>
      <w:r w:rsidR="00C53E29">
        <w:rPr>
          <w:rFonts w:cs="Times New Roman"/>
          <w:szCs w:val="24"/>
        </w:rPr>
        <w:t xml:space="preserve">interfere with the price signal that competitive market participants rely </w:t>
      </w:r>
      <w:r w:rsidR="00696FAA">
        <w:rPr>
          <w:rFonts w:cs="Times New Roman"/>
          <w:szCs w:val="24"/>
        </w:rPr>
        <w:t>up</w:t>
      </w:r>
      <w:r w:rsidR="00C53E29">
        <w:rPr>
          <w:rFonts w:cs="Times New Roman"/>
          <w:szCs w:val="24"/>
        </w:rPr>
        <w:t>on. Just as federal subsidies for intermittent renewable resources have suppressed market signals</w:t>
      </w:r>
      <w:r w:rsidR="00731027">
        <w:rPr>
          <w:rFonts w:cs="Times New Roman"/>
          <w:szCs w:val="24"/>
        </w:rPr>
        <w:t>,</w:t>
      </w:r>
      <w:r w:rsidR="00C53E29">
        <w:rPr>
          <w:rStyle w:val="FootnoteReference"/>
          <w:rFonts w:cs="Times New Roman"/>
          <w:szCs w:val="24"/>
        </w:rPr>
        <w:footnoteReference w:id="6"/>
      </w:r>
      <w:r w:rsidR="00C53E29">
        <w:rPr>
          <w:rFonts w:cs="Times New Roman"/>
          <w:szCs w:val="24"/>
        </w:rPr>
        <w:t xml:space="preserve"> this rate-based subsidized generation would exacerbate price suppression.</w:t>
      </w:r>
      <w:r w:rsidR="00720517">
        <w:rPr>
          <w:rFonts w:cs="Times New Roman"/>
          <w:szCs w:val="24"/>
        </w:rPr>
        <w:t xml:space="preserve"> As discussed by Luminant/TXU</w:t>
      </w:r>
      <w:r w:rsidR="00696FAA">
        <w:rPr>
          <w:rFonts w:cs="Times New Roman"/>
          <w:szCs w:val="24"/>
        </w:rPr>
        <w:t xml:space="preserve"> </w:t>
      </w:r>
      <w:r w:rsidR="00CB16B5">
        <w:rPr>
          <w:rFonts w:cs="Times New Roman"/>
          <w:szCs w:val="24"/>
        </w:rPr>
        <w:t>E</w:t>
      </w:r>
      <w:r w:rsidR="00696FAA">
        <w:rPr>
          <w:rFonts w:cs="Times New Roman"/>
          <w:szCs w:val="24"/>
        </w:rPr>
        <w:t>nergy</w:t>
      </w:r>
      <w:r w:rsidR="00720517">
        <w:rPr>
          <w:rFonts w:cs="Times New Roman"/>
          <w:szCs w:val="24"/>
        </w:rPr>
        <w:t xml:space="preserve"> witness Amanda Frazier in the AEP Texas contested case </w:t>
      </w:r>
      <w:r w:rsidR="003000FA">
        <w:rPr>
          <w:rFonts w:cs="Times New Roman"/>
          <w:szCs w:val="24"/>
        </w:rPr>
        <w:t xml:space="preserve">regarding AEP’s proposed </w:t>
      </w:r>
      <w:r w:rsidR="00720517">
        <w:rPr>
          <w:rFonts w:cs="Times New Roman"/>
          <w:szCs w:val="24"/>
        </w:rPr>
        <w:t>installation of battery facilities</w:t>
      </w:r>
      <w:r w:rsidR="003000FA">
        <w:rPr>
          <w:rFonts w:cs="Times New Roman"/>
          <w:szCs w:val="24"/>
        </w:rPr>
        <w:t xml:space="preserve"> on its distribution system</w:t>
      </w:r>
      <w:r w:rsidR="00720517">
        <w:rPr>
          <w:rFonts w:cs="Times New Roman"/>
          <w:szCs w:val="24"/>
        </w:rPr>
        <w:t>:</w:t>
      </w:r>
    </w:p>
    <w:p w14:paraId="48360B98" w14:textId="77777777" w:rsidR="00652641" w:rsidRPr="00652641" w:rsidRDefault="00652641" w:rsidP="00652641">
      <w:pPr>
        <w:pStyle w:val="m-5891451319331576464msocommenttext"/>
        <w:spacing w:before="0" w:beforeAutospacing="0" w:after="0" w:afterAutospacing="0" w:line="276" w:lineRule="auto"/>
        <w:ind w:left="720"/>
        <w:jc w:val="both"/>
        <w:rPr>
          <w:i/>
          <w:color w:val="222222"/>
        </w:rPr>
      </w:pPr>
      <w:r w:rsidRPr="00652641">
        <w:rPr>
          <w:i/>
          <w:color w:val="222222"/>
        </w:rPr>
        <w:t xml:space="preserve">AEP proposes to take electric energy from the interconnected grid to charge a battery and then discharge electric energy onto the grid from the battery during peak load conditions </w:t>
      </w:r>
      <w:r w:rsidRPr="00652641">
        <w:rPr>
          <w:i/>
          <w:color w:val="222222"/>
        </w:rPr>
        <w:lastRenderedPageBreak/>
        <w:t xml:space="preserve">when load exceeds the capacity, of the substation transformer that serves the area. This proposal is tantamount to peak-shaving and will result in the distortion of competitive market signals. Specifically, when AEP proposes to deploy the Paint Rock battery, ERCOT would no longer need to dispatch telemetered generation resources to serve that load through Security Constrained Economic- Dispatch (SCED). Only generation that is. dispatched by SCED has an associated offer that contributes to price formation. Critically, because ERCOT would not be dispatching generation to serve the Paint Rock load through SCED, the battery's deployed generation would offset generation that would otherwise be deployed by SCED and would suppress the market clearing price. ERCOT is an "energy-only" market, wherein generation resources must recover </w:t>
      </w:r>
      <w:proofErr w:type="gramStart"/>
      <w:r w:rsidRPr="00652641">
        <w:rPr>
          <w:i/>
          <w:color w:val="222222"/>
        </w:rPr>
        <w:t>all of</w:t>
      </w:r>
      <w:proofErr w:type="gramEnd"/>
      <w:r w:rsidRPr="00652641">
        <w:rPr>
          <w:i/>
          <w:color w:val="222222"/>
        </w:rPr>
        <w:t xml:space="preserve"> their costs through the energy clearing prices set in the wholesale market. Typically, generators offer near their short-run marginal costs (i.e., fuel costs) such that most of the time, they are not recovering long-run marginal or fixed costs, much less a return of and on capital. Therefore, generators rely on higher prices during peak load events (scarcity prices) to make them whole. Moreover, the market depends on scarcity pricing signals to indicate when reserve margins are inadequate and additional generation resources should be developed. </w:t>
      </w:r>
    </w:p>
    <w:p w14:paraId="5DA5DBF6" w14:textId="77777777" w:rsidR="00652641" w:rsidRPr="00652641" w:rsidRDefault="00652641" w:rsidP="00652641">
      <w:pPr>
        <w:pStyle w:val="m-5891451319331576464msocommenttext"/>
        <w:spacing w:before="0" w:beforeAutospacing="0" w:after="0" w:afterAutospacing="0"/>
        <w:ind w:firstLine="720"/>
        <w:jc w:val="both"/>
        <w:rPr>
          <w:i/>
          <w:color w:val="222222"/>
        </w:rPr>
      </w:pPr>
    </w:p>
    <w:p w14:paraId="5C679A5D" w14:textId="4116B36B" w:rsidR="00652641" w:rsidRPr="00652641" w:rsidRDefault="00652641" w:rsidP="00652641">
      <w:pPr>
        <w:pStyle w:val="m-5891451319331576464msocommenttext"/>
        <w:spacing w:before="0" w:beforeAutospacing="0" w:after="200" w:afterAutospacing="0" w:line="276" w:lineRule="auto"/>
        <w:ind w:left="720"/>
        <w:jc w:val="both"/>
        <w:rPr>
          <w:i/>
          <w:color w:val="222222"/>
        </w:rPr>
      </w:pPr>
      <w:r w:rsidRPr="00652641">
        <w:rPr>
          <w:i/>
          <w:color w:val="222222"/>
        </w:rPr>
        <w:t xml:space="preserve">When additional generation is added to the system outside of SCED, as AEP is proposing to do with the Paint Rock battery, it reduces the price from what it would </w:t>
      </w:r>
      <w:r>
        <w:rPr>
          <w:i/>
          <w:color w:val="222222"/>
        </w:rPr>
        <w:t>o</w:t>
      </w:r>
      <w:r w:rsidRPr="00652641">
        <w:rPr>
          <w:i/>
          <w:color w:val="222222"/>
        </w:rPr>
        <w:t xml:space="preserve">therwise be and skews scarcity pricing signals. As such, AEP's Paint Rock battery deployment would directly and negatively interfere with the price signal mechanism that generators rely </w:t>
      </w:r>
      <w:r>
        <w:rPr>
          <w:i/>
          <w:color w:val="222222"/>
        </w:rPr>
        <w:t>o</w:t>
      </w:r>
      <w:bookmarkStart w:id="1" w:name="_GoBack"/>
      <w:bookmarkEnd w:id="1"/>
      <w:r w:rsidRPr="00652641">
        <w:rPr>
          <w:i/>
          <w:color w:val="222222"/>
        </w:rPr>
        <w:t>n. Further, because AEP's intended use for the Paint Rock battery would be to deploy during peak load conditions, that interference with wholesale price formation would come at one of the most critical times for generators, when peak prices directly reflect the value of operating reserves and the risk of resource inadequacy across the ERCOT system.</w:t>
      </w:r>
      <w:r>
        <w:rPr>
          <w:rStyle w:val="FootnoteReference"/>
          <w:i/>
          <w:color w:val="222222"/>
        </w:rPr>
        <w:footnoteReference w:id="7"/>
      </w:r>
    </w:p>
    <w:p w14:paraId="587B7570" w14:textId="63819661" w:rsidR="009C5F54" w:rsidRDefault="009C5F54" w:rsidP="003A384B">
      <w:pPr>
        <w:pStyle w:val="annettes"/>
        <w:rPr>
          <w:rFonts w:cs="Times New Roman"/>
          <w:szCs w:val="24"/>
        </w:rPr>
      </w:pPr>
      <w:r>
        <w:rPr>
          <w:rFonts w:cs="Times New Roman"/>
          <w:szCs w:val="24"/>
        </w:rPr>
        <w:tab/>
        <w:t xml:space="preserve">AEP essentially made a proposal to reregulate a portion of the market, with the justification that there would </w:t>
      </w:r>
      <w:r w:rsidR="00A76AAC">
        <w:rPr>
          <w:rFonts w:cs="Times New Roman"/>
          <w:szCs w:val="24"/>
        </w:rPr>
        <w:t xml:space="preserve">purportedly </w:t>
      </w:r>
      <w:r>
        <w:rPr>
          <w:rFonts w:cs="Times New Roman"/>
          <w:szCs w:val="24"/>
        </w:rPr>
        <w:t xml:space="preserve">be significant cost savings. This temptation to reregulate, because the regulated outcome </w:t>
      </w:r>
      <w:r w:rsidR="00A76AAC">
        <w:rPr>
          <w:rFonts w:cs="Times New Roman"/>
          <w:szCs w:val="24"/>
        </w:rPr>
        <w:t xml:space="preserve">might </w:t>
      </w:r>
      <w:r>
        <w:rPr>
          <w:rFonts w:cs="Times New Roman"/>
          <w:szCs w:val="24"/>
        </w:rPr>
        <w:t xml:space="preserve">appear </w:t>
      </w:r>
      <w:r w:rsidR="00A76AAC">
        <w:rPr>
          <w:rFonts w:cs="Times New Roman"/>
          <w:szCs w:val="24"/>
        </w:rPr>
        <w:t xml:space="preserve">less costly </w:t>
      </w:r>
      <w:r>
        <w:rPr>
          <w:rFonts w:cs="Times New Roman"/>
          <w:szCs w:val="24"/>
        </w:rPr>
        <w:t xml:space="preserve">in </w:t>
      </w:r>
      <w:r w:rsidR="00A76AAC">
        <w:rPr>
          <w:rFonts w:cs="Times New Roman"/>
          <w:szCs w:val="24"/>
        </w:rPr>
        <w:t xml:space="preserve">some </w:t>
      </w:r>
      <w:proofErr w:type="gramStart"/>
      <w:r>
        <w:rPr>
          <w:rFonts w:cs="Times New Roman"/>
          <w:szCs w:val="24"/>
        </w:rPr>
        <w:t>particular case</w:t>
      </w:r>
      <w:proofErr w:type="gramEnd"/>
      <w:r>
        <w:rPr>
          <w:rFonts w:cs="Times New Roman"/>
          <w:szCs w:val="24"/>
        </w:rPr>
        <w:t xml:space="preserve">, will always be present. The benefits to deregulated outcomes are widely dispersed and captured over time through the inexorable forces of competition. This faith in the benefits of competition </w:t>
      </w:r>
      <w:r w:rsidR="00A76AAC">
        <w:rPr>
          <w:rFonts w:cs="Times New Roman"/>
          <w:szCs w:val="24"/>
        </w:rPr>
        <w:t xml:space="preserve">is a fundamental public interest provision of </w:t>
      </w:r>
      <w:r>
        <w:rPr>
          <w:rFonts w:cs="Times New Roman"/>
          <w:szCs w:val="24"/>
        </w:rPr>
        <w:t>PURA, and the Commission was right to reject AEP’s request.</w:t>
      </w:r>
    </w:p>
    <w:p w14:paraId="365FD0F1" w14:textId="0065B272" w:rsidR="00CB16B5" w:rsidRPr="00CB16B5" w:rsidRDefault="0053445C" w:rsidP="009C5F54">
      <w:pPr>
        <w:pStyle w:val="annettes"/>
        <w:ind w:firstLine="720"/>
        <w:rPr>
          <w:rFonts w:cs="Times New Roman"/>
          <w:szCs w:val="24"/>
        </w:rPr>
      </w:pPr>
      <w:r>
        <w:rPr>
          <w:rFonts w:cs="Times New Roman"/>
          <w:szCs w:val="24"/>
        </w:rPr>
        <w:t xml:space="preserve">In addition to negative impacts on the wholesale market, the competitive retail market would be adversely affected if TDUs are permitted to own energy storage devices or facilities. Retail prices charged to end-use customers are comprised of the competitive energy charge as well as the rate-regulated TDU delivery charges. By allowing a TDU to own an energy storage device </w:t>
      </w:r>
      <w:r>
        <w:rPr>
          <w:rFonts w:cs="Times New Roman"/>
          <w:szCs w:val="24"/>
        </w:rPr>
        <w:lastRenderedPageBreak/>
        <w:t xml:space="preserve">or facility, recovering those costs in its rate base, the increasing delivery charges customers are experiencing will continue to climb. Generation was intended, as discussed earlier, to be a competitive resource and subject to market price fluctuations; however, that would not be the case for TDU-owned generation resources as the price would be set by the </w:t>
      </w:r>
      <w:r w:rsidR="00D246CD">
        <w:rPr>
          <w:rFonts w:cs="Times New Roman"/>
          <w:szCs w:val="24"/>
        </w:rPr>
        <w:t>C</w:t>
      </w:r>
      <w:r>
        <w:rPr>
          <w:rFonts w:cs="Times New Roman"/>
          <w:szCs w:val="24"/>
        </w:rPr>
        <w:t xml:space="preserve">ommission in the TDU tariffs and </w:t>
      </w:r>
      <w:r w:rsidR="00D246CD">
        <w:rPr>
          <w:rFonts w:cs="Times New Roman"/>
          <w:szCs w:val="24"/>
        </w:rPr>
        <w:t xml:space="preserve">subsidized through end-use </w:t>
      </w:r>
      <w:r>
        <w:rPr>
          <w:rFonts w:cs="Times New Roman"/>
          <w:szCs w:val="24"/>
        </w:rPr>
        <w:t xml:space="preserve">customer’s bills. Over the last </w:t>
      </w:r>
      <w:r w:rsidR="008F4528">
        <w:rPr>
          <w:rFonts w:cs="Times New Roman"/>
          <w:szCs w:val="24"/>
        </w:rPr>
        <w:t>16</w:t>
      </w:r>
      <w:r>
        <w:rPr>
          <w:rFonts w:cs="Times New Roman"/>
          <w:szCs w:val="24"/>
        </w:rPr>
        <w:t xml:space="preserve"> years, the regulated component of customer bills has increased </w:t>
      </w:r>
      <w:r w:rsidR="00D246CD">
        <w:rPr>
          <w:rFonts w:cs="Times New Roman"/>
          <w:szCs w:val="24"/>
        </w:rPr>
        <w:t>significantly</w:t>
      </w:r>
      <w:r>
        <w:rPr>
          <w:rFonts w:cs="Times New Roman"/>
          <w:szCs w:val="24"/>
        </w:rPr>
        <w:t>. This harms the competitive retail market by minimizing the portion of an electric bill the customer can compete away through shopping different retail plans in their service territory.</w:t>
      </w:r>
    </w:p>
    <w:p w14:paraId="144950AC" w14:textId="4E3525AA" w:rsidR="00974886" w:rsidRDefault="002B7F45" w:rsidP="00625386">
      <w:pPr>
        <w:pStyle w:val="annettes"/>
        <w:jc w:val="center"/>
        <w:rPr>
          <w:rFonts w:cs="Times New Roman"/>
          <w:b/>
          <w:szCs w:val="24"/>
        </w:rPr>
      </w:pPr>
      <w:r w:rsidRPr="0048370E">
        <w:rPr>
          <w:rFonts w:cs="Times New Roman"/>
          <w:b/>
          <w:szCs w:val="24"/>
        </w:rPr>
        <w:t xml:space="preserve">II. </w:t>
      </w:r>
      <w:r w:rsidR="005350ED">
        <w:rPr>
          <w:rFonts w:cs="Times New Roman"/>
          <w:b/>
          <w:szCs w:val="24"/>
        </w:rPr>
        <w:t xml:space="preserve"> </w:t>
      </w:r>
      <w:r w:rsidR="00A934BB" w:rsidRPr="0048370E">
        <w:rPr>
          <w:rFonts w:cs="Times New Roman"/>
          <w:b/>
          <w:szCs w:val="24"/>
        </w:rPr>
        <w:t>Conclusion</w:t>
      </w:r>
    </w:p>
    <w:p w14:paraId="5BA89353" w14:textId="305AEB8A" w:rsidR="00A92660" w:rsidRPr="00DA49BD" w:rsidRDefault="00DA49BD" w:rsidP="003A384B">
      <w:pPr>
        <w:pStyle w:val="annettes"/>
        <w:rPr>
          <w:rFonts w:cs="Times New Roman"/>
          <w:szCs w:val="24"/>
        </w:rPr>
      </w:pPr>
      <w:r>
        <w:rPr>
          <w:rFonts w:cs="Times New Roman"/>
          <w:szCs w:val="24"/>
        </w:rPr>
        <w:tab/>
      </w:r>
      <w:r w:rsidR="0053445C">
        <w:rPr>
          <w:rFonts w:cs="Times New Roman"/>
          <w:szCs w:val="24"/>
        </w:rPr>
        <w:t xml:space="preserve">The Legislature was clear throughout SB 7, enacted in 1999, when it restructured the electric market in ERCOT that generation resources were to be part of the competitive market construct, thus prohibiting rate-regulated TDUs from owning such resources. As new non-traditional technologies </w:t>
      </w:r>
      <w:r w:rsidR="00684555">
        <w:rPr>
          <w:rFonts w:cs="Times New Roman"/>
          <w:szCs w:val="24"/>
        </w:rPr>
        <w:t>became more technically and economically viable</w:t>
      </w:r>
      <w:r w:rsidR="0053445C">
        <w:rPr>
          <w:rFonts w:cs="Times New Roman"/>
          <w:szCs w:val="24"/>
        </w:rPr>
        <w:t xml:space="preserve"> </w:t>
      </w:r>
      <w:r w:rsidR="00684555">
        <w:rPr>
          <w:rFonts w:cs="Times New Roman"/>
          <w:szCs w:val="24"/>
        </w:rPr>
        <w:t>(</w:t>
      </w:r>
      <w:r w:rsidR="0053445C">
        <w:rPr>
          <w:rFonts w:cs="Times New Roman"/>
          <w:szCs w:val="24"/>
        </w:rPr>
        <w:t>namely energy storage</w:t>
      </w:r>
      <w:r w:rsidR="00684555">
        <w:rPr>
          <w:rFonts w:cs="Times New Roman"/>
          <w:szCs w:val="24"/>
        </w:rPr>
        <w:t>)</w:t>
      </w:r>
      <w:r w:rsidR="0053445C">
        <w:rPr>
          <w:rFonts w:cs="Times New Roman"/>
          <w:szCs w:val="24"/>
        </w:rPr>
        <w:t>, the Legislature</w:t>
      </w:r>
      <w:r w:rsidR="001F5AEB">
        <w:rPr>
          <w:rFonts w:cs="Times New Roman"/>
          <w:szCs w:val="24"/>
        </w:rPr>
        <w:t xml:space="preserve"> in 2011</w:t>
      </w:r>
      <w:r w:rsidR="0053445C">
        <w:rPr>
          <w:rFonts w:cs="Times New Roman"/>
          <w:szCs w:val="24"/>
        </w:rPr>
        <w:t xml:space="preserve"> further solidified its desire for generation resources to remain </w:t>
      </w:r>
      <w:r w:rsidR="001F5AEB">
        <w:rPr>
          <w:rFonts w:cs="Times New Roman"/>
          <w:szCs w:val="24"/>
        </w:rPr>
        <w:t xml:space="preserve">in the competitive market space by defining these devices and facilities as generation resources and providing that TDU ownership of such a device or facility </w:t>
      </w:r>
      <w:r w:rsidR="00684555">
        <w:rPr>
          <w:rFonts w:cs="Times New Roman"/>
          <w:szCs w:val="24"/>
        </w:rPr>
        <w:t xml:space="preserve">was prohibited absent </w:t>
      </w:r>
      <w:r w:rsidR="001F5AEB">
        <w:rPr>
          <w:rFonts w:cs="Times New Roman"/>
          <w:szCs w:val="24"/>
        </w:rPr>
        <w:t xml:space="preserve">a statutory exemption. </w:t>
      </w:r>
      <w:r w:rsidR="00DF4F4F">
        <w:rPr>
          <w:rFonts w:cs="Times New Roman"/>
          <w:szCs w:val="24"/>
        </w:rPr>
        <w:t>Therefore, the law is abundantly clear that TDUs cannot legally own energy storage devices or facilities without first obtaining an exemption in PURA.</w:t>
      </w:r>
    </w:p>
    <w:p w14:paraId="6D28C3DF" w14:textId="351DC8A1" w:rsidR="009D303C" w:rsidRDefault="009D303C" w:rsidP="009D3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DF4F4F">
        <w:rPr>
          <w:rFonts w:ascii="Times New Roman" w:hAnsi="Times New Roman" w:cs="Times New Roman"/>
          <w:sz w:val="24"/>
          <w:szCs w:val="24"/>
        </w:rPr>
        <w:t>November 2</w:t>
      </w:r>
      <w:r w:rsidR="00554BCF">
        <w:rPr>
          <w:rFonts w:ascii="Times New Roman" w:hAnsi="Times New Roman" w:cs="Times New Roman"/>
          <w:sz w:val="24"/>
          <w:szCs w:val="24"/>
        </w:rPr>
        <w:t>, 2018</w:t>
      </w:r>
    </w:p>
    <w:p w14:paraId="4FEF315B" w14:textId="77777777" w:rsidR="00FA7269" w:rsidRPr="0048370E" w:rsidRDefault="00FA7269" w:rsidP="009E18D0">
      <w:pPr>
        <w:spacing w:after="0" w:line="480" w:lineRule="auto"/>
        <w:ind w:left="3600" w:firstLine="720"/>
        <w:jc w:val="both"/>
        <w:rPr>
          <w:rFonts w:ascii="Times New Roman" w:eastAsia="Calibri" w:hAnsi="Times New Roman" w:cs="Times New Roman"/>
          <w:sz w:val="24"/>
          <w:szCs w:val="24"/>
        </w:rPr>
      </w:pPr>
      <w:r w:rsidRPr="0048370E">
        <w:rPr>
          <w:rFonts w:ascii="Times New Roman" w:eastAsia="Calibri" w:hAnsi="Times New Roman" w:cs="Times New Roman"/>
          <w:sz w:val="24"/>
          <w:szCs w:val="24"/>
        </w:rPr>
        <w:t>Respectfully submitted,</w:t>
      </w:r>
    </w:p>
    <w:p w14:paraId="264546E7" w14:textId="77777777" w:rsidR="00FA7269" w:rsidRPr="0048370E" w:rsidRDefault="00FA7269" w:rsidP="00FA7269">
      <w:pPr>
        <w:spacing w:after="0" w:line="240" w:lineRule="auto"/>
        <w:ind w:left="3600" w:firstLine="720"/>
        <w:jc w:val="both"/>
        <w:rPr>
          <w:rFonts w:ascii="Times New Roman" w:eastAsia="Calibri" w:hAnsi="Times New Roman" w:cs="Times New Roman"/>
          <w:sz w:val="24"/>
          <w:szCs w:val="24"/>
        </w:rPr>
      </w:pPr>
    </w:p>
    <w:p w14:paraId="4ABDD366" w14:textId="77777777" w:rsidR="00121648" w:rsidRPr="0048370E" w:rsidRDefault="00121648" w:rsidP="00FA7269">
      <w:pPr>
        <w:spacing w:after="0" w:line="240" w:lineRule="auto"/>
        <w:ind w:left="3600" w:firstLine="720"/>
        <w:jc w:val="both"/>
        <w:rPr>
          <w:rFonts w:ascii="Times New Roman" w:eastAsia="Calibri" w:hAnsi="Times New Roman" w:cs="Times New Roman"/>
          <w:sz w:val="24"/>
          <w:szCs w:val="24"/>
        </w:rPr>
      </w:pPr>
    </w:p>
    <w:p w14:paraId="6F63D4D5" w14:textId="77777777" w:rsidR="00121648" w:rsidRPr="0048370E"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t>__________________________________</w:t>
      </w:r>
    </w:p>
    <w:p w14:paraId="63E8D4FB" w14:textId="77777777" w:rsidR="00121648" w:rsidRDefault="00121648" w:rsidP="00A923EF">
      <w:pPr>
        <w:spacing w:after="0" w:line="240" w:lineRule="auto"/>
        <w:ind w:firstLine="720"/>
        <w:outlineLvl w:val="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00476493">
        <w:rPr>
          <w:rFonts w:ascii="Times New Roman" w:eastAsia="Times New Roman" w:hAnsi="Times New Roman" w:cs="Times New Roman"/>
          <w:sz w:val="24"/>
          <w:szCs w:val="24"/>
        </w:rPr>
        <w:t>Michele Gregg</w:t>
      </w:r>
    </w:p>
    <w:p w14:paraId="763F86B5"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14:paraId="7E1FD2AC"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Competitive Power Advocates (TCPA)</w:t>
      </w:r>
    </w:p>
    <w:p w14:paraId="25E219AE"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 653-7447</w:t>
      </w:r>
    </w:p>
    <w:p w14:paraId="6DFFF22A" w14:textId="77777777"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sidRPr="005E7290">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14B4" w14:textId="77777777" w:rsidR="0023431A" w:rsidRDefault="0023431A" w:rsidP="00F75562">
      <w:pPr>
        <w:spacing w:after="0" w:line="240" w:lineRule="auto"/>
      </w:pPr>
      <w:r>
        <w:separator/>
      </w:r>
    </w:p>
  </w:endnote>
  <w:endnote w:type="continuationSeparator" w:id="0">
    <w:p w14:paraId="052C974E" w14:textId="77777777" w:rsidR="0023431A" w:rsidRDefault="0023431A"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14:paraId="082D1C7B" w14:textId="77777777" w:rsidR="00AA06B7" w:rsidRPr="00FA1FB8" w:rsidRDefault="00AA06B7">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Pr>
            <w:rFonts w:ascii="Times New Roman" w:hAnsi="Times New Roman" w:cs="Times New Roman"/>
            <w:noProof/>
            <w:sz w:val="24"/>
            <w:szCs w:val="24"/>
          </w:rPr>
          <w:t>2</w:t>
        </w:r>
        <w:r w:rsidRPr="00FA1FB8">
          <w:rPr>
            <w:rFonts w:ascii="Times New Roman" w:hAnsi="Times New Roman" w:cs="Times New Roman"/>
            <w:noProof/>
            <w:sz w:val="24"/>
            <w:szCs w:val="24"/>
          </w:rPr>
          <w:fldChar w:fldCharType="end"/>
        </w:r>
      </w:p>
    </w:sdtContent>
  </w:sdt>
  <w:p w14:paraId="45AA6187" w14:textId="77777777" w:rsidR="00AA06B7" w:rsidRPr="00DE4A1C" w:rsidRDefault="00AA06B7"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F0E3B" w14:textId="77777777" w:rsidR="0023431A" w:rsidRDefault="0023431A" w:rsidP="00F75562">
      <w:pPr>
        <w:spacing w:after="0" w:line="240" w:lineRule="auto"/>
      </w:pPr>
      <w:r>
        <w:separator/>
      </w:r>
    </w:p>
  </w:footnote>
  <w:footnote w:type="continuationSeparator" w:id="0">
    <w:p w14:paraId="4FE5FE84" w14:textId="77777777" w:rsidR="0023431A" w:rsidRDefault="0023431A" w:rsidP="00F75562">
      <w:pPr>
        <w:spacing w:after="0" w:line="240" w:lineRule="auto"/>
      </w:pPr>
      <w:r>
        <w:continuationSeparator/>
      </w:r>
    </w:p>
  </w:footnote>
  <w:footnote w:id="1">
    <w:p w14:paraId="139C3A4B" w14:textId="45D4DF50" w:rsidR="00AA06B7" w:rsidRPr="00710DB0" w:rsidRDefault="00AA06B7">
      <w:pPr>
        <w:pStyle w:val="FootnoteText"/>
        <w:rPr>
          <w:rFonts w:ascii="Times New Roman" w:hAnsi="Times New Roman" w:cs="Times New Roman"/>
        </w:rPr>
      </w:pPr>
      <w:r w:rsidRPr="00710DB0">
        <w:rPr>
          <w:rStyle w:val="FootnoteReference"/>
          <w:rFonts w:ascii="Times New Roman" w:hAnsi="Times New Roman" w:cs="Times New Roman"/>
        </w:rPr>
        <w:footnoteRef/>
      </w:r>
      <w:r>
        <w:t xml:space="preserve"> </w:t>
      </w:r>
      <w:r w:rsidRPr="00710DB0">
        <w:rPr>
          <w:rFonts w:ascii="Times New Roman" w:hAnsi="Times New Roman" w:cs="Times New Roman"/>
        </w:rPr>
        <w:t>PURA 39.051(b)</w:t>
      </w:r>
    </w:p>
  </w:footnote>
  <w:footnote w:id="2">
    <w:p w14:paraId="719EE4C3" w14:textId="1DF52DEA" w:rsidR="00AA06B7" w:rsidRPr="00710DB0" w:rsidRDefault="00AA06B7">
      <w:pPr>
        <w:pStyle w:val="FootnoteText"/>
        <w:rPr>
          <w:rFonts w:ascii="Times New Roman" w:hAnsi="Times New Roman" w:cs="Times New Roman"/>
        </w:rPr>
      </w:pPr>
      <w:r w:rsidRPr="00710DB0">
        <w:rPr>
          <w:rStyle w:val="FootnoteReference"/>
          <w:rFonts w:ascii="Times New Roman" w:hAnsi="Times New Roman" w:cs="Times New Roman"/>
        </w:rPr>
        <w:footnoteRef/>
      </w:r>
      <w:r w:rsidRPr="00710DB0">
        <w:rPr>
          <w:rFonts w:ascii="Times New Roman" w:hAnsi="Times New Roman" w:cs="Times New Roman"/>
        </w:rPr>
        <w:t xml:space="preserve"> PURA 31.002 (10)</w:t>
      </w:r>
    </w:p>
  </w:footnote>
  <w:footnote w:id="3">
    <w:p w14:paraId="7B200EF6" w14:textId="0FE2397C" w:rsidR="00AA06B7" w:rsidRPr="00710DB0" w:rsidRDefault="00AA06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PURA 31.002 (19)</w:t>
      </w:r>
    </w:p>
  </w:footnote>
  <w:footnote w:id="4">
    <w:p w14:paraId="294917A1" w14:textId="712AEACF" w:rsidR="00AA06B7" w:rsidRPr="00C53E29" w:rsidRDefault="00AA06B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PURA §39.105(a)</w:t>
      </w:r>
    </w:p>
  </w:footnote>
  <w:footnote w:id="5">
    <w:p w14:paraId="069A661E" w14:textId="398CEED5" w:rsidR="00AA06B7" w:rsidRDefault="00AA06B7">
      <w:pPr>
        <w:pStyle w:val="FootnoteText"/>
      </w:pPr>
      <w:r>
        <w:rPr>
          <w:rStyle w:val="FootnoteReference"/>
        </w:rPr>
        <w:footnoteRef/>
      </w:r>
      <w:r>
        <w:t xml:space="preserve"> </w:t>
      </w:r>
      <w:r>
        <w:rPr>
          <w:rFonts w:ascii="Times New Roman" w:hAnsi="Times New Roman" w:cs="Times New Roman"/>
        </w:rPr>
        <w:t>Docket No. 46368, Direct Testimony of Amanda J. Frazier, Luminant/TXU</w:t>
      </w:r>
      <w:r w:rsidR="00696FAA">
        <w:rPr>
          <w:rFonts w:ascii="Times New Roman" w:hAnsi="Times New Roman" w:cs="Times New Roman"/>
        </w:rPr>
        <w:t xml:space="preserve"> </w:t>
      </w:r>
      <w:r>
        <w:rPr>
          <w:rFonts w:ascii="Times New Roman" w:hAnsi="Times New Roman" w:cs="Times New Roman"/>
        </w:rPr>
        <w:t>E</w:t>
      </w:r>
      <w:r w:rsidR="00696FAA">
        <w:rPr>
          <w:rFonts w:ascii="Times New Roman" w:hAnsi="Times New Roman" w:cs="Times New Roman"/>
        </w:rPr>
        <w:t>nergy</w:t>
      </w:r>
      <w:r>
        <w:rPr>
          <w:rFonts w:ascii="Times New Roman" w:hAnsi="Times New Roman" w:cs="Times New Roman"/>
        </w:rPr>
        <w:t xml:space="preserve"> at 8:23-28.</w:t>
      </w:r>
    </w:p>
  </w:footnote>
  <w:footnote w:id="6">
    <w:p w14:paraId="1DB42123" w14:textId="78A7FA5E" w:rsidR="00AA06B7" w:rsidRPr="00DD1D1F" w:rsidRDefault="00AA06B7">
      <w:pPr>
        <w:pStyle w:val="FootnoteText"/>
        <w:rPr>
          <w:rFonts w:ascii="Times New Roman" w:hAnsi="Times New Roman" w:cs="Times New Roman"/>
        </w:rPr>
      </w:pPr>
      <w:r w:rsidRPr="00652641">
        <w:rPr>
          <w:rStyle w:val="FootnoteReference"/>
          <w:rFonts w:ascii="Times New Roman" w:hAnsi="Times New Roman" w:cs="Times New Roman"/>
        </w:rPr>
        <w:footnoteRef/>
      </w:r>
      <w:r w:rsidRPr="00652641">
        <w:rPr>
          <w:rFonts w:ascii="Times New Roman" w:hAnsi="Times New Roman" w:cs="Times New Roman"/>
        </w:rPr>
        <w:t xml:space="preserve"> Texas Competitive Power Advocates (TCPA) Comments on the Questions Regarding the Commission’s Review of Summer 2018 ERCOT Market Performance filed in PUC Project 48551 on October 18, 2018.</w:t>
      </w:r>
    </w:p>
  </w:footnote>
  <w:footnote w:id="7">
    <w:p w14:paraId="3BF413E7" w14:textId="4248AEDE" w:rsidR="00652641" w:rsidRPr="00652641" w:rsidRDefault="0065264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Docket No. 46368, Direct Testimony of Amanda J. Frazier, Luminant/TXU Energy at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3"/>
  </w:num>
  <w:num w:numId="5">
    <w:abstractNumId w:val="17"/>
  </w:num>
  <w:num w:numId="6">
    <w:abstractNumId w:val="12"/>
  </w:num>
  <w:num w:numId="7">
    <w:abstractNumId w:val="9"/>
  </w:num>
  <w:num w:numId="8">
    <w:abstractNumId w:val="1"/>
  </w:num>
  <w:num w:numId="9">
    <w:abstractNumId w:val="15"/>
  </w:num>
  <w:num w:numId="10">
    <w:abstractNumId w:val="15"/>
    <w:lvlOverride w:ilvl="0">
      <w:startOverride w:val="9"/>
    </w:lvlOverride>
  </w:num>
  <w:num w:numId="11">
    <w:abstractNumId w:val="8"/>
  </w:num>
  <w:num w:numId="12">
    <w:abstractNumId w:val="15"/>
  </w:num>
  <w:num w:numId="13">
    <w:abstractNumId w:val="5"/>
  </w:num>
  <w:num w:numId="14">
    <w:abstractNumId w:val="4"/>
  </w:num>
  <w:num w:numId="15">
    <w:abstractNumId w:val="10"/>
  </w:num>
  <w:num w:numId="16">
    <w:abstractNumId w:val="6"/>
  </w:num>
  <w:num w:numId="17">
    <w:abstractNumId w:val="7"/>
  </w:num>
  <w:num w:numId="18">
    <w:abstractNumId w:va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A"/>
    <w:rsid w:val="00010075"/>
    <w:rsid w:val="00014944"/>
    <w:rsid w:val="0002240E"/>
    <w:rsid w:val="000307CD"/>
    <w:rsid w:val="00031251"/>
    <w:rsid w:val="0003371E"/>
    <w:rsid w:val="0003477C"/>
    <w:rsid w:val="00036921"/>
    <w:rsid w:val="00042EF0"/>
    <w:rsid w:val="00045229"/>
    <w:rsid w:val="00046768"/>
    <w:rsid w:val="00054347"/>
    <w:rsid w:val="000571E2"/>
    <w:rsid w:val="000607FF"/>
    <w:rsid w:val="00061659"/>
    <w:rsid w:val="0006748C"/>
    <w:rsid w:val="0006777B"/>
    <w:rsid w:val="00071F62"/>
    <w:rsid w:val="000732E0"/>
    <w:rsid w:val="00075B12"/>
    <w:rsid w:val="000955AD"/>
    <w:rsid w:val="00096E26"/>
    <w:rsid w:val="00097506"/>
    <w:rsid w:val="00097689"/>
    <w:rsid w:val="000A0F6F"/>
    <w:rsid w:val="000A37D9"/>
    <w:rsid w:val="000A5731"/>
    <w:rsid w:val="000A79B5"/>
    <w:rsid w:val="000B51B5"/>
    <w:rsid w:val="000B5DE9"/>
    <w:rsid w:val="000C0D48"/>
    <w:rsid w:val="000C36D3"/>
    <w:rsid w:val="000C3B7E"/>
    <w:rsid w:val="000C5978"/>
    <w:rsid w:val="000D06A7"/>
    <w:rsid w:val="000D21B1"/>
    <w:rsid w:val="000E0524"/>
    <w:rsid w:val="000E2B2D"/>
    <w:rsid w:val="000E7B5F"/>
    <w:rsid w:val="000F46BC"/>
    <w:rsid w:val="00103F50"/>
    <w:rsid w:val="001105F6"/>
    <w:rsid w:val="00121648"/>
    <w:rsid w:val="00123CBB"/>
    <w:rsid w:val="0012447A"/>
    <w:rsid w:val="001304BD"/>
    <w:rsid w:val="00137E19"/>
    <w:rsid w:val="00154015"/>
    <w:rsid w:val="001572FC"/>
    <w:rsid w:val="001578F3"/>
    <w:rsid w:val="001628CB"/>
    <w:rsid w:val="00163B6B"/>
    <w:rsid w:val="00166969"/>
    <w:rsid w:val="00167A82"/>
    <w:rsid w:val="00170117"/>
    <w:rsid w:val="001702F0"/>
    <w:rsid w:val="0018490A"/>
    <w:rsid w:val="00190776"/>
    <w:rsid w:val="00192C6E"/>
    <w:rsid w:val="00192CC8"/>
    <w:rsid w:val="001935D1"/>
    <w:rsid w:val="00193720"/>
    <w:rsid w:val="001938E2"/>
    <w:rsid w:val="00194B40"/>
    <w:rsid w:val="00195B5A"/>
    <w:rsid w:val="001962FF"/>
    <w:rsid w:val="001D07D6"/>
    <w:rsid w:val="001D4FA4"/>
    <w:rsid w:val="001D6158"/>
    <w:rsid w:val="001E0E5C"/>
    <w:rsid w:val="001E2AAB"/>
    <w:rsid w:val="001F40DA"/>
    <w:rsid w:val="001F4BDD"/>
    <w:rsid w:val="001F4EBD"/>
    <w:rsid w:val="001F5AEB"/>
    <w:rsid w:val="00200305"/>
    <w:rsid w:val="0020067B"/>
    <w:rsid w:val="00205243"/>
    <w:rsid w:val="00205D0C"/>
    <w:rsid w:val="002067AC"/>
    <w:rsid w:val="00207B19"/>
    <w:rsid w:val="00213D64"/>
    <w:rsid w:val="00216C26"/>
    <w:rsid w:val="00227A7D"/>
    <w:rsid w:val="00232B97"/>
    <w:rsid w:val="0023431A"/>
    <w:rsid w:val="00242FD3"/>
    <w:rsid w:val="002512D8"/>
    <w:rsid w:val="00251B7C"/>
    <w:rsid w:val="00252014"/>
    <w:rsid w:val="00253B79"/>
    <w:rsid w:val="00255E09"/>
    <w:rsid w:val="0026067E"/>
    <w:rsid w:val="00261180"/>
    <w:rsid w:val="00262B70"/>
    <w:rsid w:val="00266E3F"/>
    <w:rsid w:val="00273648"/>
    <w:rsid w:val="00273E67"/>
    <w:rsid w:val="00274379"/>
    <w:rsid w:val="0027450E"/>
    <w:rsid w:val="002745DE"/>
    <w:rsid w:val="00287E68"/>
    <w:rsid w:val="00291D2C"/>
    <w:rsid w:val="00294D9C"/>
    <w:rsid w:val="002A1981"/>
    <w:rsid w:val="002A4D83"/>
    <w:rsid w:val="002A614C"/>
    <w:rsid w:val="002B3775"/>
    <w:rsid w:val="002B5E28"/>
    <w:rsid w:val="002B7F45"/>
    <w:rsid w:val="002C12ED"/>
    <w:rsid w:val="002C1DCB"/>
    <w:rsid w:val="002C3B37"/>
    <w:rsid w:val="002C3FDB"/>
    <w:rsid w:val="002C5749"/>
    <w:rsid w:val="002C74F9"/>
    <w:rsid w:val="002D474F"/>
    <w:rsid w:val="002D47C2"/>
    <w:rsid w:val="002D5EF1"/>
    <w:rsid w:val="002D7408"/>
    <w:rsid w:val="002D7A15"/>
    <w:rsid w:val="002E06D4"/>
    <w:rsid w:val="002E6058"/>
    <w:rsid w:val="002F3373"/>
    <w:rsid w:val="003000FA"/>
    <w:rsid w:val="00302EA6"/>
    <w:rsid w:val="003045BD"/>
    <w:rsid w:val="00310577"/>
    <w:rsid w:val="003168C1"/>
    <w:rsid w:val="00322636"/>
    <w:rsid w:val="003271A1"/>
    <w:rsid w:val="0033473A"/>
    <w:rsid w:val="00334F49"/>
    <w:rsid w:val="00337FAE"/>
    <w:rsid w:val="00341CCF"/>
    <w:rsid w:val="00342F37"/>
    <w:rsid w:val="003436BD"/>
    <w:rsid w:val="0034686C"/>
    <w:rsid w:val="003505C9"/>
    <w:rsid w:val="00351721"/>
    <w:rsid w:val="003518D2"/>
    <w:rsid w:val="00351DD7"/>
    <w:rsid w:val="0035291C"/>
    <w:rsid w:val="00357097"/>
    <w:rsid w:val="00360BC4"/>
    <w:rsid w:val="00367BF2"/>
    <w:rsid w:val="0037172E"/>
    <w:rsid w:val="00375AF6"/>
    <w:rsid w:val="00386473"/>
    <w:rsid w:val="00386622"/>
    <w:rsid w:val="00393354"/>
    <w:rsid w:val="003946A4"/>
    <w:rsid w:val="003A2492"/>
    <w:rsid w:val="003A2A12"/>
    <w:rsid w:val="003A384B"/>
    <w:rsid w:val="003B73E3"/>
    <w:rsid w:val="003C0381"/>
    <w:rsid w:val="003C32F3"/>
    <w:rsid w:val="003C37A3"/>
    <w:rsid w:val="003C7AF6"/>
    <w:rsid w:val="003D7037"/>
    <w:rsid w:val="003D71A1"/>
    <w:rsid w:val="003D72B3"/>
    <w:rsid w:val="003D7DB6"/>
    <w:rsid w:val="003E0E39"/>
    <w:rsid w:val="003E15AD"/>
    <w:rsid w:val="003E24DE"/>
    <w:rsid w:val="003E3484"/>
    <w:rsid w:val="003E6C93"/>
    <w:rsid w:val="003E7AC6"/>
    <w:rsid w:val="003E7BF5"/>
    <w:rsid w:val="003F1018"/>
    <w:rsid w:val="003F3017"/>
    <w:rsid w:val="003F4465"/>
    <w:rsid w:val="00401872"/>
    <w:rsid w:val="00402512"/>
    <w:rsid w:val="00403061"/>
    <w:rsid w:val="004112F6"/>
    <w:rsid w:val="00416537"/>
    <w:rsid w:val="004202E4"/>
    <w:rsid w:val="00420657"/>
    <w:rsid w:val="00421971"/>
    <w:rsid w:val="00422B62"/>
    <w:rsid w:val="00422FFD"/>
    <w:rsid w:val="00442514"/>
    <w:rsid w:val="00442CD2"/>
    <w:rsid w:val="004453EB"/>
    <w:rsid w:val="00453DFA"/>
    <w:rsid w:val="00456605"/>
    <w:rsid w:val="00456B28"/>
    <w:rsid w:val="00460964"/>
    <w:rsid w:val="004659AC"/>
    <w:rsid w:val="004736E9"/>
    <w:rsid w:val="00476493"/>
    <w:rsid w:val="00480DCE"/>
    <w:rsid w:val="00481573"/>
    <w:rsid w:val="0048370E"/>
    <w:rsid w:val="0048570C"/>
    <w:rsid w:val="00486B34"/>
    <w:rsid w:val="0049069F"/>
    <w:rsid w:val="004944DB"/>
    <w:rsid w:val="0049726E"/>
    <w:rsid w:val="004A48CE"/>
    <w:rsid w:val="004A6051"/>
    <w:rsid w:val="004A6B7E"/>
    <w:rsid w:val="004B005F"/>
    <w:rsid w:val="004B05C4"/>
    <w:rsid w:val="004B15F8"/>
    <w:rsid w:val="004B3900"/>
    <w:rsid w:val="004B4D3C"/>
    <w:rsid w:val="004B63FA"/>
    <w:rsid w:val="004C28BC"/>
    <w:rsid w:val="004C4619"/>
    <w:rsid w:val="004D1B6D"/>
    <w:rsid w:val="004D545E"/>
    <w:rsid w:val="004D69B9"/>
    <w:rsid w:val="004E4800"/>
    <w:rsid w:val="004E67C6"/>
    <w:rsid w:val="004E73ED"/>
    <w:rsid w:val="004F06DF"/>
    <w:rsid w:val="004F458F"/>
    <w:rsid w:val="004F7A4B"/>
    <w:rsid w:val="0050125D"/>
    <w:rsid w:val="00501EDE"/>
    <w:rsid w:val="00507614"/>
    <w:rsid w:val="00512CAA"/>
    <w:rsid w:val="005138FF"/>
    <w:rsid w:val="00516B2C"/>
    <w:rsid w:val="00523240"/>
    <w:rsid w:val="00523920"/>
    <w:rsid w:val="0053147F"/>
    <w:rsid w:val="0053303B"/>
    <w:rsid w:val="00533362"/>
    <w:rsid w:val="0053412A"/>
    <w:rsid w:val="0053445C"/>
    <w:rsid w:val="00534C97"/>
    <w:rsid w:val="005350ED"/>
    <w:rsid w:val="005351A0"/>
    <w:rsid w:val="00535AFB"/>
    <w:rsid w:val="0054069F"/>
    <w:rsid w:val="00543962"/>
    <w:rsid w:val="00543EF0"/>
    <w:rsid w:val="0054482C"/>
    <w:rsid w:val="00550B6E"/>
    <w:rsid w:val="00554BCF"/>
    <w:rsid w:val="00563AB2"/>
    <w:rsid w:val="00563D57"/>
    <w:rsid w:val="005726D7"/>
    <w:rsid w:val="0057376B"/>
    <w:rsid w:val="0057664E"/>
    <w:rsid w:val="00577402"/>
    <w:rsid w:val="00577953"/>
    <w:rsid w:val="00580056"/>
    <w:rsid w:val="005810FF"/>
    <w:rsid w:val="0058232C"/>
    <w:rsid w:val="005837D7"/>
    <w:rsid w:val="00583852"/>
    <w:rsid w:val="00585B1C"/>
    <w:rsid w:val="0059488D"/>
    <w:rsid w:val="005A06B8"/>
    <w:rsid w:val="005A0BFF"/>
    <w:rsid w:val="005A3128"/>
    <w:rsid w:val="005A4476"/>
    <w:rsid w:val="005A590A"/>
    <w:rsid w:val="005A7447"/>
    <w:rsid w:val="005B4EF8"/>
    <w:rsid w:val="005B7F26"/>
    <w:rsid w:val="005C0660"/>
    <w:rsid w:val="005C5B1D"/>
    <w:rsid w:val="005C6ED9"/>
    <w:rsid w:val="005C7A60"/>
    <w:rsid w:val="005D2045"/>
    <w:rsid w:val="005D5BF5"/>
    <w:rsid w:val="005D6220"/>
    <w:rsid w:val="005D6D79"/>
    <w:rsid w:val="005E3915"/>
    <w:rsid w:val="005E3DA5"/>
    <w:rsid w:val="005E4ABB"/>
    <w:rsid w:val="005E7C8B"/>
    <w:rsid w:val="005F2475"/>
    <w:rsid w:val="005F3E8A"/>
    <w:rsid w:val="005F4A22"/>
    <w:rsid w:val="005F4EF4"/>
    <w:rsid w:val="005F7E12"/>
    <w:rsid w:val="00601243"/>
    <w:rsid w:val="00601D3C"/>
    <w:rsid w:val="006023FA"/>
    <w:rsid w:val="006036B6"/>
    <w:rsid w:val="0060436A"/>
    <w:rsid w:val="006051C0"/>
    <w:rsid w:val="00615790"/>
    <w:rsid w:val="00616BA6"/>
    <w:rsid w:val="00621084"/>
    <w:rsid w:val="00625386"/>
    <w:rsid w:val="00630B3E"/>
    <w:rsid w:val="0063287F"/>
    <w:rsid w:val="00634846"/>
    <w:rsid w:val="00642F78"/>
    <w:rsid w:val="00643A83"/>
    <w:rsid w:val="00644382"/>
    <w:rsid w:val="00647A5D"/>
    <w:rsid w:val="00652641"/>
    <w:rsid w:val="00653171"/>
    <w:rsid w:val="006631FD"/>
    <w:rsid w:val="00665A5E"/>
    <w:rsid w:val="00673E53"/>
    <w:rsid w:val="00676E78"/>
    <w:rsid w:val="006806D1"/>
    <w:rsid w:val="0068212D"/>
    <w:rsid w:val="00682353"/>
    <w:rsid w:val="00684555"/>
    <w:rsid w:val="006865B5"/>
    <w:rsid w:val="00691BC3"/>
    <w:rsid w:val="0069392E"/>
    <w:rsid w:val="006963EB"/>
    <w:rsid w:val="00696FAA"/>
    <w:rsid w:val="006A69E1"/>
    <w:rsid w:val="006B0E5A"/>
    <w:rsid w:val="006B4FB1"/>
    <w:rsid w:val="006C1654"/>
    <w:rsid w:val="006C6A40"/>
    <w:rsid w:val="006C7B8C"/>
    <w:rsid w:val="006D337D"/>
    <w:rsid w:val="006D4C81"/>
    <w:rsid w:val="006D687A"/>
    <w:rsid w:val="006E16AD"/>
    <w:rsid w:val="006E1D14"/>
    <w:rsid w:val="006E346F"/>
    <w:rsid w:val="006E43F5"/>
    <w:rsid w:val="006E55AF"/>
    <w:rsid w:val="006F189D"/>
    <w:rsid w:val="006F20D6"/>
    <w:rsid w:val="006F2AE8"/>
    <w:rsid w:val="006F42C9"/>
    <w:rsid w:val="006F4967"/>
    <w:rsid w:val="007015A7"/>
    <w:rsid w:val="00702CAC"/>
    <w:rsid w:val="00704061"/>
    <w:rsid w:val="00707AF0"/>
    <w:rsid w:val="0071048C"/>
    <w:rsid w:val="00710DB0"/>
    <w:rsid w:val="0071256C"/>
    <w:rsid w:val="00720517"/>
    <w:rsid w:val="00720814"/>
    <w:rsid w:val="00726973"/>
    <w:rsid w:val="007275B4"/>
    <w:rsid w:val="00727686"/>
    <w:rsid w:val="00731027"/>
    <w:rsid w:val="00743CA6"/>
    <w:rsid w:val="007518FE"/>
    <w:rsid w:val="0076364F"/>
    <w:rsid w:val="0077413E"/>
    <w:rsid w:val="00776784"/>
    <w:rsid w:val="00783E5C"/>
    <w:rsid w:val="007855A7"/>
    <w:rsid w:val="00793A0E"/>
    <w:rsid w:val="00793FA7"/>
    <w:rsid w:val="00794CDC"/>
    <w:rsid w:val="00797C3B"/>
    <w:rsid w:val="007A05F6"/>
    <w:rsid w:val="007A069A"/>
    <w:rsid w:val="007A3AE4"/>
    <w:rsid w:val="007A51B5"/>
    <w:rsid w:val="007A65EB"/>
    <w:rsid w:val="007A7F89"/>
    <w:rsid w:val="007B09F9"/>
    <w:rsid w:val="007B59D1"/>
    <w:rsid w:val="007B5A31"/>
    <w:rsid w:val="007B5B7E"/>
    <w:rsid w:val="007B74F7"/>
    <w:rsid w:val="007C45C7"/>
    <w:rsid w:val="007D0A8E"/>
    <w:rsid w:val="007D315C"/>
    <w:rsid w:val="007D68CE"/>
    <w:rsid w:val="007E475B"/>
    <w:rsid w:val="007E64D4"/>
    <w:rsid w:val="007F1B6D"/>
    <w:rsid w:val="007F6352"/>
    <w:rsid w:val="007F68E4"/>
    <w:rsid w:val="00801380"/>
    <w:rsid w:val="0080470A"/>
    <w:rsid w:val="00810997"/>
    <w:rsid w:val="00811303"/>
    <w:rsid w:val="00812A5E"/>
    <w:rsid w:val="008130DD"/>
    <w:rsid w:val="00813C18"/>
    <w:rsid w:val="00814F19"/>
    <w:rsid w:val="008152B7"/>
    <w:rsid w:val="00821BB7"/>
    <w:rsid w:val="008228CD"/>
    <w:rsid w:val="00827ED4"/>
    <w:rsid w:val="00831625"/>
    <w:rsid w:val="00834006"/>
    <w:rsid w:val="008361EF"/>
    <w:rsid w:val="008429DC"/>
    <w:rsid w:val="00843778"/>
    <w:rsid w:val="008478E0"/>
    <w:rsid w:val="00854E6C"/>
    <w:rsid w:val="008567E0"/>
    <w:rsid w:val="00857D57"/>
    <w:rsid w:val="008614FE"/>
    <w:rsid w:val="00864A38"/>
    <w:rsid w:val="00867684"/>
    <w:rsid w:val="00870F2B"/>
    <w:rsid w:val="008715FB"/>
    <w:rsid w:val="00874B17"/>
    <w:rsid w:val="00874DCA"/>
    <w:rsid w:val="00877424"/>
    <w:rsid w:val="008916F0"/>
    <w:rsid w:val="00891DFE"/>
    <w:rsid w:val="00892B9E"/>
    <w:rsid w:val="00895D51"/>
    <w:rsid w:val="008A06EE"/>
    <w:rsid w:val="008A28EC"/>
    <w:rsid w:val="008B2C47"/>
    <w:rsid w:val="008C278E"/>
    <w:rsid w:val="008C3D7D"/>
    <w:rsid w:val="008C47C3"/>
    <w:rsid w:val="008D2297"/>
    <w:rsid w:val="008D38FE"/>
    <w:rsid w:val="008D3FCD"/>
    <w:rsid w:val="008D6CF1"/>
    <w:rsid w:val="008E58EF"/>
    <w:rsid w:val="008F05D3"/>
    <w:rsid w:val="008F11D2"/>
    <w:rsid w:val="008F4528"/>
    <w:rsid w:val="008F471B"/>
    <w:rsid w:val="008F5947"/>
    <w:rsid w:val="008F72C1"/>
    <w:rsid w:val="00900FB7"/>
    <w:rsid w:val="009040B4"/>
    <w:rsid w:val="00906CBB"/>
    <w:rsid w:val="0090787E"/>
    <w:rsid w:val="00910C19"/>
    <w:rsid w:val="00911E21"/>
    <w:rsid w:val="00915628"/>
    <w:rsid w:val="009160B1"/>
    <w:rsid w:val="00916206"/>
    <w:rsid w:val="0091767B"/>
    <w:rsid w:val="00920A4E"/>
    <w:rsid w:val="0092368C"/>
    <w:rsid w:val="0092379C"/>
    <w:rsid w:val="0093425C"/>
    <w:rsid w:val="00934977"/>
    <w:rsid w:val="00941960"/>
    <w:rsid w:val="009537D0"/>
    <w:rsid w:val="0095655C"/>
    <w:rsid w:val="009606AB"/>
    <w:rsid w:val="00961D8F"/>
    <w:rsid w:val="00962E4F"/>
    <w:rsid w:val="0096334C"/>
    <w:rsid w:val="00965CAF"/>
    <w:rsid w:val="00971A1F"/>
    <w:rsid w:val="00974886"/>
    <w:rsid w:val="00976844"/>
    <w:rsid w:val="00983F69"/>
    <w:rsid w:val="00985D40"/>
    <w:rsid w:val="0098614D"/>
    <w:rsid w:val="009979A1"/>
    <w:rsid w:val="009A2315"/>
    <w:rsid w:val="009A27EB"/>
    <w:rsid w:val="009A39DF"/>
    <w:rsid w:val="009A44C3"/>
    <w:rsid w:val="009A50F2"/>
    <w:rsid w:val="009A7140"/>
    <w:rsid w:val="009B571F"/>
    <w:rsid w:val="009C5F54"/>
    <w:rsid w:val="009C7640"/>
    <w:rsid w:val="009C7B1E"/>
    <w:rsid w:val="009D303C"/>
    <w:rsid w:val="009D6C12"/>
    <w:rsid w:val="009E014E"/>
    <w:rsid w:val="009E18D0"/>
    <w:rsid w:val="009E4220"/>
    <w:rsid w:val="009E569C"/>
    <w:rsid w:val="009F1AC8"/>
    <w:rsid w:val="009F63CA"/>
    <w:rsid w:val="009F68AF"/>
    <w:rsid w:val="00A02864"/>
    <w:rsid w:val="00A04721"/>
    <w:rsid w:val="00A05E85"/>
    <w:rsid w:val="00A0782E"/>
    <w:rsid w:val="00A11D6F"/>
    <w:rsid w:val="00A166A1"/>
    <w:rsid w:val="00A21A90"/>
    <w:rsid w:val="00A24866"/>
    <w:rsid w:val="00A26DE3"/>
    <w:rsid w:val="00A274ED"/>
    <w:rsid w:val="00A31A3A"/>
    <w:rsid w:val="00A31D2E"/>
    <w:rsid w:val="00A36DF0"/>
    <w:rsid w:val="00A46914"/>
    <w:rsid w:val="00A50CD8"/>
    <w:rsid w:val="00A5116B"/>
    <w:rsid w:val="00A5433F"/>
    <w:rsid w:val="00A55A34"/>
    <w:rsid w:val="00A56D0B"/>
    <w:rsid w:val="00A5720F"/>
    <w:rsid w:val="00A5764B"/>
    <w:rsid w:val="00A57F29"/>
    <w:rsid w:val="00A64EFD"/>
    <w:rsid w:val="00A6592C"/>
    <w:rsid w:val="00A66D55"/>
    <w:rsid w:val="00A711BD"/>
    <w:rsid w:val="00A7326E"/>
    <w:rsid w:val="00A7479A"/>
    <w:rsid w:val="00A76AAC"/>
    <w:rsid w:val="00A82564"/>
    <w:rsid w:val="00A867B1"/>
    <w:rsid w:val="00A8730B"/>
    <w:rsid w:val="00A87B1A"/>
    <w:rsid w:val="00A910DC"/>
    <w:rsid w:val="00A91A13"/>
    <w:rsid w:val="00A91B01"/>
    <w:rsid w:val="00A923EF"/>
    <w:rsid w:val="00A92660"/>
    <w:rsid w:val="00A934BB"/>
    <w:rsid w:val="00A96898"/>
    <w:rsid w:val="00A96E53"/>
    <w:rsid w:val="00AA06B7"/>
    <w:rsid w:val="00AA1201"/>
    <w:rsid w:val="00AA21DA"/>
    <w:rsid w:val="00AA61DE"/>
    <w:rsid w:val="00AA719C"/>
    <w:rsid w:val="00AB14A5"/>
    <w:rsid w:val="00AB40AF"/>
    <w:rsid w:val="00AB549D"/>
    <w:rsid w:val="00AC49A9"/>
    <w:rsid w:val="00AC5141"/>
    <w:rsid w:val="00AD1628"/>
    <w:rsid w:val="00AD3527"/>
    <w:rsid w:val="00AD43D1"/>
    <w:rsid w:val="00AD7AD3"/>
    <w:rsid w:val="00AD7E75"/>
    <w:rsid w:val="00AE3021"/>
    <w:rsid w:val="00AE4AE7"/>
    <w:rsid w:val="00AF0DBB"/>
    <w:rsid w:val="00AF7F6F"/>
    <w:rsid w:val="00B038D0"/>
    <w:rsid w:val="00B04561"/>
    <w:rsid w:val="00B05E4B"/>
    <w:rsid w:val="00B12DCF"/>
    <w:rsid w:val="00B16421"/>
    <w:rsid w:val="00B21A2A"/>
    <w:rsid w:val="00B2318C"/>
    <w:rsid w:val="00B31EF6"/>
    <w:rsid w:val="00B34687"/>
    <w:rsid w:val="00B34F7E"/>
    <w:rsid w:val="00B40FE0"/>
    <w:rsid w:val="00B47E43"/>
    <w:rsid w:val="00B50566"/>
    <w:rsid w:val="00B514D3"/>
    <w:rsid w:val="00B526DE"/>
    <w:rsid w:val="00B552A5"/>
    <w:rsid w:val="00B62AC8"/>
    <w:rsid w:val="00B6309A"/>
    <w:rsid w:val="00B71B3C"/>
    <w:rsid w:val="00B72B5D"/>
    <w:rsid w:val="00B75B5C"/>
    <w:rsid w:val="00B87F52"/>
    <w:rsid w:val="00B91293"/>
    <w:rsid w:val="00B9225D"/>
    <w:rsid w:val="00B958AF"/>
    <w:rsid w:val="00BA2304"/>
    <w:rsid w:val="00BA7433"/>
    <w:rsid w:val="00BB6335"/>
    <w:rsid w:val="00BC51FC"/>
    <w:rsid w:val="00BE4090"/>
    <w:rsid w:val="00BF7557"/>
    <w:rsid w:val="00BF7E67"/>
    <w:rsid w:val="00C0255A"/>
    <w:rsid w:val="00C03ED5"/>
    <w:rsid w:val="00C0423A"/>
    <w:rsid w:val="00C04743"/>
    <w:rsid w:val="00C117AB"/>
    <w:rsid w:val="00C12459"/>
    <w:rsid w:val="00C1362F"/>
    <w:rsid w:val="00C16EC2"/>
    <w:rsid w:val="00C214B9"/>
    <w:rsid w:val="00C217B2"/>
    <w:rsid w:val="00C32FD5"/>
    <w:rsid w:val="00C46392"/>
    <w:rsid w:val="00C46A33"/>
    <w:rsid w:val="00C5129B"/>
    <w:rsid w:val="00C53E29"/>
    <w:rsid w:val="00C63075"/>
    <w:rsid w:val="00C63668"/>
    <w:rsid w:val="00C63965"/>
    <w:rsid w:val="00C657D5"/>
    <w:rsid w:val="00C67E19"/>
    <w:rsid w:val="00C7246E"/>
    <w:rsid w:val="00C83641"/>
    <w:rsid w:val="00C83B4F"/>
    <w:rsid w:val="00C83FF3"/>
    <w:rsid w:val="00C87E04"/>
    <w:rsid w:val="00C87E4D"/>
    <w:rsid w:val="00C90CEF"/>
    <w:rsid w:val="00C9107F"/>
    <w:rsid w:val="00C92B10"/>
    <w:rsid w:val="00C94D91"/>
    <w:rsid w:val="00CA15E4"/>
    <w:rsid w:val="00CA1AB6"/>
    <w:rsid w:val="00CA4762"/>
    <w:rsid w:val="00CA739D"/>
    <w:rsid w:val="00CA7A66"/>
    <w:rsid w:val="00CB16B5"/>
    <w:rsid w:val="00CB370B"/>
    <w:rsid w:val="00CB5475"/>
    <w:rsid w:val="00CC160D"/>
    <w:rsid w:val="00CC4016"/>
    <w:rsid w:val="00CC4081"/>
    <w:rsid w:val="00CC525B"/>
    <w:rsid w:val="00CC7C6E"/>
    <w:rsid w:val="00CD0118"/>
    <w:rsid w:val="00CD5002"/>
    <w:rsid w:val="00CD62CC"/>
    <w:rsid w:val="00CE359C"/>
    <w:rsid w:val="00CE4896"/>
    <w:rsid w:val="00CE4FE6"/>
    <w:rsid w:val="00CE5233"/>
    <w:rsid w:val="00CE5D61"/>
    <w:rsid w:val="00CE7736"/>
    <w:rsid w:val="00CF29B5"/>
    <w:rsid w:val="00CF3239"/>
    <w:rsid w:val="00CF4743"/>
    <w:rsid w:val="00CF55FF"/>
    <w:rsid w:val="00D01054"/>
    <w:rsid w:val="00D016A0"/>
    <w:rsid w:val="00D04111"/>
    <w:rsid w:val="00D06B51"/>
    <w:rsid w:val="00D07317"/>
    <w:rsid w:val="00D1211C"/>
    <w:rsid w:val="00D12AB9"/>
    <w:rsid w:val="00D15E3F"/>
    <w:rsid w:val="00D16364"/>
    <w:rsid w:val="00D2140B"/>
    <w:rsid w:val="00D22634"/>
    <w:rsid w:val="00D23516"/>
    <w:rsid w:val="00D246CD"/>
    <w:rsid w:val="00D3197F"/>
    <w:rsid w:val="00D32ED6"/>
    <w:rsid w:val="00D34D27"/>
    <w:rsid w:val="00D43326"/>
    <w:rsid w:val="00D43756"/>
    <w:rsid w:val="00D444EE"/>
    <w:rsid w:val="00D44601"/>
    <w:rsid w:val="00D47A7D"/>
    <w:rsid w:val="00D517AE"/>
    <w:rsid w:val="00D53B62"/>
    <w:rsid w:val="00D55B68"/>
    <w:rsid w:val="00D62913"/>
    <w:rsid w:val="00D65371"/>
    <w:rsid w:val="00D6576E"/>
    <w:rsid w:val="00D72990"/>
    <w:rsid w:val="00D76C64"/>
    <w:rsid w:val="00D772B0"/>
    <w:rsid w:val="00D82789"/>
    <w:rsid w:val="00D850DA"/>
    <w:rsid w:val="00D87348"/>
    <w:rsid w:val="00D8782E"/>
    <w:rsid w:val="00D90BC0"/>
    <w:rsid w:val="00D90F66"/>
    <w:rsid w:val="00D926AA"/>
    <w:rsid w:val="00D952B5"/>
    <w:rsid w:val="00D977E6"/>
    <w:rsid w:val="00DA407F"/>
    <w:rsid w:val="00DA49BD"/>
    <w:rsid w:val="00DB26C5"/>
    <w:rsid w:val="00DB3ED7"/>
    <w:rsid w:val="00DB4446"/>
    <w:rsid w:val="00DB646F"/>
    <w:rsid w:val="00DC1770"/>
    <w:rsid w:val="00DC2AF1"/>
    <w:rsid w:val="00DC320E"/>
    <w:rsid w:val="00DC6A09"/>
    <w:rsid w:val="00DC6AF3"/>
    <w:rsid w:val="00DD1D1F"/>
    <w:rsid w:val="00DD3CB5"/>
    <w:rsid w:val="00DD6D86"/>
    <w:rsid w:val="00DD76AD"/>
    <w:rsid w:val="00DE024B"/>
    <w:rsid w:val="00DE1BA1"/>
    <w:rsid w:val="00DE2AE9"/>
    <w:rsid w:val="00DE4A1C"/>
    <w:rsid w:val="00DE6557"/>
    <w:rsid w:val="00DF0C8A"/>
    <w:rsid w:val="00DF4F4F"/>
    <w:rsid w:val="00DF5FEB"/>
    <w:rsid w:val="00E02E67"/>
    <w:rsid w:val="00E03753"/>
    <w:rsid w:val="00E0417F"/>
    <w:rsid w:val="00E10373"/>
    <w:rsid w:val="00E1269C"/>
    <w:rsid w:val="00E13A27"/>
    <w:rsid w:val="00E15263"/>
    <w:rsid w:val="00E15AE7"/>
    <w:rsid w:val="00E20D63"/>
    <w:rsid w:val="00E210A1"/>
    <w:rsid w:val="00E226F9"/>
    <w:rsid w:val="00E231E5"/>
    <w:rsid w:val="00E30238"/>
    <w:rsid w:val="00E3512B"/>
    <w:rsid w:val="00E4329C"/>
    <w:rsid w:val="00E455E7"/>
    <w:rsid w:val="00E50D0A"/>
    <w:rsid w:val="00E56096"/>
    <w:rsid w:val="00E57DF1"/>
    <w:rsid w:val="00E60C0F"/>
    <w:rsid w:val="00E60F84"/>
    <w:rsid w:val="00E64DF8"/>
    <w:rsid w:val="00E6664D"/>
    <w:rsid w:val="00E72046"/>
    <w:rsid w:val="00E842E7"/>
    <w:rsid w:val="00E873F4"/>
    <w:rsid w:val="00E90EC7"/>
    <w:rsid w:val="00E90FA6"/>
    <w:rsid w:val="00E92A4C"/>
    <w:rsid w:val="00E95FD3"/>
    <w:rsid w:val="00EB3CD8"/>
    <w:rsid w:val="00EB480C"/>
    <w:rsid w:val="00EB63C1"/>
    <w:rsid w:val="00EB7F72"/>
    <w:rsid w:val="00EC1A00"/>
    <w:rsid w:val="00EC2147"/>
    <w:rsid w:val="00EC3B68"/>
    <w:rsid w:val="00EC5AEF"/>
    <w:rsid w:val="00ED0C77"/>
    <w:rsid w:val="00ED1662"/>
    <w:rsid w:val="00ED3241"/>
    <w:rsid w:val="00ED5769"/>
    <w:rsid w:val="00EE4124"/>
    <w:rsid w:val="00EF4CA6"/>
    <w:rsid w:val="00F01803"/>
    <w:rsid w:val="00F07C65"/>
    <w:rsid w:val="00F12100"/>
    <w:rsid w:val="00F14E9B"/>
    <w:rsid w:val="00F169EC"/>
    <w:rsid w:val="00F312C6"/>
    <w:rsid w:val="00F32A01"/>
    <w:rsid w:val="00F34A7E"/>
    <w:rsid w:val="00F42998"/>
    <w:rsid w:val="00F4663B"/>
    <w:rsid w:val="00F50D4C"/>
    <w:rsid w:val="00F512B9"/>
    <w:rsid w:val="00F53F84"/>
    <w:rsid w:val="00F56215"/>
    <w:rsid w:val="00F604E6"/>
    <w:rsid w:val="00F62CF8"/>
    <w:rsid w:val="00F63A09"/>
    <w:rsid w:val="00F666F7"/>
    <w:rsid w:val="00F678CB"/>
    <w:rsid w:val="00F72635"/>
    <w:rsid w:val="00F75562"/>
    <w:rsid w:val="00F779C8"/>
    <w:rsid w:val="00F80475"/>
    <w:rsid w:val="00F8155D"/>
    <w:rsid w:val="00F840FE"/>
    <w:rsid w:val="00F90019"/>
    <w:rsid w:val="00F91575"/>
    <w:rsid w:val="00F9273F"/>
    <w:rsid w:val="00FA1FB8"/>
    <w:rsid w:val="00FA6A94"/>
    <w:rsid w:val="00FA6FD7"/>
    <w:rsid w:val="00FA7269"/>
    <w:rsid w:val="00FB59DA"/>
    <w:rsid w:val="00FB5F4E"/>
    <w:rsid w:val="00FC013D"/>
    <w:rsid w:val="00FC14F2"/>
    <w:rsid w:val="00FC6BEB"/>
    <w:rsid w:val="00FD0D6A"/>
    <w:rsid w:val="00FD11B5"/>
    <w:rsid w:val="00FD1C6E"/>
    <w:rsid w:val="00FE0E24"/>
    <w:rsid w:val="00FE2D29"/>
    <w:rsid w:val="00FE2DFF"/>
    <w:rsid w:val="00FE5713"/>
    <w:rsid w:val="00FE7A6A"/>
    <w:rsid w:val="00FE7BD0"/>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C23"/>
  <w15:docId w15:val="{7289CBA8-B4A2-4406-9FF7-73E83D5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F75562"/>
    <w:pPr>
      <w:spacing w:after="0" w:line="240" w:lineRule="auto"/>
    </w:pPr>
    <w:rPr>
      <w:sz w:val="20"/>
      <w:szCs w:val="20"/>
    </w:rPr>
  </w:style>
  <w:style w:type="character" w:customStyle="1" w:styleId="FootnoteTextChar">
    <w:name w:val="Footnote Text Char"/>
    <w:basedOn w:val="DefaultParagraphFont"/>
    <w:link w:val="FootnoteText"/>
    <w:uiPriority w:val="99"/>
    <w:rsid w:val="00F75562"/>
    <w:rPr>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ompetitivepow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1354-F1A0-4366-8BA2-FB5FD27A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dc:creator>
  <cp:lastModifiedBy>Michele Gregg</cp:lastModifiedBy>
  <cp:revision>2</cp:revision>
  <cp:lastPrinted>2018-10-17T21:17:00Z</cp:lastPrinted>
  <dcterms:created xsi:type="dcterms:W3CDTF">2018-11-01T21:03:00Z</dcterms:created>
  <dcterms:modified xsi:type="dcterms:W3CDTF">2018-11-01T21:03:00Z</dcterms:modified>
</cp:coreProperties>
</file>