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269" w:rsidRPr="0048370E" w:rsidRDefault="000F46BC" w:rsidP="009537D0">
      <w:pPr>
        <w:jc w:val="center"/>
        <w:rPr>
          <w:rFonts w:ascii="Times New Roman" w:hAnsi="Times New Roman" w:cs="Times New Roman"/>
          <w:b/>
          <w:caps/>
          <w:sz w:val="24"/>
          <w:szCs w:val="24"/>
        </w:rPr>
      </w:pPr>
      <w:bookmarkStart w:id="0" w:name="_Hlk527020396"/>
      <w:bookmarkEnd w:id="0"/>
      <w:r w:rsidRPr="0048370E">
        <w:rPr>
          <w:rFonts w:ascii="Times New Roman" w:hAnsi="Times New Roman" w:cs="Times New Roman"/>
          <w:b/>
          <w:caps/>
          <w:sz w:val="24"/>
          <w:szCs w:val="24"/>
        </w:rPr>
        <w:t xml:space="preserve">Project no. </w:t>
      </w:r>
      <w:r w:rsidR="00E64DF8">
        <w:rPr>
          <w:rFonts w:ascii="Times New Roman" w:hAnsi="Times New Roman" w:cs="Times New Roman"/>
          <w:b/>
          <w:caps/>
          <w:sz w:val="24"/>
          <w:szCs w:val="24"/>
        </w:rPr>
        <w:t>48</w:t>
      </w:r>
      <w:r w:rsidR="00190776">
        <w:rPr>
          <w:rFonts w:ascii="Times New Roman" w:hAnsi="Times New Roman" w:cs="Times New Roman"/>
          <w:b/>
          <w:caps/>
          <w:sz w:val="24"/>
          <w:szCs w:val="24"/>
        </w:rPr>
        <w:t>551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359"/>
        <w:gridCol w:w="4409"/>
      </w:tblGrid>
      <w:tr w:rsidR="00FA7269" w:rsidRPr="009537D0" w:rsidTr="008B2C47">
        <w:tc>
          <w:tcPr>
            <w:tcW w:w="4698" w:type="dxa"/>
          </w:tcPr>
          <w:p w:rsidR="00FA7269" w:rsidRPr="00192C6E" w:rsidRDefault="00192C6E" w:rsidP="00DE1BA1">
            <w:pPr>
              <w:rPr>
                <w:rFonts w:ascii="Times New Roman" w:hAnsi="Times New Roman" w:cs="Times New Roman"/>
                <w:b/>
                <w:caps/>
                <w:sz w:val="24"/>
                <w:szCs w:val="24"/>
              </w:rPr>
            </w:pPr>
            <w:r w:rsidRPr="00192C6E">
              <w:rPr>
                <w:rFonts w:ascii="Times New Roman" w:hAnsi="Times New Roman" w:cs="Times New Roman"/>
                <w:b/>
                <w:color w:val="333333"/>
                <w:sz w:val="24"/>
                <w:szCs w:val="24"/>
                <w:lang w:val="en"/>
              </w:rPr>
              <w:t xml:space="preserve">REVIEW OF </w:t>
            </w:r>
            <w:r w:rsidR="00190776">
              <w:rPr>
                <w:rFonts w:ascii="Times New Roman" w:hAnsi="Times New Roman" w:cs="Times New Roman"/>
                <w:b/>
                <w:color w:val="333333"/>
                <w:sz w:val="24"/>
                <w:szCs w:val="24"/>
                <w:lang w:val="en"/>
              </w:rPr>
              <w:t>SUMMER 2018 ERCOT MARKET PERFORMANCE</w:t>
            </w:r>
          </w:p>
        </w:tc>
        <w:tc>
          <w:tcPr>
            <w:tcW w:w="360" w:type="dxa"/>
          </w:tcPr>
          <w:p w:rsidR="00FA7269" w:rsidRPr="007F68E4" w:rsidRDefault="00FA7269" w:rsidP="00A96898">
            <w:pPr>
              <w:rPr>
                <w:rFonts w:ascii="Times New Roman" w:hAnsi="Times New Roman" w:cs="Times New Roman"/>
                <w:b/>
                <w:caps/>
                <w:sz w:val="24"/>
                <w:szCs w:val="24"/>
              </w:rPr>
            </w:pPr>
            <w:r w:rsidRPr="007F68E4">
              <w:rPr>
                <w:rFonts w:ascii="Times New Roman" w:hAnsi="Times New Roman" w:cs="Times New Roman"/>
                <w:b/>
                <w:caps/>
                <w:sz w:val="24"/>
                <w:szCs w:val="24"/>
              </w:rPr>
              <w:t>§</w:t>
            </w:r>
          </w:p>
          <w:p w:rsidR="00FA7269" w:rsidRPr="007F68E4" w:rsidRDefault="00FA7269" w:rsidP="00A96898">
            <w:pPr>
              <w:rPr>
                <w:rFonts w:ascii="Times New Roman" w:hAnsi="Times New Roman" w:cs="Times New Roman"/>
                <w:b/>
                <w:caps/>
                <w:sz w:val="24"/>
                <w:szCs w:val="24"/>
              </w:rPr>
            </w:pPr>
            <w:r w:rsidRPr="007F68E4">
              <w:rPr>
                <w:rFonts w:ascii="Times New Roman" w:hAnsi="Times New Roman" w:cs="Times New Roman"/>
                <w:b/>
                <w:caps/>
                <w:sz w:val="24"/>
                <w:szCs w:val="24"/>
              </w:rPr>
              <w:t>§</w:t>
            </w:r>
          </w:p>
          <w:p w:rsidR="00B552A5" w:rsidRPr="007F68E4" w:rsidRDefault="00B552A5" w:rsidP="00B552A5">
            <w:pPr>
              <w:rPr>
                <w:rFonts w:ascii="Times New Roman" w:hAnsi="Times New Roman" w:cs="Times New Roman"/>
                <w:b/>
                <w:caps/>
                <w:sz w:val="24"/>
                <w:szCs w:val="24"/>
              </w:rPr>
            </w:pPr>
            <w:r w:rsidRPr="007F68E4">
              <w:rPr>
                <w:rFonts w:ascii="Times New Roman" w:hAnsi="Times New Roman" w:cs="Times New Roman"/>
                <w:b/>
                <w:caps/>
                <w:sz w:val="24"/>
                <w:szCs w:val="24"/>
              </w:rPr>
              <w:t>§</w:t>
            </w:r>
          </w:p>
          <w:p w:rsidR="007F68E4" w:rsidRPr="007F68E4" w:rsidRDefault="007F68E4" w:rsidP="007F68E4">
            <w:pPr>
              <w:rPr>
                <w:rFonts w:ascii="Times New Roman" w:hAnsi="Times New Roman" w:cs="Times New Roman"/>
                <w:b/>
                <w:caps/>
                <w:sz w:val="24"/>
                <w:szCs w:val="24"/>
              </w:rPr>
            </w:pPr>
            <w:r w:rsidRPr="007F68E4">
              <w:rPr>
                <w:rFonts w:ascii="Times New Roman" w:hAnsi="Times New Roman" w:cs="Times New Roman"/>
                <w:b/>
                <w:caps/>
                <w:sz w:val="24"/>
                <w:szCs w:val="24"/>
              </w:rPr>
              <w:t>§</w:t>
            </w:r>
          </w:p>
          <w:p w:rsidR="00B552A5" w:rsidRPr="005350ED" w:rsidRDefault="00B552A5" w:rsidP="007F68E4">
            <w:pPr>
              <w:rPr>
                <w:rFonts w:ascii="Times New Roman" w:hAnsi="Times New Roman" w:cs="Times New Roman"/>
                <w:b/>
                <w:caps/>
                <w:sz w:val="24"/>
                <w:szCs w:val="24"/>
              </w:rPr>
            </w:pPr>
          </w:p>
        </w:tc>
        <w:tc>
          <w:tcPr>
            <w:tcW w:w="4518" w:type="dxa"/>
          </w:tcPr>
          <w:p w:rsidR="00FA7269" w:rsidRPr="00AB549D" w:rsidRDefault="00FA7269" w:rsidP="00242FD3">
            <w:pPr>
              <w:spacing w:line="360" w:lineRule="auto"/>
              <w:jc w:val="center"/>
              <w:rPr>
                <w:rFonts w:ascii="Times New Roman" w:hAnsi="Times New Roman" w:cs="Times New Roman"/>
                <w:b/>
                <w:caps/>
                <w:sz w:val="24"/>
                <w:szCs w:val="24"/>
              </w:rPr>
            </w:pPr>
            <w:r w:rsidRPr="00AB549D">
              <w:rPr>
                <w:rFonts w:ascii="Times New Roman" w:hAnsi="Times New Roman" w:cs="Times New Roman"/>
                <w:b/>
                <w:caps/>
                <w:sz w:val="24"/>
                <w:szCs w:val="24"/>
              </w:rPr>
              <w:t>Public utility commission</w:t>
            </w:r>
          </w:p>
          <w:p w:rsidR="00FA7269" w:rsidRPr="00242FD3" w:rsidRDefault="00FA7269" w:rsidP="00242FD3">
            <w:pPr>
              <w:spacing w:line="360" w:lineRule="auto"/>
              <w:jc w:val="center"/>
              <w:rPr>
                <w:rFonts w:ascii="Times New Roman" w:hAnsi="Times New Roman" w:cs="Times New Roman"/>
                <w:b/>
                <w:caps/>
                <w:sz w:val="24"/>
                <w:szCs w:val="24"/>
              </w:rPr>
            </w:pPr>
            <w:r w:rsidRPr="00AB549D">
              <w:rPr>
                <w:rFonts w:ascii="Times New Roman" w:hAnsi="Times New Roman" w:cs="Times New Roman"/>
                <w:b/>
                <w:caps/>
                <w:sz w:val="24"/>
                <w:szCs w:val="24"/>
              </w:rPr>
              <w:t>Of</w:t>
            </w:r>
            <w:r w:rsidR="00242FD3">
              <w:rPr>
                <w:rFonts w:ascii="Times New Roman" w:hAnsi="Times New Roman" w:cs="Times New Roman"/>
                <w:b/>
                <w:caps/>
                <w:sz w:val="24"/>
                <w:szCs w:val="24"/>
              </w:rPr>
              <w:t xml:space="preserve"> </w:t>
            </w:r>
            <w:r w:rsidRPr="00AB549D">
              <w:rPr>
                <w:rFonts w:ascii="Times New Roman" w:hAnsi="Times New Roman" w:cs="Times New Roman"/>
                <w:b/>
                <w:caps/>
                <w:sz w:val="24"/>
                <w:szCs w:val="24"/>
              </w:rPr>
              <w:t>texas</w:t>
            </w:r>
          </w:p>
        </w:tc>
      </w:tr>
    </w:tbl>
    <w:p w:rsidR="006E55AF" w:rsidRPr="00D6576E" w:rsidRDefault="006E55AF" w:rsidP="00FA7269">
      <w:pPr>
        <w:spacing w:after="0" w:line="240" w:lineRule="auto"/>
        <w:jc w:val="center"/>
        <w:rPr>
          <w:rFonts w:ascii="Times New Roman" w:hAnsi="Times New Roman" w:cs="Times New Roman"/>
          <w:b/>
          <w:sz w:val="24"/>
          <w:szCs w:val="24"/>
        </w:rPr>
      </w:pPr>
    </w:p>
    <w:p w:rsidR="00BA2304" w:rsidRPr="00D6576E" w:rsidRDefault="00BA2304" w:rsidP="00FA7269">
      <w:pPr>
        <w:spacing w:after="0" w:line="240" w:lineRule="auto"/>
        <w:jc w:val="center"/>
        <w:rPr>
          <w:rFonts w:ascii="Times New Roman" w:hAnsi="Times New Roman" w:cs="Times New Roman"/>
          <w:b/>
          <w:sz w:val="24"/>
          <w:szCs w:val="24"/>
        </w:rPr>
      </w:pPr>
    </w:p>
    <w:p w:rsidR="00FA7269" w:rsidRPr="0048370E" w:rsidRDefault="00190776" w:rsidP="00FA72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TEXAS COMPETITIVE POWER ADVOCATES (TCPA) COMMENTS</w:t>
      </w:r>
      <w:r w:rsidR="008F11D2">
        <w:rPr>
          <w:rFonts w:ascii="Times New Roman" w:hAnsi="Times New Roman" w:cs="Times New Roman"/>
          <w:b/>
          <w:sz w:val="24"/>
          <w:szCs w:val="24"/>
        </w:rPr>
        <w:t xml:space="preserve"> ON THE QUESTIONS REGARDING THE COMMISSION’S REVIEW OF </w:t>
      </w:r>
      <w:r>
        <w:rPr>
          <w:rFonts w:ascii="Times New Roman" w:hAnsi="Times New Roman" w:cs="Times New Roman"/>
          <w:b/>
          <w:sz w:val="24"/>
          <w:szCs w:val="24"/>
        </w:rPr>
        <w:t>SUMMER 2018 ERCOT MARKET PERFORMANCE</w:t>
      </w:r>
    </w:p>
    <w:p w:rsidR="005D6220" w:rsidRPr="0048370E" w:rsidRDefault="005D6220" w:rsidP="00FA7269">
      <w:pPr>
        <w:spacing w:after="0" w:line="240" w:lineRule="auto"/>
        <w:jc w:val="center"/>
        <w:rPr>
          <w:rFonts w:ascii="Times New Roman" w:hAnsi="Times New Roman" w:cs="Times New Roman"/>
          <w:b/>
          <w:sz w:val="24"/>
          <w:szCs w:val="24"/>
        </w:rPr>
      </w:pPr>
    </w:p>
    <w:p w:rsidR="009537D0" w:rsidRPr="0048370E" w:rsidRDefault="009537D0" w:rsidP="00FA7269">
      <w:pPr>
        <w:spacing w:after="0" w:line="240" w:lineRule="auto"/>
        <w:jc w:val="center"/>
        <w:rPr>
          <w:rFonts w:ascii="Times New Roman" w:hAnsi="Times New Roman" w:cs="Times New Roman"/>
          <w:b/>
          <w:sz w:val="24"/>
          <w:szCs w:val="24"/>
        </w:rPr>
      </w:pPr>
    </w:p>
    <w:p w:rsidR="00A923EF" w:rsidRPr="00042EF0" w:rsidRDefault="00042EF0" w:rsidP="00042EF0">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042EF0">
        <w:rPr>
          <w:rFonts w:ascii="Times New Roman" w:hAnsi="Times New Roman" w:cs="Times New Roman"/>
          <w:sz w:val="24"/>
          <w:szCs w:val="24"/>
        </w:rPr>
        <w:t xml:space="preserve">Texas Competitive Power Advocates (TCPA) is a trade association representing power generation companies, wholesale power marketers, and retail electric providers with investments in Texas and the Electric Reliability Council of Texas (ERCOT) wholesale electric market. </w:t>
      </w:r>
      <w:r>
        <w:rPr>
          <w:rFonts w:ascii="Times New Roman" w:hAnsi="Times New Roman" w:cs="Times New Roman"/>
          <w:sz w:val="24"/>
          <w:szCs w:val="24"/>
        </w:rPr>
        <w:t xml:space="preserve">TCPA members and their affiliates provide a wide range of important market functions and services in ERCOT, including the development, operation, and management of power generation assets, the scheduling and marketing of power, the provision of energy management services and the sales of competitive electric service to consumers. TCPA members provide more than </w:t>
      </w:r>
      <w:r w:rsidR="005A7447">
        <w:rPr>
          <w:rFonts w:ascii="Times New Roman" w:hAnsi="Times New Roman" w:cs="Times New Roman"/>
          <w:sz w:val="24"/>
          <w:szCs w:val="24"/>
        </w:rPr>
        <w:t>fifty</w:t>
      </w:r>
      <w:r>
        <w:rPr>
          <w:rFonts w:ascii="Times New Roman" w:hAnsi="Times New Roman" w:cs="Times New Roman"/>
          <w:sz w:val="24"/>
          <w:szCs w:val="24"/>
        </w:rPr>
        <w:t xml:space="preserve"> percent (</w:t>
      </w:r>
      <w:r w:rsidR="005A7447">
        <w:rPr>
          <w:rFonts w:ascii="Times New Roman" w:hAnsi="Times New Roman" w:cs="Times New Roman"/>
          <w:sz w:val="24"/>
          <w:szCs w:val="24"/>
        </w:rPr>
        <w:t>5</w:t>
      </w:r>
      <w:r>
        <w:rPr>
          <w:rFonts w:ascii="Times New Roman" w:hAnsi="Times New Roman" w:cs="Times New Roman"/>
          <w:sz w:val="24"/>
          <w:szCs w:val="24"/>
        </w:rPr>
        <w:t xml:space="preserve">0%) of the total net operable electric generating capacity in ERCOT, representing billions of dollars of investment in the state, and employing thousands of Texans. TCPA submitted comments regarding </w:t>
      </w:r>
      <w:r w:rsidR="00E6664D">
        <w:rPr>
          <w:rFonts w:ascii="Times New Roman" w:hAnsi="Times New Roman" w:cs="Times New Roman"/>
          <w:sz w:val="24"/>
          <w:szCs w:val="24"/>
        </w:rPr>
        <w:t>Q</w:t>
      </w:r>
      <w:r>
        <w:rPr>
          <w:rFonts w:ascii="Times New Roman" w:hAnsi="Times New Roman" w:cs="Times New Roman"/>
          <w:sz w:val="24"/>
          <w:szCs w:val="24"/>
        </w:rPr>
        <w:t xml:space="preserve">uestion 1 in its filing on September 14, 2018 and appreciates the opportunity to provide information in response to </w:t>
      </w:r>
      <w:r w:rsidR="00E6664D">
        <w:rPr>
          <w:rFonts w:ascii="Times New Roman" w:hAnsi="Times New Roman" w:cs="Times New Roman"/>
          <w:sz w:val="24"/>
          <w:szCs w:val="24"/>
        </w:rPr>
        <w:t>Q</w:t>
      </w:r>
      <w:r>
        <w:rPr>
          <w:rFonts w:ascii="Times New Roman" w:hAnsi="Times New Roman" w:cs="Times New Roman"/>
          <w:sz w:val="24"/>
          <w:szCs w:val="24"/>
        </w:rPr>
        <w:t>uestions 2 through 8 posed by the Commission.</w:t>
      </w:r>
    </w:p>
    <w:p w:rsidR="00FA6A94" w:rsidRPr="0048370E" w:rsidRDefault="00FA6A94" w:rsidP="00FA6A94">
      <w:pPr>
        <w:spacing w:line="360" w:lineRule="auto"/>
        <w:jc w:val="center"/>
        <w:rPr>
          <w:rFonts w:ascii="Times New Roman" w:hAnsi="Times New Roman" w:cs="Times New Roman"/>
          <w:b/>
          <w:sz w:val="24"/>
          <w:szCs w:val="24"/>
        </w:rPr>
      </w:pPr>
      <w:r w:rsidRPr="0048370E">
        <w:rPr>
          <w:rFonts w:ascii="Times New Roman" w:hAnsi="Times New Roman" w:cs="Times New Roman"/>
          <w:b/>
          <w:sz w:val="24"/>
          <w:szCs w:val="24"/>
        </w:rPr>
        <w:t xml:space="preserve">II. </w:t>
      </w:r>
      <w:r w:rsidR="005350ED">
        <w:rPr>
          <w:rFonts w:ascii="Times New Roman" w:hAnsi="Times New Roman" w:cs="Times New Roman"/>
          <w:b/>
          <w:sz w:val="24"/>
          <w:szCs w:val="24"/>
        </w:rPr>
        <w:t xml:space="preserve"> </w:t>
      </w:r>
      <w:r w:rsidR="00192C6E">
        <w:rPr>
          <w:rFonts w:ascii="Times New Roman" w:hAnsi="Times New Roman" w:cs="Times New Roman"/>
          <w:b/>
          <w:sz w:val="24"/>
          <w:szCs w:val="24"/>
        </w:rPr>
        <w:t>Responses to Commission Questions</w:t>
      </w:r>
    </w:p>
    <w:p w:rsidR="00190776" w:rsidRPr="006B213C" w:rsidRDefault="00190776" w:rsidP="00190776">
      <w:pPr>
        <w:rPr>
          <w:rFonts w:ascii="Times New Roman" w:hAnsi="Times New Roman" w:cs="Times New Roman"/>
          <w:b/>
          <w:sz w:val="24"/>
          <w:szCs w:val="24"/>
        </w:rPr>
      </w:pPr>
      <w:r w:rsidRPr="006B213C">
        <w:rPr>
          <w:rFonts w:ascii="Times New Roman" w:hAnsi="Times New Roman" w:cs="Times New Roman"/>
          <w:b/>
          <w:sz w:val="24"/>
          <w:szCs w:val="24"/>
        </w:rPr>
        <w:t>2. Did the Operating Reserves Demand Curve (ORDC) as currently constituted perform as expected through the summer peak demand period? Were any anomalies observed in the functioning of the ORDC that would indicate a defect in its current implementation?</w:t>
      </w:r>
    </w:p>
    <w:p w:rsidR="00934977" w:rsidRPr="0095655C" w:rsidRDefault="00190776" w:rsidP="0095655C">
      <w:pPr>
        <w:spacing w:line="360" w:lineRule="auto"/>
        <w:ind w:firstLine="720"/>
        <w:jc w:val="both"/>
        <w:rPr>
          <w:rFonts w:ascii="Times New Roman" w:hAnsi="Times New Roman" w:cs="Times New Roman"/>
          <w:sz w:val="24"/>
          <w:szCs w:val="24"/>
        </w:rPr>
      </w:pPr>
      <w:r w:rsidRPr="0095655C">
        <w:rPr>
          <w:rFonts w:ascii="Times New Roman" w:hAnsi="Times New Roman" w:cs="Times New Roman"/>
          <w:sz w:val="24"/>
          <w:szCs w:val="24"/>
        </w:rPr>
        <w:t xml:space="preserve">As explained in the response to Question 1 filed on September 14, TCPA believes that the ORDC should produce scarcity prices that reflect reliability risk in the ERCOT market.  The </w:t>
      </w:r>
      <w:r w:rsidR="009979A1" w:rsidRPr="0095655C">
        <w:rPr>
          <w:rFonts w:ascii="Times New Roman" w:hAnsi="Times New Roman" w:cs="Times New Roman"/>
          <w:sz w:val="24"/>
          <w:szCs w:val="24"/>
        </w:rPr>
        <w:t xml:space="preserve">materially lower planning reserve margins in the </w:t>
      </w:r>
      <w:r w:rsidRPr="0095655C">
        <w:rPr>
          <w:rFonts w:ascii="Times New Roman" w:hAnsi="Times New Roman" w:cs="Times New Roman"/>
          <w:sz w:val="24"/>
          <w:szCs w:val="24"/>
        </w:rPr>
        <w:t xml:space="preserve">summer of 2018 represented the first real test of the ORDC.  This allowed for meaningful observation of its performance and the opportunity to adjust it to better align pricing outcomes with the needs of the market. </w:t>
      </w:r>
      <w:r w:rsidR="009979A1" w:rsidRPr="0095655C">
        <w:rPr>
          <w:rFonts w:ascii="Times New Roman" w:hAnsi="Times New Roman" w:cs="Times New Roman"/>
          <w:sz w:val="24"/>
          <w:szCs w:val="24"/>
        </w:rPr>
        <w:t xml:space="preserve">In short, the ORDC failed to produce scarcity prices that reflected the reliability risk in the ERCOT market during the </w:t>
      </w:r>
      <w:r w:rsidR="009979A1" w:rsidRPr="0095655C">
        <w:rPr>
          <w:rFonts w:ascii="Times New Roman" w:hAnsi="Times New Roman" w:cs="Times New Roman"/>
          <w:sz w:val="24"/>
          <w:szCs w:val="24"/>
        </w:rPr>
        <w:lastRenderedPageBreak/>
        <w:t>summer of 2018.</w:t>
      </w:r>
      <w:r w:rsidRPr="0095655C">
        <w:rPr>
          <w:rFonts w:ascii="Times New Roman" w:hAnsi="Times New Roman" w:cs="Times New Roman"/>
          <w:sz w:val="24"/>
          <w:szCs w:val="24"/>
        </w:rPr>
        <w:t xml:space="preserve"> The design of the ORDC, </w:t>
      </w:r>
      <w:r w:rsidR="009979A1" w:rsidRPr="0095655C">
        <w:rPr>
          <w:rFonts w:ascii="Times New Roman" w:hAnsi="Times New Roman" w:cs="Times New Roman"/>
          <w:sz w:val="24"/>
          <w:szCs w:val="24"/>
        </w:rPr>
        <w:t xml:space="preserve">however, </w:t>
      </w:r>
      <w:r w:rsidRPr="0095655C">
        <w:rPr>
          <w:rFonts w:ascii="Times New Roman" w:hAnsi="Times New Roman" w:cs="Times New Roman"/>
          <w:sz w:val="24"/>
          <w:szCs w:val="24"/>
        </w:rPr>
        <w:t xml:space="preserve">including the establishment of the input parameters, is not the result of </w:t>
      </w:r>
      <w:r w:rsidR="00965CAF" w:rsidRPr="0095655C">
        <w:rPr>
          <w:rFonts w:ascii="Times New Roman" w:hAnsi="Times New Roman" w:cs="Times New Roman"/>
          <w:sz w:val="24"/>
          <w:szCs w:val="24"/>
        </w:rPr>
        <w:t xml:space="preserve">a long history of </w:t>
      </w:r>
      <w:r w:rsidRPr="0095655C">
        <w:rPr>
          <w:rFonts w:ascii="Times New Roman" w:hAnsi="Times New Roman" w:cs="Times New Roman"/>
          <w:sz w:val="24"/>
          <w:szCs w:val="24"/>
        </w:rPr>
        <w:t>proven science.  Rather, the ORDC is a novel methodology</w:t>
      </w:r>
      <w:r w:rsidR="00965CAF" w:rsidRPr="0095655C">
        <w:rPr>
          <w:rFonts w:ascii="Times New Roman" w:hAnsi="Times New Roman" w:cs="Times New Roman"/>
          <w:sz w:val="24"/>
          <w:szCs w:val="24"/>
        </w:rPr>
        <w:t xml:space="preserve"> rooted in a theoretical framework</w:t>
      </w:r>
      <w:r w:rsidRPr="0095655C">
        <w:rPr>
          <w:rFonts w:ascii="Times New Roman" w:hAnsi="Times New Roman" w:cs="Times New Roman"/>
          <w:sz w:val="24"/>
          <w:szCs w:val="24"/>
        </w:rPr>
        <w:t xml:space="preserve"> intended to approximate the economic value of reliability risk through scarcity prices and the Commission should expect an iterative process to refine its performance.  </w:t>
      </w:r>
    </w:p>
    <w:p w:rsidR="006D4C81" w:rsidRPr="0095655C" w:rsidRDefault="00190776" w:rsidP="0095655C">
      <w:pPr>
        <w:spacing w:line="360" w:lineRule="auto"/>
        <w:ind w:firstLine="720"/>
        <w:jc w:val="both"/>
        <w:rPr>
          <w:rFonts w:ascii="Times New Roman" w:hAnsi="Times New Roman" w:cs="Times New Roman"/>
          <w:sz w:val="24"/>
          <w:szCs w:val="24"/>
        </w:rPr>
      </w:pPr>
      <w:r w:rsidRPr="0095655C">
        <w:rPr>
          <w:rFonts w:ascii="Times New Roman" w:hAnsi="Times New Roman" w:cs="Times New Roman"/>
          <w:sz w:val="24"/>
          <w:szCs w:val="24"/>
        </w:rPr>
        <w:t xml:space="preserve">Considering its current configuration and the inputs observed, the prices produced by the ORDC this summer understated reliability risk and revealed the need to adjust the ORDC through an LOLP shift to </w:t>
      </w:r>
      <w:r w:rsidR="009979A1" w:rsidRPr="0095655C">
        <w:rPr>
          <w:rFonts w:ascii="Times New Roman" w:hAnsi="Times New Roman" w:cs="Times New Roman"/>
          <w:sz w:val="24"/>
          <w:szCs w:val="24"/>
        </w:rPr>
        <w:t xml:space="preserve">more accurately </w:t>
      </w:r>
      <w:r w:rsidRPr="0095655C">
        <w:rPr>
          <w:rFonts w:ascii="Times New Roman" w:hAnsi="Times New Roman" w:cs="Times New Roman"/>
          <w:sz w:val="24"/>
          <w:szCs w:val="24"/>
        </w:rPr>
        <w:t>reflect this risk.</w:t>
      </w:r>
      <w:r w:rsidR="001702F0" w:rsidRPr="0095655C">
        <w:rPr>
          <w:rFonts w:ascii="Times New Roman" w:hAnsi="Times New Roman" w:cs="Times New Roman"/>
          <w:sz w:val="24"/>
          <w:szCs w:val="24"/>
        </w:rPr>
        <w:t xml:space="preserve">  The Brattle Group</w:t>
      </w:r>
      <w:r w:rsidR="006D4C81" w:rsidRPr="0095655C">
        <w:rPr>
          <w:rFonts w:ascii="Times New Roman" w:hAnsi="Times New Roman" w:cs="Times New Roman"/>
          <w:sz w:val="24"/>
          <w:szCs w:val="24"/>
        </w:rPr>
        <w:t xml:space="preserve"> (Brattle)</w:t>
      </w:r>
      <w:r w:rsidR="001702F0" w:rsidRPr="0095655C">
        <w:rPr>
          <w:rFonts w:ascii="Times New Roman" w:hAnsi="Times New Roman" w:cs="Times New Roman"/>
          <w:sz w:val="24"/>
          <w:szCs w:val="24"/>
        </w:rPr>
        <w:t xml:space="preserve"> recently updated its study on reserve margins in ERCOT and found that the </w:t>
      </w:r>
      <w:r w:rsidR="006D4C81" w:rsidRPr="0095655C">
        <w:rPr>
          <w:rFonts w:ascii="Times New Roman" w:hAnsi="Times New Roman" w:cs="Times New Roman"/>
          <w:sz w:val="24"/>
          <w:szCs w:val="24"/>
        </w:rPr>
        <w:t>market equilibrium reserve margin is</w:t>
      </w:r>
      <w:r w:rsidR="001702F0" w:rsidRPr="0095655C">
        <w:rPr>
          <w:rFonts w:ascii="Times New Roman" w:hAnsi="Times New Roman" w:cs="Times New Roman"/>
          <w:sz w:val="24"/>
          <w:szCs w:val="24"/>
        </w:rPr>
        <w:t xml:space="preserve"> expected</w:t>
      </w:r>
      <w:r w:rsidR="006D4C81" w:rsidRPr="0095655C">
        <w:rPr>
          <w:rFonts w:ascii="Times New Roman" w:hAnsi="Times New Roman" w:cs="Times New Roman"/>
          <w:sz w:val="24"/>
          <w:szCs w:val="24"/>
        </w:rPr>
        <w:t xml:space="preserve"> to be 10.25%.</w:t>
      </w:r>
      <w:r w:rsidR="001702F0" w:rsidRPr="0095655C">
        <w:rPr>
          <w:rFonts w:ascii="Times New Roman" w:hAnsi="Times New Roman" w:cs="Times New Roman"/>
          <w:sz w:val="24"/>
          <w:szCs w:val="24"/>
        </w:rPr>
        <w:t xml:space="preserve"> </w:t>
      </w:r>
      <w:r w:rsidR="006D4C81" w:rsidRPr="0095655C">
        <w:rPr>
          <w:rFonts w:ascii="Times New Roman" w:hAnsi="Times New Roman" w:cs="Times New Roman"/>
          <w:sz w:val="24"/>
          <w:szCs w:val="24"/>
        </w:rPr>
        <w:t xml:space="preserve"> Brattle highlights the reliability risk and the loss of load expectations that accompanies reserve margins near the market equilibrium reserve margin.  </w:t>
      </w:r>
    </w:p>
    <w:p w:rsidR="006D4C81" w:rsidRPr="004736E9" w:rsidRDefault="006D4C81" w:rsidP="0095655C">
      <w:pPr>
        <w:pStyle w:val="ListParagraph"/>
        <w:spacing w:line="240" w:lineRule="auto"/>
        <w:ind w:left="1440" w:right="720"/>
        <w:jc w:val="both"/>
        <w:rPr>
          <w:rFonts w:ascii="Times New Roman" w:hAnsi="Times New Roman" w:cs="Times New Roman"/>
          <w:i/>
          <w:sz w:val="24"/>
          <w:szCs w:val="24"/>
        </w:rPr>
      </w:pPr>
      <w:r w:rsidRPr="004736E9">
        <w:rPr>
          <w:rFonts w:ascii="Times New Roman" w:hAnsi="Times New Roman" w:cs="Times New Roman"/>
          <w:i/>
          <w:sz w:val="24"/>
          <w:szCs w:val="24"/>
        </w:rPr>
        <w:t>At a market equilibrium reserve margin of 10.25% ERCOT can expect a probability-weighted average of 0.5 loss-of-load events (LOLE) per year. Our simulations find that there is likely to be a loss-of-load event about every two years in the range of 1,527 MW of load being shed for 3.2 hours on average, for a total expected unserved energy of 4,647 MWh. Such events would be more frequent, longer, and deeper at lower reserve margins and less so at higher reserve margins.</w:t>
      </w:r>
      <w:r w:rsidRPr="004736E9">
        <w:rPr>
          <w:rStyle w:val="FootnoteReference"/>
          <w:rFonts w:ascii="Times New Roman" w:hAnsi="Times New Roman" w:cs="Times New Roman"/>
          <w:i/>
          <w:sz w:val="24"/>
          <w:szCs w:val="24"/>
        </w:rPr>
        <w:footnoteReference w:id="1"/>
      </w:r>
    </w:p>
    <w:p w:rsidR="0095655C" w:rsidRDefault="0095655C" w:rsidP="0095655C">
      <w:pPr>
        <w:pStyle w:val="ListParagraph"/>
        <w:spacing w:line="360" w:lineRule="auto"/>
        <w:ind w:firstLine="360"/>
        <w:jc w:val="both"/>
        <w:rPr>
          <w:rFonts w:ascii="Times New Roman" w:hAnsi="Times New Roman" w:cs="Times New Roman"/>
          <w:sz w:val="24"/>
          <w:szCs w:val="24"/>
        </w:rPr>
      </w:pPr>
    </w:p>
    <w:p w:rsidR="00190776" w:rsidRPr="0095655C" w:rsidRDefault="006D4C81" w:rsidP="0095655C">
      <w:pPr>
        <w:spacing w:line="360" w:lineRule="auto"/>
        <w:ind w:firstLine="720"/>
        <w:jc w:val="both"/>
        <w:rPr>
          <w:rFonts w:ascii="Times New Roman" w:hAnsi="Times New Roman" w:cs="Times New Roman"/>
          <w:i/>
          <w:sz w:val="24"/>
          <w:szCs w:val="24"/>
        </w:rPr>
      </w:pPr>
      <w:r w:rsidRPr="0095655C">
        <w:rPr>
          <w:rFonts w:ascii="Times New Roman" w:hAnsi="Times New Roman" w:cs="Times New Roman"/>
          <w:sz w:val="24"/>
          <w:szCs w:val="24"/>
        </w:rPr>
        <w:t>The planning reserve margins in ERCOT are forecasted to be near this level for the next five years fluctuating between 8.9% and 12.3%.</w:t>
      </w:r>
      <w:r>
        <w:rPr>
          <w:rStyle w:val="FootnoteReference"/>
          <w:rFonts w:ascii="Times New Roman" w:hAnsi="Times New Roman" w:cs="Times New Roman"/>
          <w:sz w:val="24"/>
          <w:szCs w:val="24"/>
        </w:rPr>
        <w:footnoteReference w:id="2"/>
      </w:r>
      <w:r w:rsidRPr="0095655C">
        <w:rPr>
          <w:rFonts w:ascii="Times New Roman" w:hAnsi="Times New Roman" w:cs="Times New Roman"/>
          <w:sz w:val="24"/>
          <w:szCs w:val="24"/>
        </w:rPr>
        <w:t xml:space="preserve">  According to Brattle, </w:t>
      </w:r>
      <w:r w:rsidR="00FC14F2" w:rsidRPr="0095655C">
        <w:rPr>
          <w:rFonts w:ascii="Times New Roman" w:hAnsi="Times New Roman" w:cs="Times New Roman"/>
          <w:sz w:val="24"/>
          <w:szCs w:val="24"/>
        </w:rPr>
        <w:t>a range of planning reserve margins this low would yield annual loss of load events between 0.22 and 0.81 per year of duration between 0.61 and 2.61 hours.</w:t>
      </w:r>
      <w:r w:rsidR="00FC14F2">
        <w:rPr>
          <w:rStyle w:val="FootnoteReference"/>
          <w:rFonts w:ascii="Times New Roman" w:hAnsi="Times New Roman" w:cs="Times New Roman"/>
          <w:sz w:val="24"/>
          <w:szCs w:val="24"/>
        </w:rPr>
        <w:footnoteReference w:id="3"/>
      </w:r>
      <w:r w:rsidR="00FC14F2" w:rsidRPr="0095655C">
        <w:rPr>
          <w:rFonts w:ascii="Times New Roman" w:hAnsi="Times New Roman" w:cs="Times New Roman"/>
          <w:sz w:val="24"/>
          <w:szCs w:val="24"/>
        </w:rPr>
        <w:t xml:space="preserve">  This clearly </w:t>
      </w:r>
      <w:r w:rsidR="00707AF0" w:rsidRPr="0095655C">
        <w:rPr>
          <w:rFonts w:ascii="Times New Roman" w:hAnsi="Times New Roman" w:cs="Times New Roman"/>
          <w:sz w:val="24"/>
          <w:szCs w:val="24"/>
        </w:rPr>
        <w:t>highlights the</w:t>
      </w:r>
      <w:r w:rsidR="00FC14F2" w:rsidRPr="0095655C">
        <w:rPr>
          <w:rFonts w:ascii="Times New Roman" w:hAnsi="Times New Roman" w:cs="Times New Roman"/>
          <w:sz w:val="24"/>
          <w:szCs w:val="24"/>
        </w:rPr>
        <w:t xml:space="preserve"> higher level of reliability risk </w:t>
      </w:r>
      <w:r w:rsidR="00707AF0" w:rsidRPr="0095655C">
        <w:rPr>
          <w:rFonts w:ascii="Times New Roman" w:hAnsi="Times New Roman" w:cs="Times New Roman"/>
          <w:sz w:val="24"/>
          <w:szCs w:val="24"/>
        </w:rPr>
        <w:t xml:space="preserve">expected </w:t>
      </w:r>
      <w:r w:rsidR="00FC14F2" w:rsidRPr="0095655C">
        <w:rPr>
          <w:rFonts w:ascii="Times New Roman" w:hAnsi="Times New Roman" w:cs="Times New Roman"/>
          <w:sz w:val="24"/>
          <w:szCs w:val="24"/>
        </w:rPr>
        <w:t>in the ERCOT market</w:t>
      </w:r>
      <w:r w:rsidR="00707AF0" w:rsidRPr="0095655C">
        <w:rPr>
          <w:rFonts w:ascii="Times New Roman" w:hAnsi="Times New Roman" w:cs="Times New Roman"/>
          <w:sz w:val="24"/>
          <w:szCs w:val="24"/>
        </w:rPr>
        <w:t xml:space="preserve"> in the foreseeable future</w:t>
      </w:r>
      <w:r w:rsidR="00FC14F2" w:rsidRPr="0095655C">
        <w:rPr>
          <w:rFonts w:ascii="Times New Roman" w:hAnsi="Times New Roman" w:cs="Times New Roman"/>
          <w:sz w:val="24"/>
          <w:szCs w:val="24"/>
        </w:rPr>
        <w:t>.</w:t>
      </w:r>
    </w:p>
    <w:p w:rsidR="00190776" w:rsidRPr="0095655C" w:rsidRDefault="00190776" w:rsidP="0095655C">
      <w:pPr>
        <w:spacing w:line="360" w:lineRule="auto"/>
        <w:ind w:firstLine="720"/>
        <w:jc w:val="both"/>
        <w:rPr>
          <w:rFonts w:ascii="Times New Roman" w:hAnsi="Times New Roman" w:cs="Times New Roman"/>
          <w:sz w:val="24"/>
          <w:szCs w:val="24"/>
        </w:rPr>
      </w:pPr>
      <w:r w:rsidRPr="0095655C">
        <w:rPr>
          <w:rFonts w:ascii="Times New Roman" w:hAnsi="Times New Roman" w:cs="Times New Roman"/>
          <w:sz w:val="24"/>
          <w:szCs w:val="24"/>
        </w:rPr>
        <w:t xml:space="preserve">TCPA appreciates the comprehensive information provided by ERCOT to allow for a thorough evaluation of ORDC performance.  There were numerous observations this summer that reflected increased reliability risk on the ERCOT system.  </w:t>
      </w:r>
    </w:p>
    <w:p w:rsidR="00190776" w:rsidRDefault="00190776" w:rsidP="00190776">
      <w:pPr>
        <w:pStyle w:val="ListParagraph"/>
        <w:spacing w:line="276" w:lineRule="auto"/>
        <w:ind w:firstLine="360"/>
        <w:jc w:val="both"/>
        <w:rPr>
          <w:rFonts w:ascii="Times New Roman" w:hAnsi="Times New Roman" w:cs="Times New Roman"/>
          <w:sz w:val="24"/>
          <w:szCs w:val="24"/>
        </w:rPr>
      </w:pPr>
    </w:p>
    <w:p w:rsidR="00190776" w:rsidRPr="0095655C" w:rsidRDefault="00190776" w:rsidP="0095655C">
      <w:pPr>
        <w:spacing w:line="360" w:lineRule="auto"/>
        <w:ind w:firstLine="720"/>
        <w:jc w:val="both"/>
        <w:rPr>
          <w:rFonts w:ascii="Times New Roman" w:hAnsi="Times New Roman" w:cs="Times New Roman"/>
          <w:sz w:val="24"/>
          <w:szCs w:val="24"/>
        </w:rPr>
      </w:pPr>
      <w:r w:rsidRPr="0095655C">
        <w:rPr>
          <w:rFonts w:ascii="Times New Roman" w:hAnsi="Times New Roman" w:cs="Times New Roman"/>
          <w:sz w:val="24"/>
          <w:szCs w:val="24"/>
        </w:rPr>
        <w:t>First, during many days in the summer of 2018, the amount of peak load exceeded the total installed capacity of thermal generation resources.</w:t>
      </w:r>
      <w:r w:rsidRPr="00472596">
        <w:rPr>
          <w:rStyle w:val="FootnoteReference"/>
          <w:rFonts w:ascii="Times New Roman" w:hAnsi="Times New Roman" w:cs="Times New Roman"/>
          <w:sz w:val="24"/>
          <w:szCs w:val="24"/>
        </w:rPr>
        <w:footnoteReference w:id="4"/>
      </w:r>
      <w:r w:rsidRPr="0095655C">
        <w:rPr>
          <w:rFonts w:ascii="Times New Roman" w:hAnsi="Times New Roman" w:cs="Times New Roman"/>
          <w:sz w:val="24"/>
          <w:szCs w:val="24"/>
        </w:rPr>
        <w:t xml:space="preserve">  This indicates that </w:t>
      </w:r>
      <w:r w:rsidR="009979A1" w:rsidRPr="0095655C">
        <w:rPr>
          <w:rFonts w:ascii="Times New Roman" w:hAnsi="Times New Roman" w:cs="Times New Roman"/>
          <w:sz w:val="24"/>
          <w:szCs w:val="24"/>
        </w:rPr>
        <w:t xml:space="preserve">at times </w:t>
      </w:r>
      <w:r w:rsidRPr="0095655C">
        <w:rPr>
          <w:rFonts w:ascii="Times New Roman" w:hAnsi="Times New Roman" w:cs="Times New Roman"/>
          <w:sz w:val="24"/>
          <w:szCs w:val="24"/>
        </w:rPr>
        <w:t>the ERCOT grid depende</w:t>
      </w:r>
      <w:r w:rsidR="009979A1" w:rsidRPr="0095655C">
        <w:rPr>
          <w:rFonts w:ascii="Times New Roman" w:hAnsi="Times New Roman" w:cs="Times New Roman"/>
          <w:sz w:val="24"/>
          <w:szCs w:val="24"/>
        </w:rPr>
        <w:t>d solely</w:t>
      </w:r>
      <w:r w:rsidRPr="0095655C">
        <w:rPr>
          <w:rFonts w:ascii="Times New Roman" w:hAnsi="Times New Roman" w:cs="Times New Roman"/>
          <w:sz w:val="24"/>
          <w:szCs w:val="24"/>
        </w:rPr>
        <w:t xml:space="preserve"> on renewable resources to serve load.  This does</w:t>
      </w:r>
      <w:r w:rsidR="009979A1" w:rsidRPr="0095655C">
        <w:rPr>
          <w:rFonts w:ascii="Times New Roman" w:hAnsi="Times New Roman" w:cs="Times New Roman"/>
          <w:sz w:val="24"/>
          <w:szCs w:val="24"/>
        </w:rPr>
        <w:t xml:space="preserve"> </w:t>
      </w:r>
      <w:r w:rsidRPr="0095655C">
        <w:rPr>
          <w:rFonts w:ascii="Times New Roman" w:hAnsi="Times New Roman" w:cs="Times New Roman"/>
          <w:sz w:val="24"/>
          <w:szCs w:val="24"/>
        </w:rPr>
        <w:t>n</w:t>
      </w:r>
      <w:r w:rsidR="009979A1" w:rsidRPr="0095655C">
        <w:rPr>
          <w:rFonts w:ascii="Times New Roman" w:hAnsi="Times New Roman" w:cs="Times New Roman"/>
          <w:sz w:val="24"/>
          <w:szCs w:val="24"/>
        </w:rPr>
        <w:t>o</w:t>
      </w:r>
      <w:r w:rsidRPr="0095655C">
        <w:rPr>
          <w:rFonts w:ascii="Times New Roman" w:hAnsi="Times New Roman" w:cs="Times New Roman"/>
          <w:sz w:val="24"/>
          <w:szCs w:val="24"/>
        </w:rPr>
        <w:t xml:space="preserve">t necessarily raise reliability concerns as long as the wind is </w:t>
      </w:r>
      <w:proofErr w:type="gramStart"/>
      <w:r w:rsidRPr="0095655C">
        <w:rPr>
          <w:rFonts w:ascii="Times New Roman" w:hAnsi="Times New Roman" w:cs="Times New Roman"/>
          <w:sz w:val="24"/>
          <w:szCs w:val="24"/>
        </w:rPr>
        <w:t>blowing</w:t>
      </w:r>
      <w:proofErr w:type="gramEnd"/>
      <w:r w:rsidRPr="0095655C">
        <w:rPr>
          <w:rFonts w:ascii="Times New Roman" w:hAnsi="Times New Roman" w:cs="Times New Roman"/>
          <w:sz w:val="24"/>
          <w:szCs w:val="24"/>
        </w:rPr>
        <w:t xml:space="preserve"> and the sun is shining enough, but it does represent a fundamental shift in the risk profile of the ERCOT market.  Assuming this </w:t>
      </w:r>
      <w:r w:rsidR="009979A1" w:rsidRPr="0095655C">
        <w:rPr>
          <w:rFonts w:ascii="Times New Roman" w:hAnsi="Times New Roman" w:cs="Times New Roman"/>
          <w:sz w:val="24"/>
          <w:szCs w:val="24"/>
        </w:rPr>
        <w:t xml:space="preserve">potential ongoing </w:t>
      </w:r>
      <w:r w:rsidRPr="0095655C">
        <w:rPr>
          <w:rFonts w:ascii="Times New Roman" w:hAnsi="Times New Roman" w:cs="Times New Roman"/>
          <w:sz w:val="24"/>
          <w:szCs w:val="24"/>
        </w:rPr>
        <w:t xml:space="preserve">dependence on renewables to meet </w:t>
      </w:r>
      <w:proofErr w:type="gramStart"/>
      <w:r w:rsidRPr="0095655C">
        <w:rPr>
          <w:rFonts w:ascii="Times New Roman" w:hAnsi="Times New Roman" w:cs="Times New Roman"/>
          <w:sz w:val="24"/>
          <w:szCs w:val="24"/>
        </w:rPr>
        <w:t>summer</w:t>
      </w:r>
      <w:proofErr w:type="gramEnd"/>
      <w:r w:rsidRPr="0095655C">
        <w:rPr>
          <w:rFonts w:ascii="Times New Roman" w:hAnsi="Times New Roman" w:cs="Times New Roman"/>
          <w:sz w:val="24"/>
          <w:szCs w:val="24"/>
        </w:rPr>
        <w:t xml:space="preserve"> peak load</w:t>
      </w:r>
      <w:r w:rsidR="00D1211C" w:rsidRPr="0095655C">
        <w:rPr>
          <w:rFonts w:ascii="Times New Roman" w:hAnsi="Times New Roman" w:cs="Times New Roman"/>
          <w:sz w:val="24"/>
          <w:szCs w:val="24"/>
        </w:rPr>
        <w:t xml:space="preserve"> is permanent</w:t>
      </w:r>
      <w:r w:rsidRPr="0095655C">
        <w:rPr>
          <w:rFonts w:ascii="Times New Roman" w:hAnsi="Times New Roman" w:cs="Times New Roman"/>
          <w:sz w:val="24"/>
          <w:szCs w:val="24"/>
        </w:rPr>
        <w:t xml:space="preserve">, the reliability risk in ERCOT </w:t>
      </w:r>
      <w:r w:rsidR="009979A1" w:rsidRPr="0095655C">
        <w:rPr>
          <w:rFonts w:ascii="Times New Roman" w:hAnsi="Times New Roman" w:cs="Times New Roman"/>
          <w:sz w:val="24"/>
          <w:szCs w:val="24"/>
        </w:rPr>
        <w:t xml:space="preserve">will </w:t>
      </w:r>
      <w:r w:rsidRPr="0095655C">
        <w:rPr>
          <w:rFonts w:ascii="Times New Roman" w:hAnsi="Times New Roman" w:cs="Times New Roman"/>
          <w:sz w:val="24"/>
          <w:szCs w:val="24"/>
        </w:rPr>
        <w:t xml:space="preserve">be much more volatile.  </w:t>
      </w:r>
    </w:p>
    <w:p w:rsidR="00190776" w:rsidRPr="0095655C" w:rsidRDefault="00190776" w:rsidP="0095655C">
      <w:pPr>
        <w:spacing w:line="360" w:lineRule="auto"/>
        <w:ind w:firstLine="720"/>
        <w:jc w:val="both"/>
        <w:rPr>
          <w:rFonts w:ascii="Times New Roman" w:hAnsi="Times New Roman" w:cs="Times New Roman"/>
          <w:sz w:val="24"/>
          <w:szCs w:val="24"/>
        </w:rPr>
      </w:pPr>
      <w:r w:rsidRPr="0095655C">
        <w:rPr>
          <w:rFonts w:ascii="Times New Roman" w:hAnsi="Times New Roman" w:cs="Times New Roman"/>
          <w:sz w:val="24"/>
          <w:szCs w:val="24"/>
        </w:rPr>
        <w:t xml:space="preserve">Second, </w:t>
      </w:r>
      <w:r w:rsidR="00EF4CA6" w:rsidRPr="0095655C">
        <w:rPr>
          <w:rFonts w:ascii="Times New Roman" w:hAnsi="Times New Roman" w:cs="Times New Roman"/>
          <w:sz w:val="24"/>
          <w:szCs w:val="24"/>
        </w:rPr>
        <w:t xml:space="preserve">in the summer of 2018 </w:t>
      </w:r>
      <w:r w:rsidRPr="0095655C">
        <w:rPr>
          <w:rFonts w:ascii="Times New Roman" w:hAnsi="Times New Roman" w:cs="Times New Roman"/>
          <w:sz w:val="24"/>
          <w:szCs w:val="24"/>
        </w:rPr>
        <w:t xml:space="preserve">nearly all available resources were required to be online </w:t>
      </w:r>
      <w:r w:rsidR="00EF4CA6" w:rsidRPr="0095655C">
        <w:rPr>
          <w:rFonts w:ascii="Times New Roman" w:hAnsi="Times New Roman" w:cs="Times New Roman"/>
          <w:sz w:val="24"/>
          <w:szCs w:val="24"/>
        </w:rPr>
        <w:t xml:space="preserve">many times </w:t>
      </w:r>
      <w:r w:rsidRPr="0095655C">
        <w:rPr>
          <w:rFonts w:ascii="Times New Roman" w:hAnsi="Times New Roman" w:cs="Times New Roman"/>
          <w:sz w:val="24"/>
          <w:szCs w:val="24"/>
        </w:rPr>
        <w:t xml:space="preserve">to meet demand.  </w:t>
      </w:r>
      <w:r w:rsidR="00EF4CA6" w:rsidRPr="0095655C">
        <w:rPr>
          <w:rFonts w:ascii="Times New Roman" w:hAnsi="Times New Roman" w:cs="Times New Roman"/>
          <w:sz w:val="24"/>
          <w:szCs w:val="24"/>
        </w:rPr>
        <w:t>For example, d</w:t>
      </w:r>
      <w:r w:rsidRPr="0095655C">
        <w:rPr>
          <w:rFonts w:ascii="Times New Roman" w:hAnsi="Times New Roman" w:cs="Times New Roman"/>
          <w:sz w:val="24"/>
          <w:szCs w:val="24"/>
        </w:rPr>
        <w:t>uring the extended heat in July, there were nine days where available offline capacity declined to less than 1,000</w:t>
      </w:r>
      <w:r w:rsidR="004736E9" w:rsidRPr="0095655C">
        <w:rPr>
          <w:rFonts w:ascii="Times New Roman" w:hAnsi="Times New Roman" w:cs="Times New Roman"/>
          <w:sz w:val="24"/>
          <w:szCs w:val="24"/>
        </w:rPr>
        <w:t xml:space="preserve"> </w:t>
      </w:r>
      <w:r w:rsidRPr="0095655C">
        <w:rPr>
          <w:rFonts w:ascii="Times New Roman" w:hAnsi="Times New Roman" w:cs="Times New Roman"/>
          <w:sz w:val="24"/>
          <w:szCs w:val="24"/>
        </w:rPr>
        <w:t>MW.</w:t>
      </w:r>
      <w:r w:rsidRPr="00472596">
        <w:rPr>
          <w:rStyle w:val="FootnoteReference"/>
          <w:rFonts w:ascii="Times New Roman" w:hAnsi="Times New Roman" w:cs="Times New Roman"/>
          <w:sz w:val="24"/>
          <w:szCs w:val="24"/>
        </w:rPr>
        <w:footnoteReference w:id="5"/>
      </w:r>
      <w:r w:rsidRPr="0095655C">
        <w:rPr>
          <w:rFonts w:ascii="Times New Roman" w:hAnsi="Times New Roman" w:cs="Times New Roman"/>
          <w:sz w:val="24"/>
          <w:szCs w:val="24"/>
        </w:rPr>
        <w:t xml:space="preserve">  As comparison, no such events occurred in the summer 2017.  </w:t>
      </w:r>
    </w:p>
    <w:p w:rsidR="00190776" w:rsidRPr="0095655C" w:rsidRDefault="00190776" w:rsidP="0095655C">
      <w:pPr>
        <w:spacing w:line="360" w:lineRule="auto"/>
        <w:ind w:firstLine="720"/>
        <w:jc w:val="both"/>
        <w:rPr>
          <w:rFonts w:ascii="Times New Roman" w:hAnsi="Times New Roman" w:cs="Times New Roman"/>
          <w:sz w:val="24"/>
          <w:szCs w:val="24"/>
        </w:rPr>
      </w:pPr>
      <w:r w:rsidRPr="0095655C">
        <w:rPr>
          <w:rFonts w:ascii="Times New Roman" w:hAnsi="Times New Roman" w:cs="Times New Roman"/>
          <w:sz w:val="24"/>
          <w:szCs w:val="24"/>
        </w:rPr>
        <w:t xml:space="preserve">Third, the ERCOT grid experienced a historically low amount of generation resource outages.  This is presumably the result of </w:t>
      </w:r>
      <w:proofErr w:type="gramStart"/>
      <w:r w:rsidR="004736E9" w:rsidRPr="0095655C">
        <w:rPr>
          <w:rFonts w:ascii="Times New Roman" w:hAnsi="Times New Roman" w:cs="Times New Roman"/>
          <w:sz w:val="24"/>
          <w:szCs w:val="24"/>
        </w:rPr>
        <w:t>a number of</w:t>
      </w:r>
      <w:proofErr w:type="gramEnd"/>
      <w:r w:rsidR="004736E9" w:rsidRPr="0095655C">
        <w:rPr>
          <w:rFonts w:ascii="Times New Roman" w:hAnsi="Times New Roman" w:cs="Times New Roman"/>
          <w:sz w:val="24"/>
          <w:szCs w:val="24"/>
        </w:rPr>
        <w:t xml:space="preserve"> factors, including </w:t>
      </w:r>
      <w:r w:rsidRPr="0095655C">
        <w:rPr>
          <w:rFonts w:ascii="Times New Roman" w:hAnsi="Times New Roman" w:cs="Times New Roman"/>
          <w:sz w:val="24"/>
          <w:szCs w:val="24"/>
        </w:rPr>
        <w:t xml:space="preserve">the strong financial incentives to maximize availability during times of </w:t>
      </w:r>
      <w:r w:rsidR="00A910DC" w:rsidRPr="0095655C">
        <w:rPr>
          <w:rFonts w:ascii="Times New Roman" w:hAnsi="Times New Roman" w:cs="Times New Roman"/>
          <w:sz w:val="24"/>
          <w:szCs w:val="24"/>
        </w:rPr>
        <w:t xml:space="preserve">anticipated </w:t>
      </w:r>
      <w:r w:rsidRPr="0095655C">
        <w:rPr>
          <w:rFonts w:ascii="Times New Roman" w:hAnsi="Times New Roman" w:cs="Times New Roman"/>
          <w:sz w:val="24"/>
          <w:szCs w:val="24"/>
        </w:rPr>
        <w:t>scarcity</w:t>
      </w:r>
      <w:r w:rsidR="00A910DC" w:rsidRPr="0095655C">
        <w:rPr>
          <w:rFonts w:ascii="Times New Roman" w:hAnsi="Times New Roman" w:cs="Times New Roman"/>
          <w:sz w:val="24"/>
          <w:szCs w:val="24"/>
        </w:rPr>
        <w:t xml:space="preserve"> pricing</w:t>
      </w:r>
      <w:r w:rsidRPr="0095655C">
        <w:rPr>
          <w:rFonts w:ascii="Times New Roman" w:hAnsi="Times New Roman" w:cs="Times New Roman"/>
          <w:sz w:val="24"/>
          <w:szCs w:val="24"/>
        </w:rPr>
        <w:t xml:space="preserve">.  However, </w:t>
      </w:r>
      <w:proofErr w:type="gramStart"/>
      <w:r w:rsidR="00EF4CA6" w:rsidRPr="0095655C">
        <w:rPr>
          <w:rFonts w:ascii="Times New Roman" w:hAnsi="Times New Roman" w:cs="Times New Roman"/>
          <w:sz w:val="24"/>
          <w:szCs w:val="24"/>
        </w:rPr>
        <w:t>sufficient</w:t>
      </w:r>
      <w:proofErr w:type="gramEnd"/>
      <w:r w:rsidR="00EF4CA6" w:rsidRPr="0095655C">
        <w:rPr>
          <w:rFonts w:ascii="Times New Roman" w:hAnsi="Times New Roman" w:cs="Times New Roman"/>
          <w:sz w:val="24"/>
          <w:szCs w:val="24"/>
        </w:rPr>
        <w:t xml:space="preserve"> investment in generation resources to sustain </w:t>
      </w:r>
      <w:r w:rsidRPr="0095655C">
        <w:rPr>
          <w:rFonts w:ascii="Times New Roman" w:hAnsi="Times New Roman" w:cs="Times New Roman"/>
          <w:sz w:val="24"/>
          <w:szCs w:val="24"/>
        </w:rPr>
        <w:t xml:space="preserve">this level of exceptional resource performance may not be repeatable without </w:t>
      </w:r>
      <w:r w:rsidR="004736E9" w:rsidRPr="0095655C">
        <w:rPr>
          <w:rFonts w:ascii="Times New Roman" w:hAnsi="Times New Roman" w:cs="Times New Roman"/>
          <w:sz w:val="24"/>
          <w:szCs w:val="24"/>
        </w:rPr>
        <w:t xml:space="preserve">realizing </w:t>
      </w:r>
      <w:r w:rsidRPr="0095655C">
        <w:rPr>
          <w:rFonts w:ascii="Times New Roman" w:hAnsi="Times New Roman" w:cs="Times New Roman"/>
          <w:sz w:val="24"/>
          <w:szCs w:val="24"/>
        </w:rPr>
        <w:t>sufficient scarcity pricing.  If the ERCOT grid experienced a normal amount of generation resource outages this summer consistent with the amount forecasted in the Final Summer SARA, it is likely that a severe grid emergency would have resulted.  Assuming full availability of Emergency Response Service (ERS), Load Resources providing Responsive Reserve, and TDSP Load Management Programs, the actual operating reserve margin at the time of peak summer demand was 6%.</w:t>
      </w:r>
      <w:r w:rsidRPr="00472596">
        <w:rPr>
          <w:rStyle w:val="FootnoteReference"/>
          <w:rFonts w:ascii="Times New Roman" w:hAnsi="Times New Roman" w:cs="Times New Roman"/>
          <w:sz w:val="24"/>
          <w:szCs w:val="24"/>
        </w:rPr>
        <w:footnoteReference w:id="6"/>
      </w:r>
      <w:r w:rsidRPr="0095655C">
        <w:rPr>
          <w:rFonts w:ascii="Times New Roman" w:hAnsi="Times New Roman" w:cs="Times New Roman"/>
          <w:sz w:val="24"/>
          <w:szCs w:val="24"/>
        </w:rPr>
        <w:t xml:space="preserve">  At reserve levels that low, analysis by the Brattle Group indicates the probability of a loss of load event increases exponentially.</w:t>
      </w:r>
      <w:r w:rsidR="00920A4E">
        <w:rPr>
          <w:rStyle w:val="FootnoteReference"/>
          <w:rFonts w:ascii="Times New Roman" w:hAnsi="Times New Roman" w:cs="Times New Roman"/>
          <w:sz w:val="24"/>
          <w:szCs w:val="24"/>
        </w:rPr>
        <w:footnoteReference w:id="7"/>
      </w:r>
    </w:p>
    <w:p w:rsidR="00190776" w:rsidRDefault="00190776" w:rsidP="00190776">
      <w:pPr>
        <w:pStyle w:val="ListParagraph"/>
        <w:spacing w:line="276" w:lineRule="auto"/>
        <w:ind w:firstLine="360"/>
        <w:jc w:val="both"/>
        <w:rPr>
          <w:rFonts w:ascii="Times New Roman" w:hAnsi="Times New Roman" w:cs="Times New Roman"/>
          <w:sz w:val="24"/>
          <w:szCs w:val="24"/>
        </w:rPr>
      </w:pPr>
    </w:p>
    <w:p w:rsidR="00190776" w:rsidRPr="0095655C" w:rsidRDefault="00190776" w:rsidP="0095655C">
      <w:pPr>
        <w:spacing w:line="360" w:lineRule="auto"/>
        <w:ind w:firstLine="720"/>
        <w:jc w:val="both"/>
        <w:rPr>
          <w:rFonts w:ascii="Times New Roman" w:hAnsi="Times New Roman" w:cs="Times New Roman"/>
          <w:sz w:val="24"/>
          <w:szCs w:val="24"/>
        </w:rPr>
      </w:pPr>
      <w:r w:rsidRPr="0095655C">
        <w:rPr>
          <w:rFonts w:ascii="Times New Roman" w:hAnsi="Times New Roman" w:cs="Times New Roman"/>
          <w:sz w:val="24"/>
          <w:szCs w:val="24"/>
        </w:rPr>
        <w:lastRenderedPageBreak/>
        <w:t>The pricing results for the summer of 2018 did not reflect this increased reliability risk on the ERCOT grid.  The average ORDC adder for the peak load day was $29.74/MWh.</w:t>
      </w:r>
      <w:r w:rsidRPr="00472596">
        <w:rPr>
          <w:rStyle w:val="FootnoteReference"/>
          <w:rFonts w:ascii="Times New Roman" w:hAnsi="Times New Roman" w:cs="Times New Roman"/>
          <w:sz w:val="24"/>
          <w:szCs w:val="24"/>
        </w:rPr>
        <w:footnoteReference w:id="8"/>
      </w:r>
      <w:r w:rsidRPr="0095655C">
        <w:rPr>
          <w:rFonts w:ascii="Times New Roman" w:hAnsi="Times New Roman" w:cs="Times New Roman"/>
          <w:sz w:val="24"/>
          <w:szCs w:val="24"/>
        </w:rPr>
        <w:t xml:space="preserve">  The average ORDC adder for the peak load hour was $</w:t>
      </w:r>
      <w:r w:rsidR="00965CAF" w:rsidRPr="0095655C">
        <w:rPr>
          <w:rFonts w:ascii="Times New Roman" w:hAnsi="Times New Roman" w:cs="Times New Roman"/>
          <w:sz w:val="24"/>
          <w:szCs w:val="24"/>
        </w:rPr>
        <w:t>342</w:t>
      </w:r>
      <w:r w:rsidRPr="0095655C">
        <w:rPr>
          <w:rFonts w:ascii="Times New Roman" w:hAnsi="Times New Roman" w:cs="Times New Roman"/>
          <w:sz w:val="24"/>
          <w:szCs w:val="24"/>
        </w:rPr>
        <w:t>.8</w:t>
      </w:r>
      <w:r w:rsidR="00965CAF" w:rsidRPr="0095655C">
        <w:rPr>
          <w:rFonts w:ascii="Times New Roman" w:hAnsi="Times New Roman" w:cs="Times New Roman"/>
          <w:sz w:val="24"/>
          <w:szCs w:val="24"/>
        </w:rPr>
        <w:t>7</w:t>
      </w:r>
      <w:r w:rsidRPr="0095655C">
        <w:rPr>
          <w:rFonts w:ascii="Times New Roman" w:hAnsi="Times New Roman" w:cs="Times New Roman"/>
          <w:sz w:val="24"/>
          <w:szCs w:val="24"/>
        </w:rPr>
        <w:t>/MWh.</w:t>
      </w:r>
      <w:r w:rsidRPr="00472596">
        <w:rPr>
          <w:rStyle w:val="FootnoteReference"/>
          <w:rFonts w:ascii="Times New Roman" w:hAnsi="Times New Roman" w:cs="Times New Roman"/>
          <w:sz w:val="24"/>
          <w:szCs w:val="24"/>
        </w:rPr>
        <w:footnoteReference w:id="9"/>
      </w:r>
      <w:r w:rsidRPr="0095655C">
        <w:rPr>
          <w:rFonts w:ascii="Times New Roman" w:hAnsi="Times New Roman" w:cs="Times New Roman"/>
          <w:sz w:val="24"/>
          <w:szCs w:val="24"/>
        </w:rPr>
        <w:t xml:space="preserve">  The average price for the months of June, July, and August was $39.34/MWh.</w:t>
      </w:r>
      <w:r w:rsidRPr="00472596">
        <w:rPr>
          <w:rStyle w:val="FootnoteReference"/>
          <w:rFonts w:ascii="Times New Roman" w:hAnsi="Times New Roman" w:cs="Times New Roman"/>
          <w:sz w:val="24"/>
          <w:szCs w:val="24"/>
        </w:rPr>
        <w:footnoteReference w:id="10"/>
      </w:r>
      <w:r w:rsidRPr="0095655C">
        <w:rPr>
          <w:rFonts w:ascii="Times New Roman" w:hAnsi="Times New Roman" w:cs="Times New Roman"/>
          <w:sz w:val="24"/>
          <w:szCs w:val="24"/>
        </w:rPr>
        <w:t xml:space="preserve">  The accrual of Peaker Net Margin (PNM)</w:t>
      </w:r>
      <w:r w:rsidRPr="0095655C">
        <w:rPr>
          <w:rFonts w:ascii="Times New Roman" w:hAnsi="Times New Roman" w:cs="Times New Roman"/>
          <w:sz w:val="28"/>
          <w:szCs w:val="24"/>
        </w:rPr>
        <w:t xml:space="preserve"> </w:t>
      </w:r>
      <w:r w:rsidRPr="0095655C">
        <w:rPr>
          <w:rFonts w:ascii="Times New Roman" w:hAnsi="Times New Roman" w:cs="Times New Roman"/>
          <w:sz w:val="24"/>
          <w:szCs w:val="24"/>
        </w:rPr>
        <w:t>this summer was less than $30,000/MW-Year and only approximately 37% of what was observed in the summer of 2011.</w:t>
      </w:r>
      <w:r w:rsidRPr="00472596">
        <w:rPr>
          <w:rStyle w:val="FootnoteReference"/>
          <w:rFonts w:ascii="Times New Roman" w:hAnsi="Times New Roman" w:cs="Times New Roman"/>
          <w:sz w:val="24"/>
          <w:szCs w:val="24"/>
        </w:rPr>
        <w:footnoteReference w:id="11"/>
      </w:r>
      <w:r w:rsidRPr="0095655C">
        <w:rPr>
          <w:rFonts w:ascii="Times New Roman" w:hAnsi="Times New Roman" w:cs="Times New Roman"/>
          <w:sz w:val="24"/>
          <w:szCs w:val="24"/>
        </w:rPr>
        <w:t xml:space="preserve">  In comparison, in order to reach the Cost of New Entry (CONE) for a new Combined Cycle Generation Resource, the average price for the months of June, July, and August would need to be $60/MWh assuming an average price for the rest of the year of $25/MWh.</w:t>
      </w:r>
      <w:r w:rsidRPr="00472596">
        <w:rPr>
          <w:rStyle w:val="FootnoteReference"/>
          <w:rFonts w:ascii="Times New Roman" w:hAnsi="Times New Roman" w:cs="Times New Roman"/>
          <w:sz w:val="24"/>
          <w:szCs w:val="24"/>
        </w:rPr>
        <w:footnoteReference w:id="12"/>
      </w:r>
      <w:r w:rsidRPr="0095655C">
        <w:rPr>
          <w:rFonts w:ascii="Times New Roman" w:hAnsi="Times New Roman" w:cs="Times New Roman"/>
          <w:sz w:val="24"/>
          <w:szCs w:val="24"/>
        </w:rPr>
        <w:t xml:space="preserve">  These results support TCPA’s concern that reserve margins must decrease further and reliability risk must increase</w:t>
      </w:r>
      <w:r w:rsidR="00DC1770" w:rsidRPr="0095655C">
        <w:rPr>
          <w:rFonts w:ascii="Times New Roman" w:hAnsi="Times New Roman" w:cs="Times New Roman"/>
          <w:sz w:val="24"/>
          <w:szCs w:val="24"/>
        </w:rPr>
        <w:t xml:space="preserve"> further</w:t>
      </w:r>
      <w:r w:rsidRPr="0095655C">
        <w:rPr>
          <w:rFonts w:ascii="Times New Roman" w:hAnsi="Times New Roman" w:cs="Times New Roman"/>
          <w:sz w:val="24"/>
          <w:szCs w:val="24"/>
        </w:rPr>
        <w:t xml:space="preserve"> in order for the ORDC, as currently configured, to produce compelling scarcity prices to support existing generation and new investment.</w:t>
      </w:r>
    </w:p>
    <w:p w:rsidR="00EF4CA6" w:rsidRPr="0095655C" w:rsidRDefault="00190776" w:rsidP="0095655C">
      <w:pPr>
        <w:spacing w:line="360" w:lineRule="auto"/>
        <w:ind w:firstLine="720"/>
        <w:jc w:val="both"/>
        <w:rPr>
          <w:rFonts w:ascii="Times New Roman" w:hAnsi="Times New Roman" w:cs="Times New Roman"/>
          <w:sz w:val="24"/>
          <w:szCs w:val="24"/>
        </w:rPr>
      </w:pPr>
      <w:r w:rsidRPr="0095655C">
        <w:rPr>
          <w:rFonts w:ascii="Times New Roman" w:hAnsi="Times New Roman" w:cs="Times New Roman"/>
          <w:sz w:val="24"/>
          <w:szCs w:val="24"/>
        </w:rPr>
        <w:t>Given this disconnect between reliability risk and pricing outcomes, TCPA recommends that the Commission direct ERCOT to shift the Loss of Load Probability (LOLP) by up to one full standard deviation.  This adjustment is conservative and simple for ERCOT to implement.  Besides better aligning scarcity pricing with reliability risk, such an adjustment would also help correct other observed deficiencies with the ORDC such as the step change increase in price that occurs at the Minimum Contingency Level (</w:t>
      </w:r>
      <w:r w:rsidR="00A7479A" w:rsidRPr="0095655C">
        <w:rPr>
          <w:rFonts w:ascii="Times New Roman" w:hAnsi="Times New Roman" w:cs="Times New Roman"/>
          <w:sz w:val="24"/>
          <w:szCs w:val="24"/>
        </w:rPr>
        <w:t xml:space="preserve">MCL, also referred to as </w:t>
      </w:r>
      <w:r w:rsidRPr="0095655C">
        <w:rPr>
          <w:rFonts w:ascii="Times New Roman" w:hAnsi="Times New Roman" w:cs="Times New Roman"/>
          <w:sz w:val="24"/>
          <w:szCs w:val="24"/>
        </w:rPr>
        <w:t xml:space="preserve">the value of “X”), inadequate historical reference, inability to differentiate risk between tight days and normal days, and diluted contribution of renewable output on reserve error.  The step change increase in the ORDC curve at MCL has been discussed in various filings and is assumed to be a well-known deficiency.  Regarding inadequate historical reference, the current LOLP calculation assumes that there will be no operational surprises outside the range of history which may not be the case when reserves are lower.  </w:t>
      </w:r>
    </w:p>
    <w:p w:rsidR="00190776" w:rsidRPr="0095655C" w:rsidRDefault="00190776" w:rsidP="0095655C">
      <w:pPr>
        <w:spacing w:line="360" w:lineRule="auto"/>
        <w:ind w:firstLine="720"/>
        <w:jc w:val="both"/>
        <w:rPr>
          <w:rFonts w:ascii="Times New Roman" w:hAnsi="Times New Roman" w:cs="Times New Roman"/>
          <w:sz w:val="24"/>
          <w:szCs w:val="24"/>
        </w:rPr>
      </w:pPr>
      <w:r w:rsidRPr="0095655C">
        <w:rPr>
          <w:rFonts w:ascii="Times New Roman" w:hAnsi="Times New Roman" w:cs="Times New Roman"/>
          <w:sz w:val="24"/>
          <w:szCs w:val="24"/>
        </w:rPr>
        <w:t xml:space="preserve">The design of the ORDC does not fully differentiate the risk between tight days and normal days.  </w:t>
      </w:r>
      <w:r w:rsidR="00965CAF" w:rsidRPr="0095655C">
        <w:rPr>
          <w:rFonts w:ascii="Times New Roman" w:hAnsi="Times New Roman" w:cs="Times New Roman"/>
          <w:sz w:val="24"/>
          <w:szCs w:val="24"/>
        </w:rPr>
        <w:t xml:space="preserve">This is due to how the ORDC views available capacity or reserves.  </w:t>
      </w:r>
      <w:r w:rsidRPr="0095655C">
        <w:rPr>
          <w:rFonts w:ascii="Times New Roman" w:hAnsi="Times New Roman" w:cs="Times New Roman"/>
          <w:sz w:val="24"/>
          <w:szCs w:val="24"/>
        </w:rPr>
        <w:t xml:space="preserve">The ORDC </w:t>
      </w:r>
      <w:r w:rsidR="00071F62" w:rsidRPr="0095655C">
        <w:rPr>
          <w:rFonts w:ascii="Times New Roman" w:hAnsi="Times New Roman" w:cs="Times New Roman"/>
          <w:sz w:val="24"/>
          <w:szCs w:val="24"/>
        </w:rPr>
        <w:t xml:space="preserve">counts </w:t>
      </w:r>
      <w:r w:rsidRPr="0095655C">
        <w:rPr>
          <w:rFonts w:ascii="Times New Roman" w:hAnsi="Times New Roman" w:cs="Times New Roman"/>
          <w:sz w:val="24"/>
          <w:szCs w:val="24"/>
        </w:rPr>
        <w:lastRenderedPageBreak/>
        <w:t xml:space="preserve">reserves that can be available within the next 10 minutes and 30 minutes to prevent load shed.  Hence days with drastically different total reserve levels but with similar 10 minute online and </w:t>
      </w:r>
      <w:proofErr w:type="gramStart"/>
      <w:r w:rsidRPr="0095655C">
        <w:rPr>
          <w:rFonts w:ascii="Times New Roman" w:hAnsi="Times New Roman" w:cs="Times New Roman"/>
          <w:sz w:val="24"/>
          <w:szCs w:val="24"/>
        </w:rPr>
        <w:t>30 minute</w:t>
      </w:r>
      <w:proofErr w:type="gramEnd"/>
      <w:r w:rsidRPr="0095655C">
        <w:rPr>
          <w:rFonts w:ascii="Times New Roman" w:hAnsi="Times New Roman" w:cs="Times New Roman"/>
          <w:sz w:val="24"/>
          <w:szCs w:val="24"/>
        </w:rPr>
        <w:t xml:space="preserve"> offline reserves would have the same price signals irrespective of how much additional capacity is available offline with longer than 30 minute start times</w:t>
      </w:r>
      <w:r w:rsidR="00071F62" w:rsidRPr="0095655C">
        <w:rPr>
          <w:rFonts w:ascii="Times New Roman" w:hAnsi="Times New Roman" w:cs="Times New Roman"/>
          <w:sz w:val="24"/>
          <w:szCs w:val="24"/>
        </w:rPr>
        <w:t>.  In other words, the ORDC does not value additional</w:t>
      </w:r>
      <w:r w:rsidR="00C46392" w:rsidRPr="0095655C">
        <w:rPr>
          <w:rFonts w:ascii="Times New Roman" w:hAnsi="Times New Roman" w:cs="Times New Roman"/>
          <w:sz w:val="24"/>
          <w:szCs w:val="24"/>
        </w:rPr>
        <w:t xml:space="preserve"> risk during</w:t>
      </w:r>
      <w:r w:rsidR="00071F62" w:rsidRPr="0095655C">
        <w:rPr>
          <w:rFonts w:ascii="Times New Roman" w:hAnsi="Times New Roman" w:cs="Times New Roman"/>
          <w:sz w:val="24"/>
          <w:szCs w:val="24"/>
        </w:rPr>
        <w:t xml:space="preserve"> times that have no more capacity available beyond the 10 minute and </w:t>
      </w:r>
      <w:proofErr w:type="gramStart"/>
      <w:r w:rsidR="00071F62" w:rsidRPr="0095655C">
        <w:rPr>
          <w:rFonts w:ascii="Times New Roman" w:hAnsi="Times New Roman" w:cs="Times New Roman"/>
          <w:sz w:val="24"/>
          <w:szCs w:val="24"/>
        </w:rPr>
        <w:t>30 minute</w:t>
      </w:r>
      <w:proofErr w:type="gramEnd"/>
      <w:r w:rsidR="00071F62" w:rsidRPr="0095655C">
        <w:rPr>
          <w:rFonts w:ascii="Times New Roman" w:hAnsi="Times New Roman" w:cs="Times New Roman"/>
          <w:sz w:val="24"/>
          <w:szCs w:val="24"/>
        </w:rPr>
        <w:t xml:space="preserve"> capacity.</w:t>
      </w:r>
      <w:r w:rsidR="00071F62" w:rsidRPr="0095655C" w:rsidDel="00071F62">
        <w:rPr>
          <w:rFonts w:ascii="Times New Roman" w:hAnsi="Times New Roman" w:cs="Times New Roman"/>
          <w:sz w:val="24"/>
          <w:szCs w:val="24"/>
        </w:rPr>
        <w:t xml:space="preserve"> </w:t>
      </w:r>
      <w:r w:rsidR="00071F62" w:rsidRPr="0095655C">
        <w:rPr>
          <w:rFonts w:ascii="Times New Roman" w:hAnsi="Times New Roman" w:cs="Times New Roman"/>
          <w:sz w:val="24"/>
          <w:szCs w:val="24"/>
        </w:rPr>
        <w:t xml:space="preserve"> </w:t>
      </w:r>
      <w:r w:rsidRPr="0095655C">
        <w:rPr>
          <w:rFonts w:ascii="Times New Roman" w:hAnsi="Times New Roman" w:cs="Times New Roman"/>
          <w:sz w:val="24"/>
          <w:szCs w:val="24"/>
        </w:rPr>
        <w:t>Finally, the calculation of the reserve error in the LOLP determination uses the entire history of the nodal market.  Installed wind and solar capacity has increased tremendously in the past several years and hence the error introduced by the variability in those</w:t>
      </w:r>
      <w:r w:rsidRPr="0095655C">
        <w:rPr>
          <w:rFonts w:ascii="Times New Roman" w:hAnsi="Times New Roman" w:cs="Times New Roman"/>
          <w:sz w:val="28"/>
          <w:szCs w:val="24"/>
        </w:rPr>
        <w:t xml:space="preserve"> </w:t>
      </w:r>
      <w:r w:rsidRPr="0095655C">
        <w:rPr>
          <w:rFonts w:ascii="Times New Roman" w:hAnsi="Times New Roman" w:cs="Times New Roman"/>
          <w:sz w:val="24"/>
          <w:szCs w:val="24"/>
        </w:rPr>
        <w:t xml:space="preserve">resources has increased as well.  </w:t>
      </w:r>
      <w:proofErr w:type="gramStart"/>
      <w:r w:rsidRPr="0095655C">
        <w:rPr>
          <w:rFonts w:ascii="Times New Roman" w:hAnsi="Times New Roman" w:cs="Times New Roman"/>
          <w:sz w:val="24"/>
          <w:szCs w:val="24"/>
        </w:rPr>
        <w:t>All of</w:t>
      </w:r>
      <w:proofErr w:type="gramEnd"/>
      <w:r w:rsidRPr="0095655C">
        <w:rPr>
          <w:rFonts w:ascii="Times New Roman" w:hAnsi="Times New Roman" w:cs="Times New Roman"/>
          <w:sz w:val="24"/>
          <w:szCs w:val="24"/>
        </w:rPr>
        <w:t xml:space="preserve"> these design deficiencies point to an overly conservative implementation of the ORDC that supports a need to shift the LOLP in order to better align scarcity prices with reliability risk.</w:t>
      </w:r>
    </w:p>
    <w:p w:rsidR="00190776" w:rsidRPr="0095655C" w:rsidRDefault="00190776" w:rsidP="0095655C">
      <w:pPr>
        <w:spacing w:line="360" w:lineRule="auto"/>
        <w:ind w:firstLine="720"/>
        <w:jc w:val="both"/>
        <w:rPr>
          <w:rFonts w:ascii="Times New Roman" w:hAnsi="Times New Roman" w:cs="Times New Roman"/>
          <w:sz w:val="24"/>
          <w:szCs w:val="24"/>
        </w:rPr>
      </w:pPr>
      <w:r w:rsidRPr="0095655C">
        <w:rPr>
          <w:rFonts w:ascii="Times New Roman" w:hAnsi="Times New Roman" w:cs="Times New Roman"/>
          <w:sz w:val="24"/>
          <w:szCs w:val="24"/>
        </w:rPr>
        <w:t xml:space="preserve">Shifting the LOLP represents a logical </w:t>
      </w:r>
      <w:r w:rsidR="00D16364" w:rsidRPr="0095655C">
        <w:rPr>
          <w:rFonts w:ascii="Times New Roman" w:hAnsi="Times New Roman" w:cs="Times New Roman"/>
          <w:sz w:val="24"/>
          <w:szCs w:val="24"/>
        </w:rPr>
        <w:t xml:space="preserve">initial </w:t>
      </w:r>
      <w:r w:rsidRPr="0095655C">
        <w:rPr>
          <w:rFonts w:ascii="Times New Roman" w:hAnsi="Times New Roman" w:cs="Times New Roman"/>
          <w:sz w:val="24"/>
          <w:szCs w:val="24"/>
        </w:rPr>
        <w:t>step to conservatively adjust the ORDC to reflect reliability risk.  In their report that introduced the concept, Dr. William Hogan and Dr. Susan Pope stated the following:</w:t>
      </w:r>
    </w:p>
    <w:p w:rsidR="00190776" w:rsidRPr="004736E9" w:rsidRDefault="00190776" w:rsidP="0095655C">
      <w:pPr>
        <w:pStyle w:val="ListParagraph"/>
        <w:spacing w:line="276" w:lineRule="auto"/>
        <w:ind w:left="1080" w:right="720"/>
        <w:jc w:val="both"/>
        <w:rPr>
          <w:rFonts w:ascii="Times New Roman" w:hAnsi="Times New Roman" w:cs="Times New Roman"/>
          <w:i/>
          <w:sz w:val="24"/>
          <w:szCs w:val="24"/>
        </w:rPr>
      </w:pPr>
      <w:r w:rsidRPr="004736E9">
        <w:rPr>
          <w:rFonts w:ascii="Times New Roman" w:hAnsi="Times New Roman" w:cs="Times New Roman"/>
          <w:i/>
          <w:sz w:val="24"/>
          <w:szCs w:val="24"/>
        </w:rPr>
        <w:t>An argument for changing the LOLP arises from a perspective to be conservative in the reliability estimates or due to the increased risk of renewable volatility on reserves. The current LOLP is taken from data and is the correct theoretical framework. However, the analysis assumes that the system o</w:t>
      </w:r>
      <w:r w:rsidR="00A56D0B" w:rsidRPr="004736E9">
        <w:rPr>
          <w:rFonts w:ascii="Times New Roman" w:hAnsi="Times New Roman" w:cs="Times New Roman"/>
          <w:i/>
          <w:sz w:val="24"/>
          <w:szCs w:val="24"/>
        </w:rPr>
        <w:t>perator has an accurate forward-</w:t>
      </w:r>
      <w:r w:rsidRPr="004736E9">
        <w:rPr>
          <w:rFonts w:ascii="Times New Roman" w:hAnsi="Times New Roman" w:cs="Times New Roman"/>
          <w:i/>
          <w:sz w:val="24"/>
          <w:szCs w:val="24"/>
        </w:rPr>
        <w:t>looking model of the system and that there will be no operational surprises outside of the range of history. A natural response to adopting a conservative bias, given the relative lack of foresight or experience in operating a system heavily dependent on intermittent resources would be to make a judgmental adjustment in the margin of safety by shifting the LOLP.</w:t>
      </w:r>
      <w:r w:rsidR="00BF7E67" w:rsidRPr="004736E9">
        <w:rPr>
          <w:rStyle w:val="FootnoteReference"/>
          <w:rFonts w:ascii="Times New Roman" w:hAnsi="Times New Roman" w:cs="Times New Roman"/>
          <w:i/>
          <w:sz w:val="24"/>
          <w:szCs w:val="24"/>
        </w:rPr>
        <w:footnoteReference w:id="13"/>
      </w:r>
    </w:p>
    <w:p w:rsidR="00190776" w:rsidRPr="00472596" w:rsidRDefault="00190776" w:rsidP="00190776">
      <w:pPr>
        <w:pStyle w:val="ListParagraph"/>
        <w:spacing w:line="276" w:lineRule="auto"/>
        <w:ind w:left="1080"/>
        <w:jc w:val="both"/>
        <w:rPr>
          <w:rFonts w:ascii="Times New Roman" w:hAnsi="Times New Roman" w:cs="Times New Roman"/>
          <w:i/>
          <w:sz w:val="24"/>
          <w:szCs w:val="24"/>
        </w:rPr>
      </w:pPr>
    </w:p>
    <w:p w:rsidR="00190776" w:rsidRPr="0095655C" w:rsidRDefault="00190776" w:rsidP="0095655C">
      <w:pPr>
        <w:spacing w:line="360" w:lineRule="auto"/>
        <w:ind w:firstLine="720"/>
        <w:jc w:val="both"/>
        <w:rPr>
          <w:rFonts w:ascii="Times New Roman" w:hAnsi="Times New Roman" w:cs="Times New Roman"/>
          <w:sz w:val="24"/>
          <w:szCs w:val="24"/>
        </w:rPr>
      </w:pPr>
      <w:r w:rsidRPr="0095655C">
        <w:rPr>
          <w:rFonts w:ascii="Times New Roman" w:hAnsi="Times New Roman" w:cs="Times New Roman"/>
          <w:sz w:val="24"/>
          <w:szCs w:val="24"/>
        </w:rPr>
        <w:t>A shift of the LOLP also has the benefit of being a straightforward and simple change to ERCOT’s existing implementation of the ORDC.  This avoids costly or lengthy system changes.  Dr. Hogan and Dr. Pope explain how the LOLP shift should be implemented:</w:t>
      </w:r>
    </w:p>
    <w:p w:rsidR="00190776" w:rsidRPr="004736E9" w:rsidRDefault="00190776" w:rsidP="0095655C">
      <w:pPr>
        <w:pStyle w:val="ListParagraph"/>
        <w:spacing w:line="276" w:lineRule="auto"/>
        <w:ind w:left="1080" w:right="720"/>
        <w:jc w:val="both"/>
        <w:rPr>
          <w:rFonts w:ascii="Times New Roman" w:hAnsi="Times New Roman" w:cs="Times New Roman"/>
          <w:i/>
          <w:sz w:val="24"/>
          <w:szCs w:val="24"/>
        </w:rPr>
      </w:pPr>
      <w:r w:rsidRPr="004736E9">
        <w:rPr>
          <w:rFonts w:ascii="Times New Roman" w:hAnsi="Times New Roman" w:cs="Times New Roman"/>
          <w:i/>
          <w:sz w:val="24"/>
          <w:szCs w:val="24"/>
        </w:rPr>
        <w:t xml:space="preserve">Stated in terms of the analytical description of the ORDC, a conservative shift of the LOLP would be a fraction of the standard deviation of the cumulative </w:t>
      </w:r>
      <w:r w:rsidRPr="004736E9">
        <w:rPr>
          <w:rFonts w:ascii="Times New Roman" w:hAnsi="Times New Roman" w:cs="Times New Roman"/>
          <w:i/>
          <w:sz w:val="24"/>
          <w:szCs w:val="24"/>
        </w:rPr>
        <w:lastRenderedPageBreak/>
        <w:t>density function (CDF) estimated for system rel</w:t>
      </w:r>
      <w:r w:rsidR="00BF7E67" w:rsidRPr="004736E9">
        <w:rPr>
          <w:rFonts w:ascii="Times New Roman" w:hAnsi="Times New Roman" w:cs="Times New Roman"/>
          <w:i/>
          <w:sz w:val="24"/>
          <w:szCs w:val="24"/>
        </w:rPr>
        <w:t>iability given a level of hour-</w:t>
      </w:r>
      <w:r w:rsidRPr="004736E9">
        <w:rPr>
          <w:rFonts w:ascii="Times New Roman" w:hAnsi="Times New Roman" w:cs="Times New Roman"/>
          <w:i/>
          <w:sz w:val="24"/>
          <w:szCs w:val="24"/>
        </w:rPr>
        <w:t>ahead reserves (R).</w:t>
      </w:r>
    </w:p>
    <w:p w:rsidR="00190776" w:rsidRPr="004736E9" w:rsidRDefault="00190776" w:rsidP="0095655C">
      <w:pPr>
        <w:pStyle w:val="ListParagraph"/>
        <w:spacing w:line="276" w:lineRule="auto"/>
        <w:ind w:right="720" w:firstLine="360"/>
        <w:jc w:val="both"/>
        <w:rPr>
          <w:rFonts w:ascii="Times New Roman" w:hAnsi="Times New Roman" w:cs="Times New Roman"/>
          <w:sz w:val="24"/>
          <w:szCs w:val="24"/>
        </w:rPr>
      </w:pPr>
      <w:r w:rsidRPr="004736E9">
        <w:rPr>
          <w:rFonts w:ascii="Times New Roman" w:hAnsi="Times New Roman" w:cs="Times New Roman"/>
          <w:noProof/>
          <w:sz w:val="24"/>
          <w:szCs w:val="24"/>
        </w:rPr>
        <w:drawing>
          <wp:inline distT="0" distB="0" distL="0" distR="0" wp14:anchorId="11FE596C" wp14:editId="65B94A11">
            <wp:extent cx="3063240" cy="2667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240" cy="266700"/>
                    </a:xfrm>
                    <a:prstGeom prst="rect">
                      <a:avLst/>
                    </a:prstGeom>
                    <a:noFill/>
                    <a:ln>
                      <a:noFill/>
                    </a:ln>
                  </pic:spPr>
                </pic:pic>
              </a:graphicData>
            </a:graphic>
          </wp:inline>
        </w:drawing>
      </w:r>
    </w:p>
    <w:p w:rsidR="00190776" w:rsidRPr="004736E9" w:rsidRDefault="00190776" w:rsidP="0095655C">
      <w:pPr>
        <w:pStyle w:val="ListParagraph"/>
        <w:spacing w:line="276" w:lineRule="auto"/>
        <w:ind w:left="1080" w:right="720"/>
        <w:jc w:val="both"/>
        <w:rPr>
          <w:rFonts w:ascii="Times New Roman" w:hAnsi="Times New Roman" w:cs="Times New Roman"/>
          <w:i/>
          <w:sz w:val="24"/>
          <w:szCs w:val="24"/>
        </w:rPr>
      </w:pPr>
      <w:r w:rsidRPr="004736E9">
        <w:rPr>
          <w:rFonts w:ascii="Times New Roman" w:hAnsi="Times New Roman" w:cs="Times New Roman"/>
          <w:i/>
          <w:sz w:val="24"/>
          <w:szCs w:val="24"/>
        </w:rPr>
        <w:t xml:space="preserve">ERCOT calculates the mean (μ) and standard deviation (ơ) of the historical CDF, which follows a normal distribution. The conservative measure would be to shift the mean of the CDF function by up to one standard deviation using a scaling value between 0 and 1 (0&lt;s&lt;1). This shift would flow directly into the estimated </w:t>
      </w:r>
      <w:r w:rsidR="00BF7E67" w:rsidRPr="004736E9">
        <w:rPr>
          <w:rFonts w:ascii="Times New Roman" w:hAnsi="Times New Roman" w:cs="Times New Roman"/>
          <w:i/>
          <w:sz w:val="24"/>
          <w:szCs w:val="24"/>
        </w:rPr>
        <w:t>LOLP, as the LOLP is equal to 1-</w:t>
      </w:r>
      <w:r w:rsidRPr="004736E9">
        <w:rPr>
          <w:rFonts w:ascii="Times New Roman" w:hAnsi="Times New Roman" w:cs="Times New Roman"/>
          <w:i/>
          <w:sz w:val="24"/>
          <w:szCs w:val="24"/>
        </w:rPr>
        <w:t>CDF.</w:t>
      </w:r>
      <w:r w:rsidR="00BF7E67" w:rsidRPr="004736E9">
        <w:rPr>
          <w:rStyle w:val="FootnoteReference"/>
          <w:rFonts w:ascii="Times New Roman" w:hAnsi="Times New Roman" w:cs="Times New Roman"/>
          <w:i/>
          <w:sz w:val="24"/>
          <w:szCs w:val="24"/>
        </w:rPr>
        <w:footnoteReference w:id="14"/>
      </w:r>
    </w:p>
    <w:p w:rsidR="00190776" w:rsidRPr="00472596" w:rsidRDefault="00190776" w:rsidP="00190776">
      <w:pPr>
        <w:pStyle w:val="ListParagraph"/>
        <w:spacing w:line="276" w:lineRule="auto"/>
        <w:ind w:left="1080"/>
        <w:jc w:val="both"/>
        <w:rPr>
          <w:rFonts w:ascii="Times New Roman" w:hAnsi="Times New Roman" w:cs="Times New Roman"/>
          <w:i/>
          <w:sz w:val="24"/>
          <w:szCs w:val="24"/>
        </w:rPr>
      </w:pPr>
    </w:p>
    <w:p w:rsidR="00190776" w:rsidRPr="00472596" w:rsidRDefault="00190776" w:rsidP="0095655C">
      <w:pPr>
        <w:spacing w:line="360" w:lineRule="auto"/>
        <w:ind w:firstLine="720"/>
        <w:jc w:val="both"/>
        <w:rPr>
          <w:rFonts w:ascii="Times New Roman" w:hAnsi="Times New Roman" w:cs="Times New Roman"/>
          <w:sz w:val="24"/>
          <w:szCs w:val="24"/>
        </w:rPr>
      </w:pPr>
      <w:r w:rsidRPr="00472596">
        <w:rPr>
          <w:rFonts w:ascii="Times New Roman" w:hAnsi="Times New Roman" w:cs="Times New Roman"/>
          <w:sz w:val="24"/>
          <w:szCs w:val="24"/>
        </w:rPr>
        <w:t>TCPA recommends that the Commission direct ERCOT to shift the LOLP by up to one full standard deviation in accordance with this guidance.</w:t>
      </w:r>
    </w:p>
    <w:p w:rsidR="00190776" w:rsidRPr="0095655C" w:rsidRDefault="00190776" w:rsidP="0095655C">
      <w:pPr>
        <w:spacing w:line="360" w:lineRule="auto"/>
        <w:ind w:firstLine="720"/>
        <w:jc w:val="both"/>
        <w:rPr>
          <w:rFonts w:ascii="Times New Roman" w:hAnsi="Times New Roman" w:cs="Times New Roman"/>
          <w:sz w:val="24"/>
          <w:szCs w:val="24"/>
        </w:rPr>
      </w:pPr>
      <w:r w:rsidRPr="0095655C">
        <w:rPr>
          <w:rFonts w:ascii="Times New Roman" w:hAnsi="Times New Roman" w:cs="Times New Roman"/>
          <w:sz w:val="24"/>
          <w:szCs w:val="24"/>
        </w:rPr>
        <w:t xml:space="preserve">As stated in the response to Question 1, TCPA also recommends that the Commission direct ERCOT to simplify the ORDC by calculating a single LOLP curve to be applied the entire year.  The Independent Market Monitor (IMM) pointed out this issue in the 2017 State of the Market report.  </w:t>
      </w:r>
    </w:p>
    <w:p w:rsidR="00190776" w:rsidRDefault="00190776" w:rsidP="0095655C">
      <w:pPr>
        <w:pStyle w:val="ListParagraph"/>
        <w:spacing w:line="276" w:lineRule="auto"/>
        <w:ind w:left="1080" w:right="720"/>
        <w:jc w:val="both"/>
        <w:rPr>
          <w:rFonts w:ascii="Times New Roman" w:hAnsi="Times New Roman" w:cs="Times New Roman"/>
          <w:i/>
          <w:sz w:val="24"/>
          <w:szCs w:val="24"/>
        </w:rPr>
      </w:pPr>
      <w:r w:rsidRPr="00472596">
        <w:rPr>
          <w:rFonts w:ascii="Times New Roman" w:hAnsi="Times New Roman" w:cs="Times New Roman"/>
          <w:i/>
          <w:sz w:val="24"/>
          <w:szCs w:val="24"/>
        </w:rPr>
        <w:t>Selected as an easier to implement alternative to real-time co-optimization of energy and ancillary services, the ORDC places an economic value on the reserves being provided, with separate pricing for online and offline reserves. The ORDC curves for 2017 are shown in Figure 16 below. The curves are determined in advance for four-hour blocks that vary across seasons. This depiction shows the breadth of distribution of the ORDC values across the year. The methodology leads to some large discontinuities between the curves where for the same reserve level the adder value changes significantly between adjacent time blocks. The largest such change in 2017 occurred in the summer season between 9:59 p.m. and 10:00 p.m. where the value of the ORDC curve changed more than $800 per MWh for a 3,000MW reserve level.</w:t>
      </w:r>
      <w:r w:rsidRPr="00472596">
        <w:rPr>
          <w:rStyle w:val="FootnoteReference"/>
          <w:rFonts w:ascii="Times New Roman" w:hAnsi="Times New Roman" w:cs="Times New Roman"/>
          <w:i/>
          <w:sz w:val="24"/>
          <w:szCs w:val="24"/>
        </w:rPr>
        <w:footnoteReference w:id="15"/>
      </w:r>
    </w:p>
    <w:p w:rsidR="00190776" w:rsidRDefault="00190776" w:rsidP="00190776">
      <w:pPr>
        <w:pStyle w:val="ListParagraph"/>
        <w:spacing w:line="276" w:lineRule="auto"/>
        <w:ind w:left="1080"/>
        <w:jc w:val="both"/>
        <w:rPr>
          <w:rFonts w:ascii="Times New Roman" w:hAnsi="Times New Roman" w:cs="Times New Roman"/>
          <w:i/>
          <w:sz w:val="24"/>
          <w:szCs w:val="24"/>
        </w:rPr>
      </w:pPr>
    </w:p>
    <w:p w:rsidR="00190776" w:rsidRPr="006B213C" w:rsidRDefault="00190776" w:rsidP="00190776">
      <w:pPr>
        <w:ind w:left="360" w:firstLine="720"/>
        <w:rPr>
          <w:rFonts w:ascii="Times New Roman" w:hAnsi="Times New Roman" w:cs="Times New Roman"/>
          <w:i/>
          <w:sz w:val="28"/>
          <w:szCs w:val="24"/>
        </w:rPr>
      </w:pPr>
      <w:r w:rsidRPr="007D4A0F">
        <w:rPr>
          <w:noProof/>
        </w:rPr>
        <w:lastRenderedPageBreak/>
        <w:drawing>
          <wp:inline distT="0" distB="0" distL="0" distR="0" wp14:anchorId="105B531C" wp14:editId="1A8FFFFD">
            <wp:extent cx="4663109" cy="3230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0757" cy="3270822"/>
                    </a:xfrm>
                    <a:prstGeom prst="rect">
                      <a:avLst/>
                    </a:prstGeom>
                    <a:noFill/>
                    <a:ln>
                      <a:noFill/>
                    </a:ln>
                  </pic:spPr>
                </pic:pic>
              </a:graphicData>
            </a:graphic>
          </wp:inline>
        </w:drawing>
      </w:r>
    </w:p>
    <w:p w:rsidR="00190776" w:rsidRDefault="00190776" w:rsidP="0095655C">
      <w:pPr>
        <w:spacing w:line="360" w:lineRule="auto"/>
        <w:ind w:firstLine="720"/>
        <w:jc w:val="both"/>
        <w:rPr>
          <w:rFonts w:ascii="Times New Roman" w:hAnsi="Times New Roman" w:cs="Times New Roman"/>
          <w:sz w:val="24"/>
          <w:szCs w:val="24"/>
        </w:rPr>
      </w:pPr>
      <w:r w:rsidRPr="00472596">
        <w:rPr>
          <w:rFonts w:ascii="Times New Roman" w:hAnsi="Times New Roman" w:cs="Times New Roman"/>
          <w:sz w:val="24"/>
          <w:szCs w:val="24"/>
        </w:rPr>
        <w:t>Calculating a single year-wide LOLP using historical reserve and reserve error data is also a very simple change for ERCOT to implement.</w:t>
      </w:r>
    </w:p>
    <w:p w:rsidR="00190776" w:rsidRPr="00472596" w:rsidRDefault="00190776" w:rsidP="00190776">
      <w:pPr>
        <w:ind w:firstLine="720"/>
        <w:jc w:val="both"/>
        <w:rPr>
          <w:rFonts w:ascii="Times New Roman" w:hAnsi="Times New Roman" w:cs="Times New Roman"/>
          <w:sz w:val="24"/>
          <w:szCs w:val="24"/>
        </w:rPr>
      </w:pPr>
    </w:p>
    <w:p w:rsidR="00190776" w:rsidRPr="00FB2368" w:rsidRDefault="00190776" w:rsidP="00190776">
      <w:pPr>
        <w:rPr>
          <w:rFonts w:ascii="Times New Roman" w:eastAsia="Times New Roman" w:hAnsi="Times New Roman" w:cs="Times New Roman"/>
          <w:b/>
          <w:sz w:val="24"/>
          <w:szCs w:val="24"/>
        </w:rPr>
      </w:pPr>
      <w:r w:rsidRPr="00FB2368">
        <w:rPr>
          <w:rFonts w:ascii="Times New Roman" w:eastAsia="Times New Roman" w:hAnsi="Times New Roman" w:cs="Times New Roman"/>
          <w:b/>
          <w:sz w:val="24"/>
          <w:szCs w:val="24"/>
        </w:rPr>
        <w:t>3. Did observed levels of capacity, operating reserves, and demand during the summer peak demand period validate or invalidate the estimates contained in the Capacity, Reserves, and Demand (CDR) Report published in December 2017? Please describe in detail any observed variances between the CDR and actual levels of capacity, reserves, and demand.</w:t>
      </w:r>
    </w:p>
    <w:p w:rsidR="00190776" w:rsidRDefault="00190776" w:rsidP="0095655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TCPA observed that actual non-synchronous tie capacity exceeded the December 2017 CDR projection by 2.4 times.</w:t>
      </w:r>
      <w:r>
        <w:rPr>
          <w:rStyle w:val="FootnoteReference"/>
          <w:rFonts w:ascii="Times New Roman" w:eastAsia="Times New Roman" w:hAnsi="Times New Roman" w:cs="Times New Roman"/>
          <w:sz w:val="24"/>
          <w:szCs w:val="24"/>
        </w:rPr>
        <w:footnoteReference w:id="16"/>
      </w:r>
      <w:r>
        <w:rPr>
          <w:rFonts w:ascii="Times New Roman" w:eastAsia="Times New Roman" w:hAnsi="Times New Roman" w:cs="Times New Roman"/>
          <w:sz w:val="24"/>
          <w:szCs w:val="24"/>
        </w:rPr>
        <w:t xml:space="preserve"> The 917 MW </w:t>
      </w:r>
      <w:r w:rsidR="005A06B8">
        <w:rPr>
          <w:rFonts w:ascii="Times New Roman" w:eastAsia="Times New Roman" w:hAnsi="Times New Roman" w:cs="Times New Roman"/>
          <w:sz w:val="24"/>
          <w:szCs w:val="24"/>
        </w:rPr>
        <w:t xml:space="preserve">peak </w:t>
      </w:r>
      <w:r w:rsidR="003F3017">
        <w:rPr>
          <w:rFonts w:ascii="Times New Roman" w:eastAsia="Times New Roman" w:hAnsi="Times New Roman" w:cs="Times New Roman"/>
          <w:sz w:val="24"/>
          <w:szCs w:val="24"/>
        </w:rPr>
        <w:t xml:space="preserve">period imports were </w:t>
      </w:r>
      <w:r w:rsidR="00F678CB">
        <w:rPr>
          <w:rFonts w:ascii="Times New Roman" w:eastAsia="Times New Roman" w:hAnsi="Times New Roman" w:cs="Times New Roman"/>
          <w:sz w:val="24"/>
          <w:szCs w:val="24"/>
        </w:rPr>
        <w:t xml:space="preserve">by far the largest variance to </w:t>
      </w:r>
      <w:r>
        <w:rPr>
          <w:rFonts w:ascii="Times New Roman" w:eastAsia="Times New Roman" w:hAnsi="Times New Roman" w:cs="Times New Roman"/>
          <w:sz w:val="24"/>
          <w:szCs w:val="24"/>
        </w:rPr>
        <w:t>the estimate in the CDR, which had been forecasted to be 389 MW.</w:t>
      </w:r>
      <w:r w:rsidR="00F678CB">
        <w:rPr>
          <w:rFonts w:ascii="Times New Roman" w:eastAsia="Times New Roman" w:hAnsi="Times New Roman" w:cs="Times New Roman"/>
          <w:sz w:val="24"/>
          <w:szCs w:val="24"/>
        </w:rPr>
        <w:t xml:space="preserve"> As </w:t>
      </w:r>
      <w:r w:rsidR="001578F3">
        <w:rPr>
          <w:rFonts w:ascii="Times New Roman" w:eastAsia="Times New Roman" w:hAnsi="Times New Roman" w:cs="Times New Roman"/>
          <w:sz w:val="24"/>
          <w:szCs w:val="24"/>
        </w:rPr>
        <w:t xml:space="preserve">non-synchronous ties are </w:t>
      </w:r>
      <w:r w:rsidR="00F678CB">
        <w:rPr>
          <w:rFonts w:ascii="Times New Roman" w:eastAsia="Times New Roman" w:hAnsi="Times New Roman" w:cs="Times New Roman"/>
          <w:sz w:val="24"/>
          <w:szCs w:val="24"/>
        </w:rPr>
        <w:t xml:space="preserve">inherently non-ERCOT resources </w:t>
      </w:r>
      <w:r w:rsidR="001578F3">
        <w:rPr>
          <w:rFonts w:ascii="Times New Roman" w:eastAsia="Times New Roman" w:hAnsi="Times New Roman" w:cs="Times New Roman"/>
          <w:sz w:val="24"/>
          <w:szCs w:val="24"/>
        </w:rPr>
        <w:t xml:space="preserve">that </w:t>
      </w:r>
      <w:r w:rsidR="00F678CB">
        <w:rPr>
          <w:rFonts w:ascii="Times New Roman" w:eastAsia="Times New Roman" w:hAnsi="Times New Roman" w:cs="Times New Roman"/>
          <w:sz w:val="24"/>
          <w:szCs w:val="24"/>
        </w:rPr>
        <w:t>are not subject to SCED dispatch</w:t>
      </w:r>
      <w:r w:rsidR="00501EDE">
        <w:rPr>
          <w:rFonts w:ascii="Times New Roman" w:eastAsia="Times New Roman" w:hAnsi="Times New Roman" w:cs="Times New Roman"/>
          <w:sz w:val="24"/>
          <w:szCs w:val="24"/>
        </w:rPr>
        <w:t xml:space="preserve"> and </w:t>
      </w:r>
      <w:r w:rsidR="001578F3">
        <w:rPr>
          <w:rFonts w:ascii="Times New Roman" w:eastAsia="Times New Roman" w:hAnsi="Times New Roman" w:cs="Times New Roman"/>
          <w:sz w:val="24"/>
          <w:szCs w:val="24"/>
        </w:rPr>
        <w:t xml:space="preserve">are potentially </w:t>
      </w:r>
      <w:r w:rsidR="00501EDE">
        <w:rPr>
          <w:rFonts w:ascii="Times New Roman" w:eastAsia="Times New Roman" w:hAnsi="Times New Roman" w:cs="Times New Roman"/>
          <w:sz w:val="24"/>
          <w:szCs w:val="24"/>
        </w:rPr>
        <w:t>price-suppressive when importing</w:t>
      </w:r>
      <w:r w:rsidR="00F678CB">
        <w:rPr>
          <w:rFonts w:ascii="Times New Roman" w:eastAsia="Times New Roman" w:hAnsi="Times New Roman" w:cs="Times New Roman"/>
          <w:sz w:val="24"/>
          <w:szCs w:val="24"/>
        </w:rPr>
        <w:t xml:space="preserve">, </w:t>
      </w:r>
      <w:r w:rsidR="00501EDE">
        <w:rPr>
          <w:rFonts w:ascii="Times New Roman" w:eastAsia="Times New Roman" w:hAnsi="Times New Roman" w:cs="Times New Roman"/>
          <w:sz w:val="24"/>
          <w:szCs w:val="24"/>
        </w:rPr>
        <w:t xml:space="preserve">it is notable that non-synchronous ties </w:t>
      </w:r>
      <w:r w:rsidR="00045229">
        <w:rPr>
          <w:rFonts w:ascii="Times New Roman" w:eastAsia="Times New Roman" w:hAnsi="Times New Roman" w:cs="Times New Roman"/>
          <w:sz w:val="24"/>
          <w:szCs w:val="24"/>
        </w:rPr>
        <w:t xml:space="preserve">were both a contributor (in this instance) to meeting peak load needs and a detractor from peak load price formation. </w:t>
      </w:r>
    </w:p>
    <w:p w:rsidR="00190776" w:rsidRPr="007D4A0F" w:rsidRDefault="00190776" w:rsidP="00190776">
      <w:pPr>
        <w:ind w:left="720" w:firstLine="720"/>
        <w:jc w:val="both"/>
        <w:rPr>
          <w:rFonts w:ascii="Times New Roman" w:eastAsia="Times New Roman" w:hAnsi="Times New Roman" w:cs="Times New Roman"/>
          <w:sz w:val="28"/>
          <w:szCs w:val="24"/>
        </w:rPr>
      </w:pPr>
    </w:p>
    <w:p w:rsidR="00190776" w:rsidRPr="00FB2368" w:rsidRDefault="00190776" w:rsidP="00190776">
      <w:pPr>
        <w:rPr>
          <w:rFonts w:ascii="Times New Roman" w:eastAsia="Times New Roman" w:hAnsi="Times New Roman" w:cs="Times New Roman"/>
          <w:b/>
          <w:sz w:val="24"/>
          <w:szCs w:val="24"/>
        </w:rPr>
      </w:pPr>
      <w:r w:rsidRPr="00FB2368">
        <w:rPr>
          <w:rFonts w:ascii="Times New Roman" w:eastAsia="Times New Roman" w:hAnsi="Times New Roman" w:cs="Times New Roman"/>
          <w:b/>
          <w:sz w:val="24"/>
          <w:szCs w:val="24"/>
        </w:rPr>
        <w:lastRenderedPageBreak/>
        <w:t>4. Did observed levels of capacity, operating reserves, and demand during the summer peak demand period validate or invalidate the estimates contained in the final Seasonal Assessment of Resource Adequacy (SARA) published in April 2018? Please describe in detail any observed variances between the SARA and actual levels of capacity, reserves, and demand.</w:t>
      </w:r>
    </w:p>
    <w:p w:rsidR="00190776" w:rsidRDefault="00190776" w:rsidP="0095655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TCPA’s observations in </w:t>
      </w:r>
      <w:r w:rsidR="001E0E5C">
        <w:rPr>
          <w:rFonts w:ascii="Times New Roman" w:eastAsia="Times New Roman" w:hAnsi="Times New Roman" w:cs="Times New Roman"/>
          <w:sz w:val="24"/>
          <w:szCs w:val="24"/>
        </w:rPr>
        <w:t>Q</w:t>
      </w:r>
      <w:r>
        <w:rPr>
          <w:rFonts w:ascii="Times New Roman" w:eastAsia="Times New Roman" w:hAnsi="Times New Roman" w:cs="Times New Roman"/>
          <w:sz w:val="24"/>
          <w:szCs w:val="24"/>
        </w:rPr>
        <w:t>uestion 3 regarding the CDR are also applicable to the April 2018 Seasonal Assessment of Resource Adequacy (SARA). The estimates for non-synchronous tie capacity published in the SARA were 2.4 times less than the actual amount observed during the summer peak demand period.</w:t>
      </w:r>
      <w:r>
        <w:rPr>
          <w:rStyle w:val="FootnoteReference"/>
          <w:rFonts w:ascii="Times New Roman" w:eastAsia="Times New Roman" w:hAnsi="Times New Roman" w:cs="Times New Roman"/>
          <w:sz w:val="24"/>
          <w:szCs w:val="24"/>
        </w:rPr>
        <w:footnoteReference w:id="17"/>
      </w:r>
    </w:p>
    <w:p w:rsidR="00190776" w:rsidRPr="007D4A0F" w:rsidRDefault="00190776" w:rsidP="00190776">
      <w:pPr>
        <w:ind w:left="720" w:firstLine="720"/>
        <w:jc w:val="both"/>
        <w:rPr>
          <w:rFonts w:ascii="Times New Roman" w:eastAsia="Times New Roman" w:hAnsi="Times New Roman" w:cs="Times New Roman"/>
          <w:sz w:val="24"/>
          <w:szCs w:val="24"/>
        </w:rPr>
      </w:pPr>
    </w:p>
    <w:p w:rsidR="00190776" w:rsidRPr="00FB2368" w:rsidRDefault="00190776" w:rsidP="00190776">
      <w:pPr>
        <w:autoSpaceDE w:val="0"/>
        <w:autoSpaceDN w:val="0"/>
        <w:adjustRightInd w:val="0"/>
        <w:jc w:val="both"/>
        <w:rPr>
          <w:rFonts w:ascii="Times New Roman" w:hAnsi="Times New Roman" w:cs="Times New Roman"/>
          <w:b/>
          <w:sz w:val="24"/>
          <w:szCs w:val="24"/>
        </w:rPr>
      </w:pPr>
      <w:r w:rsidRPr="00FB2368">
        <w:rPr>
          <w:rFonts w:ascii="Times New Roman" w:hAnsi="Times New Roman" w:cs="Times New Roman"/>
          <w:b/>
          <w:sz w:val="24"/>
          <w:szCs w:val="24"/>
        </w:rPr>
        <w:t>5. What role did wind generation resources (WGRs) or other intermittent resources play in price formation during periods of resource scarcity during the summer of 2018? If WGRs or other intermittent resources had an adverse impact on price formation, what policy directives or market rules are needed to mitigate this impact?</w:t>
      </w:r>
    </w:p>
    <w:p w:rsidR="002067AC" w:rsidRPr="002067AC" w:rsidRDefault="002067AC" w:rsidP="0095655C">
      <w:pPr>
        <w:autoSpaceDE w:val="0"/>
        <w:autoSpaceDN w:val="0"/>
        <w:adjustRightInd w:val="0"/>
        <w:spacing w:line="360" w:lineRule="auto"/>
        <w:ind w:firstLine="720"/>
        <w:jc w:val="both"/>
        <w:rPr>
          <w:rFonts w:ascii="Times New Roman" w:hAnsi="Times New Roman" w:cs="Times New Roman"/>
          <w:color w:val="FF0000"/>
          <w:sz w:val="24"/>
          <w:szCs w:val="24"/>
        </w:rPr>
      </w:pPr>
      <w:r w:rsidRPr="002067AC">
        <w:rPr>
          <w:rFonts w:ascii="Times New Roman" w:hAnsi="Times New Roman" w:cs="Times New Roman"/>
          <w:color w:val="000000"/>
          <w:sz w:val="24"/>
          <w:szCs w:val="24"/>
        </w:rPr>
        <w:t xml:space="preserve">Intermittency of renewable resources is adversely affecting </w:t>
      </w:r>
      <w:r w:rsidR="003D71A1">
        <w:rPr>
          <w:rFonts w:ascii="Times New Roman" w:hAnsi="Times New Roman" w:cs="Times New Roman"/>
          <w:color w:val="000000"/>
          <w:sz w:val="24"/>
          <w:szCs w:val="24"/>
        </w:rPr>
        <w:t>price formation in</w:t>
      </w:r>
      <w:r w:rsidRPr="002067AC">
        <w:rPr>
          <w:rFonts w:ascii="Times New Roman" w:hAnsi="Times New Roman" w:cs="Times New Roman"/>
          <w:color w:val="000000"/>
          <w:sz w:val="24"/>
          <w:szCs w:val="24"/>
        </w:rPr>
        <w:t xml:space="preserve"> the </w:t>
      </w:r>
      <w:r w:rsidR="003D71A1">
        <w:rPr>
          <w:rFonts w:ascii="Times New Roman" w:hAnsi="Times New Roman" w:cs="Times New Roman"/>
          <w:color w:val="000000"/>
          <w:sz w:val="24"/>
          <w:szCs w:val="24"/>
        </w:rPr>
        <w:t>ERCOT market</w:t>
      </w:r>
      <w:r w:rsidRPr="002067AC">
        <w:rPr>
          <w:rFonts w:ascii="Times New Roman" w:hAnsi="Times New Roman" w:cs="Times New Roman"/>
          <w:color w:val="000000"/>
          <w:sz w:val="24"/>
          <w:szCs w:val="24"/>
        </w:rPr>
        <w:t xml:space="preserve"> </w:t>
      </w:r>
      <w:r w:rsidR="003D71A1">
        <w:rPr>
          <w:rFonts w:ascii="Times New Roman" w:hAnsi="Times New Roman" w:cs="Times New Roman"/>
          <w:color w:val="000000"/>
          <w:sz w:val="24"/>
          <w:szCs w:val="24"/>
        </w:rPr>
        <w:t>during</w:t>
      </w:r>
      <w:r w:rsidR="003D71A1" w:rsidRPr="002067AC">
        <w:rPr>
          <w:rFonts w:ascii="Times New Roman" w:hAnsi="Times New Roman" w:cs="Times New Roman"/>
          <w:color w:val="000000"/>
          <w:sz w:val="24"/>
          <w:szCs w:val="24"/>
        </w:rPr>
        <w:t xml:space="preserve"> </w:t>
      </w:r>
      <w:r w:rsidRPr="002067AC">
        <w:rPr>
          <w:rFonts w:ascii="Times New Roman" w:hAnsi="Times New Roman" w:cs="Times New Roman"/>
          <w:color w:val="000000"/>
          <w:sz w:val="24"/>
          <w:szCs w:val="24"/>
        </w:rPr>
        <w:t>peak load conditions. The average prices this summer</w:t>
      </w:r>
      <w:r w:rsidR="00B526DE">
        <w:rPr>
          <w:rFonts w:ascii="Times New Roman" w:hAnsi="Times New Roman" w:cs="Times New Roman"/>
          <w:color w:val="000000"/>
          <w:sz w:val="24"/>
          <w:szCs w:val="24"/>
        </w:rPr>
        <w:t>, like other periods throughout the year,</w:t>
      </w:r>
      <w:r w:rsidRPr="002067AC">
        <w:rPr>
          <w:rFonts w:ascii="Times New Roman" w:hAnsi="Times New Roman" w:cs="Times New Roman"/>
          <w:color w:val="000000"/>
          <w:sz w:val="24"/>
          <w:szCs w:val="24"/>
        </w:rPr>
        <w:t xml:space="preserve"> </w:t>
      </w:r>
      <w:r w:rsidR="003D71A1">
        <w:rPr>
          <w:rFonts w:ascii="Times New Roman" w:hAnsi="Times New Roman" w:cs="Times New Roman"/>
          <w:color w:val="000000"/>
          <w:sz w:val="24"/>
          <w:szCs w:val="24"/>
        </w:rPr>
        <w:t xml:space="preserve">were suppressed by </w:t>
      </w:r>
      <w:r w:rsidR="003D7DB6">
        <w:rPr>
          <w:rFonts w:ascii="Times New Roman" w:hAnsi="Times New Roman" w:cs="Times New Roman"/>
          <w:color w:val="000000"/>
          <w:sz w:val="24"/>
          <w:szCs w:val="24"/>
        </w:rPr>
        <w:t xml:space="preserve">the </w:t>
      </w:r>
      <w:r w:rsidR="003D71A1">
        <w:rPr>
          <w:rFonts w:ascii="Times New Roman" w:hAnsi="Times New Roman" w:cs="Times New Roman"/>
          <w:color w:val="000000"/>
          <w:sz w:val="24"/>
          <w:szCs w:val="24"/>
        </w:rPr>
        <w:t xml:space="preserve">production of </w:t>
      </w:r>
      <w:r w:rsidR="005A0BFF" w:rsidRPr="00302BAE">
        <w:rPr>
          <w:rFonts w:ascii="Times New Roman" w:hAnsi="Times New Roman" w:cs="Times New Roman"/>
          <w:color w:val="000000"/>
          <w:sz w:val="24"/>
          <w:szCs w:val="24"/>
        </w:rPr>
        <w:t>zero marginal cost intermittent</w:t>
      </w:r>
      <w:r w:rsidR="005A0BFF">
        <w:rPr>
          <w:rFonts w:ascii="Times New Roman" w:hAnsi="Times New Roman" w:cs="Times New Roman"/>
          <w:color w:val="000000"/>
          <w:sz w:val="24"/>
          <w:szCs w:val="24"/>
        </w:rPr>
        <w:t xml:space="preserve"> </w:t>
      </w:r>
      <w:r w:rsidR="003D71A1">
        <w:rPr>
          <w:rFonts w:ascii="Times New Roman" w:hAnsi="Times New Roman" w:cs="Times New Roman"/>
          <w:color w:val="000000"/>
          <w:sz w:val="24"/>
          <w:szCs w:val="24"/>
        </w:rPr>
        <w:t xml:space="preserve">renewable resources that </w:t>
      </w:r>
      <w:r w:rsidR="005A0BFF" w:rsidRPr="00302BAE">
        <w:rPr>
          <w:rFonts w:ascii="Times New Roman" w:hAnsi="Times New Roman" w:cs="Times New Roman"/>
          <w:color w:val="000000"/>
          <w:sz w:val="24"/>
          <w:szCs w:val="24"/>
        </w:rPr>
        <w:t xml:space="preserve">would not have been built absent </w:t>
      </w:r>
      <w:r w:rsidR="003D71A1">
        <w:rPr>
          <w:rFonts w:ascii="Times New Roman" w:hAnsi="Times New Roman" w:cs="Times New Roman"/>
          <w:color w:val="000000"/>
          <w:sz w:val="24"/>
          <w:szCs w:val="24"/>
        </w:rPr>
        <w:t>federal subsidies</w:t>
      </w:r>
      <w:r w:rsidRPr="002067AC">
        <w:rPr>
          <w:rFonts w:ascii="Times New Roman" w:hAnsi="Times New Roman" w:cs="Times New Roman"/>
          <w:color w:val="000000"/>
          <w:sz w:val="24"/>
          <w:szCs w:val="24"/>
        </w:rPr>
        <w:t xml:space="preserve">. </w:t>
      </w:r>
      <w:r w:rsidR="00C46392">
        <w:rPr>
          <w:rFonts w:ascii="Times New Roman" w:hAnsi="Times New Roman" w:cs="Times New Roman"/>
          <w:color w:val="000000"/>
          <w:sz w:val="24"/>
          <w:szCs w:val="24"/>
        </w:rPr>
        <w:t xml:space="preserve"> Besides suppressing prices, the intermittency of renewables is also increasing the volatility of reliability in ERCOT.</w:t>
      </w:r>
    </w:p>
    <w:p w:rsidR="00420657" w:rsidRPr="001578F3" w:rsidRDefault="002067AC" w:rsidP="0095655C">
      <w:pPr>
        <w:spacing w:line="360" w:lineRule="auto"/>
        <w:ind w:firstLine="720"/>
        <w:jc w:val="both"/>
        <w:rPr>
          <w:rFonts w:ascii="Times New Roman" w:hAnsi="Times New Roman" w:cs="Times New Roman"/>
          <w:color w:val="000000"/>
          <w:sz w:val="24"/>
          <w:szCs w:val="24"/>
        </w:rPr>
      </w:pPr>
      <w:r w:rsidRPr="002067AC">
        <w:rPr>
          <w:rFonts w:ascii="Times New Roman" w:hAnsi="Times New Roman" w:cs="Times New Roman"/>
          <w:color w:val="000000"/>
          <w:sz w:val="24"/>
          <w:szCs w:val="24"/>
        </w:rPr>
        <w:t xml:space="preserve">The amount of renewable resources currently installed in ERCOT is more than double </w:t>
      </w:r>
      <w:r w:rsidR="00D72990">
        <w:rPr>
          <w:rFonts w:ascii="Times New Roman" w:hAnsi="Times New Roman" w:cs="Times New Roman"/>
          <w:color w:val="000000"/>
          <w:sz w:val="24"/>
          <w:szCs w:val="24"/>
        </w:rPr>
        <w:t>what it was</w:t>
      </w:r>
      <w:r w:rsidRPr="002067AC">
        <w:rPr>
          <w:rFonts w:ascii="Times New Roman" w:hAnsi="Times New Roman" w:cs="Times New Roman"/>
          <w:color w:val="000000"/>
          <w:sz w:val="24"/>
          <w:szCs w:val="24"/>
        </w:rPr>
        <w:t xml:space="preserve"> at the start of the nodal market (~</w:t>
      </w:r>
      <w:r w:rsidRPr="002067AC">
        <w:rPr>
          <w:rFonts w:ascii="Times New Roman" w:hAnsi="Times New Roman" w:cs="Times New Roman"/>
          <w:sz w:val="24"/>
          <w:szCs w:val="24"/>
        </w:rPr>
        <w:t>10GW in 2010 Vs ~22GW in 2018)</w:t>
      </w:r>
      <w:r w:rsidRPr="002067AC">
        <w:rPr>
          <w:rFonts w:ascii="Times New Roman" w:hAnsi="Times New Roman" w:cs="Times New Roman"/>
          <w:color w:val="000000"/>
          <w:sz w:val="24"/>
          <w:szCs w:val="24"/>
        </w:rPr>
        <w:t xml:space="preserve">. With that and the increase in the </w:t>
      </w:r>
      <w:r>
        <w:rPr>
          <w:rFonts w:ascii="Times New Roman" w:hAnsi="Times New Roman" w:cs="Times New Roman"/>
          <w:color w:val="000000"/>
          <w:sz w:val="24"/>
          <w:szCs w:val="24"/>
        </w:rPr>
        <w:t>percentage</w:t>
      </w:r>
      <w:r w:rsidRPr="002067AC">
        <w:rPr>
          <w:rFonts w:ascii="Times New Roman" w:hAnsi="Times New Roman" w:cs="Times New Roman"/>
          <w:color w:val="000000"/>
          <w:sz w:val="24"/>
          <w:szCs w:val="24"/>
        </w:rPr>
        <w:t xml:space="preserve"> of installed capacity of renewable</w:t>
      </w:r>
      <w:r w:rsidR="003D7DB6">
        <w:rPr>
          <w:rFonts w:ascii="Times New Roman" w:hAnsi="Times New Roman" w:cs="Times New Roman"/>
          <w:color w:val="000000"/>
          <w:sz w:val="24"/>
          <w:szCs w:val="24"/>
        </w:rPr>
        <w:t>s</w:t>
      </w:r>
      <w:r w:rsidRPr="002067AC">
        <w:rPr>
          <w:rFonts w:ascii="Times New Roman" w:hAnsi="Times New Roman" w:cs="Times New Roman"/>
          <w:color w:val="000000"/>
          <w:sz w:val="24"/>
          <w:szCs w:val="24"/>
        </w:rPr>
        <w:t xml:space="preserve"> considered in CDR, the </w:t>
      </w:r>
      <w:r w:rsidR="003D7DB6">
        <w:rPr>
          <w:rFonts w:ascii="Times New Roman" w:hAnsi="Times New Roman" w:cs="Times New Roman"/>
          <w:color w:val="000000"/>
          <w:sz w:val="24"/>
          <w:szCs w:val="24"/>
        </w:rPr>
        <w:t>amount of variability in reliability</w:t>
      </w:r>
      <w:r w:rsidRPr="002067AC">
        <w:rPr>
          <w:rFonts w:ascii="Times New Roman" w:hAnsi="Times New Roman" w:cs="Times New Roman"/>
          <w:color w:val="000000"/>
          <w:sz w:val="24"/>
          <w:szCs w:val="24"/>
        </w:rPr>
        <w:t xml:space="preserve"> that could be expected at a given</w:t>
      </w:r>
      <w:r w:rsidRPr="002067AC">
        <w:rPr>
          <w:rFonts w:ascii="Times New Roman" w:hAnsi="Times New Roman" w:cs="Times New Roman"/>
          <w:sz w:val="24"/>
          <w:szCs w:val="24"/>
        </w:rPr>
        <w:t xml:space="preserve"> planning reserve margin has significantly </w:t>
      </w:r>
      <w:r w:rsidR="003D7DB6">
        <w:rPr>
          <w:rFonts w:ascii="Times New Roman" w:hAnsi="Times New Roman" w:cs="Times New Roman"/>
          <w:sz w:val="24"/>
          <w:szCs w:val="24"/>
        </w:rPr>
        <w:t>increas</w:t>
      </w:r>
      <w:r w:rsidR="003D7DB6" w:rsidRPr="002067AC">
        <w:rPr>
          <w:rFonts w:ascii="Times New Roman" w:hAnsi="Times New Roman" w:cs="Times New Roman"/>
          <w:sz w:val="24"/>
          <w:szCs w:val="24"/>
        </w:rPr>
        <w:t>ed</w:t>
      </w:r>
      <w:r w:rsidRPr="002067AC">
        <w:rPr>
          <w:rFonts w:ascii="Times New Roman" w:hAnsi="Times New Roman" w:cs="Times New Roman"/>
          <w:color w:val="000000"/>
          <w:sz w:val="24"/>
          <w:szCs w:val="24"/>
        </w:rPr>
        <w:t xml:space="preserve">.  This </w:t>
      </w:r>
      <w:r w:rsidR="003D7DB6">
        <w:rPr>
          <w:rFonts w:ascii="Times New Roman" w:hAnsi="Times New Roman" w:cs="Times New Roman"/>
          <w:color w:val="000000"/>
          <w:sz w:val="24"/>
          <w:szCs w:val="24"/>
        </w:rPr>
        <w:t>increase</w:t>
      </w:r>
      <w:r w:rsidR="001578F3">
        <w:rPr>
          <w:rFonts w:ascii="Times New Roman" w:hAnsi="Times New Roman" w:cs="Times New Roman"/>
          <w:color w:val="000000"/>
          <w:sz w:val="24"/>
          <w:szCs w:val="24"/>
        </w:rPr>
        <w:t>d variability</w:t>
      </w:r>
      <w:r w:rsidR="003D7DB6" w:rsidRPr="002067AC">
        <w:rPr>
          <w:rFonts w:ascii="Times New Roman" w:hAnsi="Times New Roman" w:cs="Times New Roman"/>
          <w:color w:val="000000"/>
          <w:sz w:val="24"/>
          <w:szCs w:val="24"/>
        </w:rPr>
        <w:t xml:space="preserve"> </w:t>
      </w:r>
      <w:r w:rsidRPr="002067AC">
        <w:rPr>
          <w:rFonts w:ascii="Times New Roman" w:hAnsi="Times New Roman" w:cs="Times New Roman"/>
          <w:color w:val="000000"/>
          <w:sz w:val="24"/>
          <w:szCs w:val="24"/>
        </w:rPr>
        <w:t>will continue year over year with the</w:t>
      </w:r>
      <w:r w:rsidRPr="002067AC">
        <w:rPr>
          <w:rFonts w:ascii="Times New Roman" w:hAnsi="Times New Roman" w:cs="Times New Roman"/>
          <w:sz w:val="24"/>
          <w:szCs w:val="24"/>
        </w:rPr>
        <w:t xml:space="preserve"> increase in non-firm </w:t>
      </w:r>
      <w:r w:rsidR="003D7DB6">
        <w:rPr>
          <w:rFonts w:ascii="Times New Roman" w:hAnsi="Times New Roman" w:cs="Times New Roman"/>
          <w:sz w:val="24"/>
          <w:szCs w:val="24"/>
        </w:rPr>
        <w:t xml:space="preserve">renewable </w:t>
      </w:r>
      <w:r w:rsidRPr="002067AC">
        <w:rPr>
          <w:rFonts w:ascii="Times New Roman" w:hAnsi="Times New Roman" w:cs="Times New Roman"/>
          <w:sz w:val="24"/>
          <w:szCs w:val="24"/>
        </w:rPr>
        <w:t>resource additions unless the net capacity become</w:t>
      </w:r>
      <w:r w:rsidR="000307CD">
        <w:rPr>
          <w:rFonts w:ascii="Times New Roman" w:hAnsi="Times New Roman" w:cs="Times New Roman"/>
          <w:sz w:val="24"/>
          <w:szCs w:val="24"/>
        </w:rPr>
        <w:t>s</w:t>
      </w:r>
      <w:r w:rsidRPr="002067AC">
        <w:rPr>
          <w:rFonts w:ascii="Times New Roman" w:hAnsi="Times New Roman" w:cs="Times New Roman"/>
          <w:sz w:val="24"/>
          <w:szCs w:val="24"/>
        </w:rPr>
        <w:t xml:space="preserve"> firm</w:t>
      </w:r>
      <w:r w:rsidRPr="002067AC">
        <w:rPr>
          <w:rFonts w:ascii="Times New Roman" w:hAnsi="Times New Roman" w:cs="Times New Roman"/>
          <w:color w:val="000000"/>
          <w:sz w:val="24"/>
          <w:szCs w:val="24"/>
        </w:rPr>
        <w:t xml:space="preserve">. Planning </w:t>
      </w:r>
      <w:r w:rsidRPr="002067AC">
        <w:rPr>
          <w:rFonts w:ascii="Times New Roman" w:hAnsi="Times New Roman" w:cs="Times New Roman"/>
          <w:sz w:val="24"/>
          <w:szCs w:val="24"/>
        </w:rPr>
        <w:t xml:space="preserve">reserve margin </w:t>
      </w:r>
      <w:r w:rsidRPr="002067AC">
        <w:rPr>
          <w:rFonts w:ascii="Times New Roman" w:hAnsi="Times New Roman" w:cs="Times New Roman"/>
          <w:color w:val="000000"/>
          <w:sz w:val="24"/>
          <w:szCs w:val="24"/>
        </w:rPr>
        <w:t xml:space="preserve">is based on average wind output </w:t>
      </w:r>
      <w:r w:rsidR="000307CD">
        <w:rPr>
          <w:rFonts w:ascii="Times New Roman" w:hAnsi="Times New Roman" w:cs="Times New Roman"/>
          <w:color w:val="000000"/>
          <w:sz w:val="24"/>
          <w:szCs w:val="24"/>
        </w:rPr>
        <w:t>across the top 20 peak load hours</w:t>
      </w:r>
      <w:r w:rsidRPr="002067AC">
        <w:rPr>
          <w:rFonts w:ascii="Times New Roman" w:hAnsi="Times New Roman" w:cs="Times New Roman"/>
          <w:color w:val="000000"/>
          <w:sz w:val="24"/>
          <w:szCs w:val="24"/>
        </w:rPr>
        <w:t xml:space="preserve">, </w:t>
      </w:r>
      <w:r w:rsidR="000307CD">
        <w:rPr>
          <w:rFonts w:ascii="Times New Roman" w:hAnsi="Times New Roman" w:cs="Times New Roman"/>
          <w:color w:val="000000"/>
          <w:sz w:val="24"/>
          <w:szCs w:val="24"/>
        </w:rPr>
        <w:t xml:space="preserve">but </w:t>
      </w:r>
      <w:r w:rsidRPr="002067AC">
        <w:rPr>
          <w:rFonts w:ascii="Times New Roman" w:hAnsi="Times New Roman" w:cs="Times New Roman"/>
          <w:color w:val="000000"/>
          <w:sz w:val="24"/>
          <w:szCs w:val="24"/>
        </w:rPr>
        <w:t xml:space="preserve">there </w:t>
      </w:r>
      <w:r w:rsidR="000307CD">
        <w:rPr>
          <w:rFonts w:ascii="Times New Roman" w:hAnsi="Times New Roman" w:cs="Times New Roman"/>
          <w:color w:val="000000"/>
          <w:sz w:val="24"/>
          <w:szCs w:val="24"/>
        </w:rPr>
        <w:t>will</w:t>
      </w:r>
      <w:r w:rsidR="000307CD" w:rsidRPr="002067AC">
        <w:rPr>
          <w:rFonts w:ascii="Times New Roman" w:hAnsi="Times New Roman" w:cs="Times New Roman"/>
          <w:color w:val="000000"/>
          <w:sz w:val="24"/>
          <w:szCs w:val="24"/>
        </w:rPr>
        <w:t xml:space="preserve"> </w:t>
      </w:r>
      <w:r w:rsidR="000307CD">
        <w:rPr>
          <w:rFonts w:ascii="Times New Roman" w:hAnsi="Times New Roman" w:cs="Times New Roman"/>
          <w:color w:val="000000"/>
          <w:sz w:val="24"/>
          <w:szCs w:val="24"/>
        </w:rPr>
        <w:t xml:space="preserve">always </w:t>
      </w:r>
      <w:r w:rsidRPr="002067AC">
        <w:rPr>
          <w:rFonts w:ascii="Times New Roman" w:hAnsi="Times New Roman" w:cs="Times New Roman"/>
          <w:color w:val="000000"/>
          <w:sz w:val="24"/>
          <w:szCs w:val="24"/>
        </w:rPr>
        <w:t xml:space="preserve">be </w:t>
      </w:r>
      <w:r w:rsidR="000307CD">
        <w:rPr>
          <w:rFonts w:ascii="Times New Roman" w:hAnsi="Times New Roman" w:cs="Times New Roman"/>
          <w:color w:val="000000"/>
          <w:sz w:val="24"/>
          <w:szCs w:val="24"/>
        </w:rPr>
        <w:t xml:space="preserve">high load </w:t>
      </w:r>
      <w:r w:rsidRPr="002067AC">
        <w:rPr>
          <w:rFonts w:ascii="Times New Roman" w:hAnsi="Times New Roman" w:cs="Times New Roman"/>
          <w:color w:val="000000"/>
          <w:sz w:val="24"/>
          <w:szCs w:val="24"/>
        </w:rPr>
        <w:t xml:space="preserve">hours or days when the wind production is much lower than the average causing the operational </w:t>
      </w:r>
      <w:r w:rsidRPr="002067AC">
        <w:rPr>
          <w:rFonts w:ascii="Times New Roman" w:hAnsi="Times New Roman" w:cs="Times New Roman"/>
          <w:sz w:val="24"/>
          <w:szCs w:val="24"/>
        </w:rPr>
        <w:t xml:space="preserve">reserve margin </w:t>
      </w:r>
      <w:r w:rsidRPr="002067AC">
        <w:rPr>
          <w:rFonts w:ascii="Times New Roman" w:hAnsi="Times New Roman" w:cs="Times New Roman"/>
          <w:color w:val="000000"/>
          <w:sz w:val="24"/>
          <w:szCs w:val="24"/>
        </w:rPr>
        <w:t xml:space="preserve">to be much lower than planning </w:t>
      </w:r>
      <w:r w:rsidRPr="002067AC">
        <w:rPr>
          <w:rFonts w:ascii="Times New Roman" w:hAnsi="Times New Roman" w:cs="Times New Roman"/>
          <w:sz w:val="24"/>
          <w:szCs w:val="24"/>
        </w:rPr>
        <w:t>reserve margin</w:t>
      </w:r>
      <w:r w:rsidRPr="002067AC">
        <w:rPr>
          <w:rFonts w:ascii="Times New Roman" w:hAnsi="Times New Roman" w:cs="Times New Roman"/>
          <w:color w:val="000000"/>
          <w:sz w:val="24"/>
          <w:szCs w:val="24"/>
        </w:rPr>
        <w:t xml:space="preserve">. </w:t>
      </w:r>
      <w:r w:rsidR="00262B70">
        <w:rPr>
          <w:rFonts w:ascii="Times New Roman" w:hAnsi="Times New Roman" w:cs="Times New Roman"/>
          <w:color w:val="000000"/>
          <w:sz w:val="24"/>
          <w:szCs w:val="24"/>
        </w:rPr>
        <w:t>The average expected w</w:t>
      </w:r>
      <w:r w:rsidRPr="002067AC">
        <w:rPr>
          <w:rFonts w:ascii="Times New Roman" w:hAnsi="Times New Roman" w:cs="Times New Roman"/>
          <w:color w:val="000000"/>
          <w:sz w:val="24"/>
          <w:szCs w:val="24"/>
        </w:rPr>
        <w:t xml:space="preserve">ind and utility scale solar </w:t>
      </w:r>
      <w:r w:rsidR="00262B70">
        <w:rPr>
          <w:rFonts w:ascii="Times New Roman" w:hAnsi="Times New Roman" w:cs="Times New Roman"/>
          <w:color w:val="000000"/>
          <w:sz w:val="24"/>
          <w:szCs w:val="24"/>
        </w:rPr>
        <w:t xml:space="preserve">capacity </w:t>
      </w:r>
      <w:r w:rsidRPr="002067AC">
        <w:rPr>
          <w:rFonts w:ascii="Times New Roman" w:hAnsi="Times New Roman" w:cs="Times New Roman"/>
          <w:color w:val="000000"/>
          <w:sz w:val="24"/>
          <w:szCs w:val="24"/>
        </w:rPr>
        <w:t xml:space="preserve">contributed </w:t>
      </w:r>
      <w:r w:rsidR="00262B70">
        <w:rPr>
          <w:rFonts w:ascii="Times New Roman" w:hAnsi="Times New Roman" w:cs="Times New Roman"/>
          <w:color w:val="000000"/>
          <w:sz w:val="24"/>
          <w:szCs w:val="24"/>
        </w:rPr>
        <w:t xml:space="preserve">5,311 MW </w:t>
      </w:r>
      <w:r w:rsidRPr="002067AC">
        <w:rPr>
          <w:rFonts w:ascii="Times New Roman" w:hAnsi="Times New Roman" w:cs="Times New Roman"/>
          <w:color w:val="000000"/>
          <w:sz w:val="24"/>
          <w:szCs w:val="24"/>
        </w:rPr>
        <w:t xml:space="preserve">of the </w:t>
      </w:r>
      <w:r w:rsidR="00262B70">
        <w:rPr>
          <w:rFonts w:ascii="Times New Roman" w:hAnsi="Times New Roman" w:cs="Times New Roman"/>
          <w:color w:val="000000"/>
          <w:sz w:val="24"/>
          <w:szCs w:val="24"/>
        </w:rPr>
        <w:t xml:space="preserve">77,218 MW of </w:t>
      </w:r>
      <w:r w:rsidR="005A0BFF">
        <w:rPr>
          <w:rFonts w:ascii="Times New Roman" w:hAnsi="Times New Roman" w:cs="Times New Roman"/>
          <w:color w:val="000000"/>
          <w:sz w:val="24"/>
          <w:szCs w:val="24"/>
        </w:rPr>
        <w:t>capacity</w:t>
      </w:r>
      <w:r w:rsidR="000307CD">
        <w:rPr>
          <w:rFonts w:ascii="Times New Roman" w:hAnsi="Times New Roman" w:cs="Times New Roman"/>
          <w:color w:val="000000"/>
          <w:sz w:val="24"/>
          <w:szCs w:val="24"/>
        </w:rPr>
        <w:t xml:space="preserve"> </w:t>
      </w:r>
      <w:r w:rsidR="00420657">
        <w:rPr>
          <w:rFonts w:ascii="Times New Roman" w:hAnsi="Times New Roman" w:cs="Times New Roman"/>
          <w:color w:val="000000"/>
          <w:sz w:val="24"/>
          <w:szCs w:val="24"/>
        </w:rPr>
        <w:t xml:space="preserve">that </w:t>
      </w:r>
      <w:r w:rsidR="000307CD">
        <w:rPr>
          <w:rFonts w:ascii="Times New Roman" w:hAnsi="Times New Roman" w:cs="Times New Roman"/>
          <w:color w:val="000000"/>
          <w:sz w:val="24"/>
          <w:szCs w:val="24"/>
        </w:rPr>
        <w:t xml:space="preserve">counted </w:t>
      </w:r>
      <w:r w:rsidR="000307CD">
        <w:rPr>
          <w:rFonts w:ascii="Times New Roman" w:hAnsi="Times New Roman" w:cs="Times New Roman"/>
          <w:color w:val="000000"/>
          <w:sz w:val="24"/>
          <w:szCs w:val="24"/>
        </w:rPr>
        <w:lastRenderedPageBreak/>
        <w:t xml:space="preserve">towards the </w:t>
      </w:r>
      <w:r w:rsidRPr="002067AC">
        <w:rPr>
          <w:rFonts w:ascii="Times New Roman" w:hAnsi="Times New Roman" w:cs="Times New Roman"/>
          <w:color w:val="000000"/>
          <w:sz w:val="24"/>
          <w:szCs w:val="24"/>
        </w:rPr>
        <w:t>9.3% reserve margin predicted for 2018 summer</w:t>
      </w:r>
      <w:r w:rsidR="000307CD">
        <w:rPr>
          <w:rFonts w:ascii="Times New Roman" w:hAnsi="Times New Roman" w:cs="Times New Roman"/>
          <w:color w:val="000000"/>
          <w:sz w:val="24"/>
          <w:szCs w:val="24"/>
        </w:rPr>
        <w:t>.</w:t>
      </w:r>
      <w:r w:rsidR="00262B70">
        <w:rPr>
          <w:rStyle w:val="FootnoteReference"/>
          <w:rFonts w:ascii="Times New Roman" w:hAnsi="Times New Roman" w:cs="Times New Roman"/>
          <w:color w:val="000000"/>
          <w:sz w:val="24"/>
          <w:szCs w:val="24"/>
        </w:rPr>
        <w:footnoteReference w:id="18"/>
      </w:r>
      <w:r w:rsidRPr="002067AC">
        <w:rPr>
          <w:rFonts w:ascii="Times New Roman" w:hAnsi="Times New Roman" w:cs="Times New Roman"/>
          <w:color w:val="000000"/>
          <w:sz w:val="24"/>
          <w:szCs w:val="24"/>
        </w:rPr>
        <w:t xml:space="preserve"> Based on the </w:t>
      </w:r>
      <w:r w:rsidR="00262B70">
        <w:rPr>
          <w:rFonts w:ascii="Times New Roman" w:hAnsi="Times New Roman" w:cs="Times New Roman"/>
          <w:color w:val="000000"/>
          <w:sz w:val="24"/>
          <w:szCs w:val="24"/>
        </w:rPr>
        <w:t xml:space="preserve">minimum and maximum capacity factors for </w:t>
      </w:r>
      <w:r w:rsidRPr="002067AC">
        <w:rPr>
          <w:rFonts w:ascii="Times New Roman" w:hAnsi="Times New Roman" w:cs="Times New Roman"/>
          <w:color w:val="000000"/>
          <w:sz w:val="24"/>
          <w:szCs w:val="24"/>
        </w:rPr>
        <w:t>these resources in the historic 20 peak hours</w:t>
      </w:r>
      <w:r w:rsidR="00262B70">
        <w:rPr>
          <w:rFonts w:ascii="Times New Roman" w:hAnsi="Times New Roman" w:cs="Times New Roman"/>
          <w:color w:val="000000"/>
          <w:sz w:val="24"/>
          <w:szCs w:val="24"/>
        </w:rPr>
        <w:t xml:space="preserve"> of each year</w:t>
      </w:r>
      <w:r w:rsidRPr="002067AC">
        <w:rPr>
          <w:rFonts w:ascii="Times New Roman" w:hAnsi="Times New Roman" w:cs="Times New Roman"/>
          <w:color w:val="000000"/>
          <w:sz w:val="24"/>
          <w:szCs w:val="24"/>
        </w:rPr>
        <w:t xml:space="preserve">, even if all other resources operated perfectly, </w:t>
      </w:r>
      <w:r w:rsidRPr="002067AC">
        <w:rPr>
          <w:rFonts w:ascii="Times New Roman" w:hAnsi="Times New Roman" w:cs="Times New Roman"/>
          <w:i/>
          <w:color w:val="000000"/>
          <w:sz w:val="24"/>
          <w:szCs w:val="24"/>
        </w:rPr>
        <w:t>the operational reserve margin that could materialize from a 9.3% planning reserve margin could have been anywhere from 3.2% to 18.9% just from the variability of these resources</w:t>
      </w:r>
      <w:r w:rsidR="000307CD">
        <w:rPr>
          <w:rFonts w:ascii="Times New Roman" w:hAnsi="Times New Roman" w:cs="Times New Roman"/>
          <w:i/>
          <w:color w:val="000000"/>
          <w:sz w:val="24"/>
          <w:szCs w:val="24"/>
        </w:rPr>
        <w:t>.</w:t>
      </w:r>
      <w:r w:rsidRPr="002067AC">
        <w:rPr>
          <w:rFonts w:ascii="Times New Roman" w:eastAsia="Times New Roman" w:hAnsi="Times New Roman" w:cs="Times New Roman"/>
          <w:i/>
          <w:sz w:val="24"/>
          <w:szCs w:val="24"/>
          <w:vertAlign w:val="superscript"/>
          <w:lang w:bidi="en-US"/>
        </w:rPr>
        <w:footnoteReference w:id="19"/>
      </w:r>
      <w:r w:rsidRPr="002067AC">
        <w:rPr>
          <w:rFonts w:ascii="Times New Roman" w:hAnsi="Times New Roman" w:cs="Times New Roman"/>
          <w:i/>
          <w:color w:val="000000"/>
          <w:sz w:val="24"/>
          <w:szCs w:val="24"/>
        </w:rPr>
        <w:t xml:space="preserve"> </w:t>
      </w:r>
      <w:r w:rsidR="00195B5A">
        <w:rPr>
          <w:rFonts w:ascii="Times New Roman" w:hAnsi="Times New Roman" w:cs="Times New Roman"/>
          <w:color w:val="000000"/>
          <w:sz w:val="24"/>
          <w:szCs w:val="24"/>
        </w:rPr>
        <w:t>The chart below demonstrates the wide variation in output from renewable resources during peak load periods that drive the CDR planning capacity factor contributions. Actual renewable output during peak hours can vary from as little as 1/10</w:t>
      </w:r>
      <w:r w:rsidR="00195B5A" w:rsidRPr="001578F3">
        <w:rPr>
          <w:rFonts w:ascii="Times New Roman" w:hAnsi="Times New Roman" w:cs="Times New Roman"/>
          <w:color w:val="000000"/>
          <w:sz w:val="24"/>
          <w:szCs w:val="24"/>
          <w:vertAlign w:val="superscript"/>
        </w:rPr>
        <w:t>th</w:t>
      </w:r>
      <w:r w:rsidR="00195B5A">
        <w:rPr>
          <w:rFonts w:ascii="Times New Roman" w:hAnsi="Times New Roman" w:cs="Times New Roman"/>
          <w:color w:val="000000"/>
          <w:sz w:val="24"/>
          <w:szCs w:val="24"/>
        </w:rPr>
        <w:t xml:space="preserve"> of the CDR-assumed capacity to as much as 3 times the CDR-assumed capacity.</w:t>
      </w:r>
      <w:r w:rsidR="001F4EBD">
        <w:rPr>
          <w:rStyle w:val="FootnoteReference"/>
          <w:rFonts w:ascii="Times New Roman" w:hAnsi="Times New Roman" w:cs="Times New Roman"/>
          <w:color w:val="000000"/>
          <w:sz w:val="24"/>
          <w:szCs w:val="24"/>
        </w:rPr>
        <w:footnoteReference w:id="20"/>
      </w:r>
      <w:r w:rsidR="00195B5A">
        <w:rPr>
          <w:rFonts w:ascii="Times New Roman" w:hAnsi="Times New Roman" w:cs="Times New Roman"/>
          <w:color w:val="000000"/>
          <w:sz w:val="24"/>
          <w:szCs w:val="24"/>
        </w:rPr>
        <w:t xml:space="preserve">  </w:t>
      </w:r>
    </w:p>
    <w:p w:rsidR="005F4A22" w:rsidRDefault="009E4220" w:rsidP="001578F3">
      <w:pPr>
        <w:spacing w:line="480" w:lineRule="auto"/>
        <w:ind w:firstLine="720"/>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215C43D6" wp14:editId="6BA321AF">
            <wp:extent cx="5398935" cy="266359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6560" cy="2672289"/>
                    </a:xfrm>
                    <a:prstGeom prst="rect">
                      <a:avLst/>
                    </a:prstGeom>
                    <a:noFill/>
                  </pic:spPr>
                </pic:pic>
              </a:graphicData>
            </a:graphic>
          </wp:inline>
        </w:drawing>
      </w:r>
    </w:p>
    <w:p w:rsidR="002067AC" w:rsidRPr="002067AC" w:rsidRDefault="00821BB7" w:rsidP="0095655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 problematic disconnect between reliability preferences and market signals for reliability. </w:t>
      </w:r>
      <w:r w:rsidR="005A0BFF" w:rsidRPr="00302BAE">
        <w:rPr>
          <w:rFonts w:ascii="Times New Roman" w:hAnsi="Times New Roman" w:cs="Times New Roman"/>
          <w:color w:val="000000"/>
          <w:sz w:val="24"/>
          <w:szCs w:val="24"/>
        </w:rPr>
        <w:t>The Brattle Group (Brattle) recently updated its study on reserve margins in ERCOT and found that the market equilibrium reserve margin</w:t>
      </w:r>
      <w:r w:rsidR="005A0BFF">
        <w:rPr>
          <w:rFonts w:ascii="Times New Roman" w:hAnsi="Times New Roman" w:cs="Times New Roman"/>
          <w:color w:val="000000"/>
          <w:sz w:val="24"/>
          <w:szCs w:val="24"/>
        </w:rPr>
        <w:t xml:space="preserve"> (MERM)</w:t>
      </w:r>
      <w:r w:rsidR="005A0BFF" w:rsidRPr="00302BAE">
        <w:rPr>
          <w:rFonts w:ascii="Times New Roman" w:hAnsi="Times New Roman" w:cs="Times New Roman"/>
          <w:color w:val="000000"/>
          <w:sz w:val="24"/>
          <w:szCs w:val="24"/>
        </w:rPr>
        <w:t xml:space="preserve"> </w:t>
      </w:r>
      <w:r w:rsidR="00262B70">
        <w:rPr>
          <w:rFonts w:ascii="Times New Roman" w:hAnsi="Times New Roman" w:cs="Times New Roman"/>
          <w:color w:val="000000"/>
          <w:sz w:val="24"/>
          <w:szCs w:val="24"/>
        </w:rPr>
        <w:t xml:space="preserve">was </w:t>
      </w:r>
      <w:r w:rsidR="005A0BFF" w:rsidRPr="00302BAE">
        <w:rPr>
          <w:rFonts w:ascii="Times New Roman" w:hAnsi="Times New Roman" w:cs="Times New Roman"/>
          <w:color w:val="000000"/>
          <w:sz w:val="24"/>
          <w:szCs w:val="24"/>
        </w:rPr>
        <w:t>reduced by 0.5%</w:t>
      </w:r>
      <w:r w:rsidR="005A0BFF">
        <w:rPr>
          <w:rFonts w:ascii="Times New Roman" w:hAnsi="Times New Roman" w:cs="Times New Roman"/>
          <w:color w:val="000000"/>
          <w:sz w:val="24"/>
          <w:szCs w:val="24"/>
        </w:rPr>
        <w:t xml:space="preserve"> from the</w:t>
      </w:r>
      <w:r w:rsidR="00262B70">
        <w:rPr>
          <w:rFonts w:ascii="Times New Roman" w:hAnsi="Times New Roman" w:cs="Times New Roman"/>
          <w:color w:val="000000"/>
          <w:sz w:val="24"/>
          <w:szCs w:val="24"/>
        </w:rPr>
        <w:t>ir prior</w:t>
      </w:r>
      <w:r w:rsidR="005A0BFF">
        <w:rPr>
          <w:rFonts w:ascii="Times New Roman" w:hAnsi="Times New Roman" w:cs="Times New Roman"/>
          <w:color w:val="000000"/>
          <w:sz w:val="24"/>
          <w:szCs w:val="24"/>
        </w:rPr>
        <w:t xml:space="preserve"> 2014 study results just from additional renewables that would come online by 2022. The study also found that just adding </w:t>
      </w:r>
      <w:r w:rsidR="005A0BFF" w:rsidRPr="00302BAE">
        <w:rPr>
          <w:rFonts w:ascii="Times New Roman" w:hAnsi="Times New Roman" w:cs="Times New Roman"/>
          <w:color w:val="000000"/>
          <w:sz w:val="24"/>
          <w:szCs w:val="24"/>
        </w:rPr>
        <w:t>half of the renewable capacity currently undergoing interconnection would</w:t>
      </w:r>
      <w:r w:rsidR="005A0BFF">
        <w:rPr>
          <w:rFonts w:ascii="Times New Roman" w:hAnsi="Times New Roman" w:cs="Times New Roman"/>
          <w:color w:val="000000"/>
          <w:sz w:val="24"/>
          <w:szCs w:val="24"/>
        </w:rPr>
        <w:t xml:space="preserve"> further</w:t>
      </w:r>
      <w:r w:rsidR="005A0BFF" w:rsidRPr="00302BAE">
        <w:rPr>
          <w:rFonts w:ascii="Times New Roman" w:hAnsi="Times New Roman" w:cs="Times New Roman"/>
          <w:color w:val="000000"/>
          <w:sz w:val="24"/>
          <w:szCs w:val="24"/>
        </w:rPr>
        <w:t xml:space="preserve"> reduce the </w:t>
      </w:r>
      <w:r w:rsidR="005A0BFF">
        <w:rPr>
          <w:rFonts w:ascii="Times New Roman" w:hAnsi="Times New Roman" w:cs="Times New Roman"/>
          <w:color w:val="000000"/>
          <w:sz w:val="24"/>
          <w:szCs w:val="24"/>
        </w:rPr>
        <w:t xml:space="preserve">MERM </w:t>
      </w:r>
      <w:r w:rsidR="005A0BFF" w:rsidRPr="00302BAE">
        <w:rPr>
          <w:rFonts w:ascii="Times New Roman" w:hAnsi="Times New Roman" w:cs="Times New Roman"/>
          <w:color w:val="000000"/>
          <w:sz w:val="24"/>
          <w:szCs w:val="24"/>
        </w:rPr>
        <w:t xml:space="preserve">by </w:t>
      </w:r>
      <w:r w:rsidR="005A0BFF">
        <w:rPr>
          <w:rFonts w:ascii="Times New Roman" w:hAnsi="Times New Roman" w:cs="Times New Roman"/>
          <w:color w:val="000000"/>
          <w:sz w:val="24"/>
          <w:szCs w:val="24"/>
        </w:rPr>
        <w:t xml:space="preserve">an additional </w:t>
      </w:r>
      <w:r w:rsidR="005A0BFF" w:rsidRPr="00302BAE">
        <w:rPr>
          <w:rFonts w:ascii="Times New Roman" w:hAnsi="Times New Roman" w:cs="Times New Roman"/>
          <w:color w:val="000000"/>
          <w:sz w:val="24"/>
          <w:szCs w:val="24"/>
        </w:rPr>
        <w:t xml:space="preserve">1.0%, resulting in an additional </w:t>
      </w:r>
      <w:r w:rsidR="005A0BFF" w:rsidRPr="00302BAE">
        <w:rPr>
          <w:rFonts w:ascii="Times New Roman" w:hAnsi="Times New Roman" w:cs="Times New Roman"/>
          <w:color w:val="000000"/>
          <w:sz w:val="24"/>
          <w:szCs w:val="24"/>
        </w:rPr>
        <w:lastRenderedPageBreak/>
        <w:t>0.25 expected load shed events per year</w:t>
      </w:r>
      <w:r w:rsidR="00262B70">
        <w:rPr>
          <w:rFonts w:ascii="Times New Roman" w:hAnsi="Times New Roman" w:cs="Times New Roman"/>
          <w:color w:val="000000"/>
          <w:sz w:val="24"/>
          <w:szCs w:val="24"/>
        </w:rPr>
        <w:t>,</w:t>
      </w:r>
      <w:r w:rsidR="0095655C">
        <w:rPr>
          <w:rFonts w:ascii="Times New Roman" w:hAnsi="Times New Roman" w:cs="Times New Roman"/>
          <w:color w:val="000000"/>
          <w:sz w:val="24"/>
          <w:szCs w:val="24"/>
        </w:rPr>
        <w:t xml:space="preserve"> </w:t>
      </w:r>
      <w:r w:rsidR="00262B70">
        <w:rPr>
          <w:rFonts w:ascii="Times New Roman" w:hAnsi="Times New Roman" w:cs="Times New Roman"/>
          <w:color w:val="000000"/>
          <w:sz w:val="24"/>
          <w:szCs w:val="24"/>
        </w:rPr>
        <w:t>concluding that t</w:t>
      </w:r>
      <w:r w:rsidR="005A0BFF">
        <w:rPr>
          <w:rFonts w:ascii="Times New Roman" w:hAnsi="Times New Roman" w:cs="Times New Roman"/>
          <w:color w:val="000000"/>
          <w:sz w:val="24"/>
          <w:szCs w:val="24"/>
        </w:rPr>
        <w:t xml:space="preserve">his indicates </w:t>
      </w:r>
      <w:r w:rsidR="00262B70">
        <w:rPr>
          <w:rFonts w:ascii="Times New Roman" w:hAnsi="Times New Roman" w:cs="Times New Roman"/>
          <w:color w:val="000000"/>
          <w:sz w:val="24"/>
          <w:szCs w:val="24"/>
        </w:rPr>
        <w:t>“</w:t>
      </w:r>
      <w:r w:rsidR="005A0BFF">
        <w:rPr>
          <w:rFonts w:ascii="Times New Roman" w:hAnsi="Times New Roman" w:cs="Times New Roman"/>
          <w:color w:val="000000"/>
          <w:sz w:val="24"/>
          <w:szCs w:val="24"/>
        </w:rPr>
        <w:t>a future of declining reliability with increasing renewable</w:t>
      </w:r>
      <w:r w:rsidR="00262B70">
        <w:rPr>
          <w:rFonts w:ascii="Times New Roman" w:hAnsi="Times New Roman" w:cs="Times New Roman"/>
          <w:color w:val="000000"/>
          <w:sz w:val="24"/>
          <w:szCs w:val="24"/>
        </w:rPr>
        <w:t xml:space="preserve"> capacity</w:t>
      </w:r>
      <w:r w:rsidR="00D444EE">
        <w:rPr>
          <w:rFonts w:ascii="Times New Roman" w:hAnsi="Times New Roman" w:cs="Times New Roman"/>
          <w:color w:val="000000"/>
          <w:sz w:val="24"/>
          <w:szCs w:val="24"/>
        </w:rPr>
        <w:t>”</w:t>
      </w:r>
      <w:r w:rsidR="00262B70">
        <w:rPr>
          <w:rFonts w:ascii="Times New Roman" w:hAnsi="Times New Roman" w:cs="Times New Roman"/>
          <w:color w:val="000000"/>
          <w:sz w:val="24"/>
          <w:szCs w:val="24"/>
        </w:rPr>
        <w:t xml:space="preserve"> </w:t>
      </w:r>
      <w:r w:rsidR="00D444EE">
        <w:rPr>
          <w:rFonts w:ascii="Times New Roman" w:hAnsi="Times New Roman" w:cs="Times New Roman"/>
          <w:color w:val="000000"/>
          <w:sz w:val="24"/>
          <w:szCs w:val="24"/>
        </w:rPr>
        <w:t xml:space="preserve">unless </w:t>
      </w:r>
      <w:r w:rsidR="00262B70">
        <w:rPr>
          <w:rFonts w:ascii="Times New Roman" w:hAnsi="Times New Roman" w:cs="Times New Roman"/>
          <w:color w:val="000000"/>
          <w:sz w:val="24"/>
          <w:szCs w:val="24"/>
        </w:rPr>
        <w:t xml:space="preserve">there is </w:t>
      </w:r>
      <w:r w:rsidR="00D444EE">
        <w:rPr>
          <w:rFonts w:ascii="Times New Roman" w:hAnsi="Times New Roman" w:cs="Times New Roman"/>
          <w:color w:val="000000"/>
          <w:sz w:val="24"/>
          <w:szCs w:val="24"/>
        </w:rPr>
        <w:t xml:space="preserve">a </w:t>
      </w:r>
      <w:r w:rsidR="00262B70">
        <w:rPr>
          <w:rFonts w:ascii="Times New Roman" w:hAnsi="Times New Roman" w:cs="Times New Roman"/>
          <w:color w:val="000000"/>
          <w:sz w:val="24"/>
          <w:szCs w:val="24"/>
        </w:rPr>
        <w:t xml:space="preserve">corresponding </w:t>
      </w:r>
      <w:r w:rsidR="00D444EE">
        <w:rPr>
          <w:rFonts w:ascii="Times New Roman" w:hAnsi="Times New Roman" w:cs="Times New Roman"/>
          <w:color w:val="000000"/>
          <w:sz w:val="24"/>
          <w:szCs w:val="24"/>
        </w:rPr>
        <w:t>change to the ORDC or fundamental shifts in the costs of natural gas or energy storage</w:t>
      </w:r>
      <w:r w:rsidR="005A0BFF">
        <w:rPr>
          <w:rFonts w:ascii="Times New Roman" w:hAnsi="Times New Roman" w:cs="Times New Roman"/>
          <w:color w:val="000000"/>
          <w:sz w:val="24"/>
          <w:szCs w:val="24"/>
        </w:rPr>
        <w:t>.</w:t>
      </w:r>
      <w:r w:rsidR="00D444EE">
        <w:rPr>
          <w:rStyle w:val="FootnoteReference"/>
          <w:rFonts w:ascii="Times New Roman" w:hAnsi="Times New Roman" w:cs="Times New Roman"/>
          <w:i/>
          <w:sz w:val="24"/>
          <w:szCs w:val="24"/>
        </w:rPr>
        <w:footnoteReference w:id="21"/>
      </w:r>
      <w:r w:rsidR="005A0BFF" w:rsidRPr="00302B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Assuming that </w:t>
      </w:r>
      <w:r w:rsidR="002067AC" w:rsidRPr="002067AC">
        <w:rPr>
          <w:rFonts w:ascii="Times New Roman" w:hAnsi="Times New Roman" w:cs="Times New Roman"/>
          <w:color w:val="000000"/>
          <w:sz w:val="24"/>
          <w:szCs w:val="24"/>
        </w:rPr>
        <w:t>market</w:t>
      </w:r>
      <w:r w:rsidR="002067AC">
        <w:rPr>
          <w:rFonts w:ascii="Times New Roman" w:hAnsi="Times New Roman" w:cs="Times New Roman"/>
          <w:color w:val="000000"/>
          <w:sz w:val="24"/>
          <w:szCs w:val="24"/>
        </w:rPr>
        <w:t>-</w:t>
      </w:r>
      <w:r w:rsidR="002067AC" w:rsidRPr="002067AC">
        <w:rPr>
          <w:rFonts w:ascii="Times New Roman" w:hAnsi="Times New Roman" w:cs="Times New Roman"/>
          <w:color w:val="000000"/>
          <w:sz w:val="24"/>
          <w:szCs w:val="24"/>
        </w:rPr>
        <w:t xml:space="preserve">based investments </w:t>
      </w:r>
      <w:r>
        <w:rPr>
          <w:rFonts w:ascii="Times New Roman" w:hAnsi="Times New Roman" w:cs="Times New Roman"/>
          <w:color w:val="000000"/>
          <w:sz w:val="24"/>
          <w:szCs w:val="24"/>
        </w:rPr>
        <w:t xml:space="preserve">are </w:t>
      </w:r>
      <w:r w:rsidR="002067AC" w:rsidRPr="002067AC">
        <w:rPr>
          <w:rFonts w:ascii="Times New Roman" w:hAnsi="Times New Roman" w:cs="Times New Roman"/>
          <w:color w:val="000000"/>
          <w:sz w:val="24"/>
          <w:szCs w:val="24"/>
        </w:rPr>
        <w:t>based on average pricing signals</w:t>
      </w:r>
      <w:r>
        <w:rPr>
          <w:rFonts w:ascii="Times New Roman" w:hAnsi="Times New Roman" w:cs="Times New Roman"/>
          <w:color w:val="000000"/>
          <w:sz w:val="24"/>
          <w:szCs w:val="24"/>
        </w:rPr>
        <w:t>,</w:t>
      </w:r>
      <w:r w:rsidR="002067AC" w:rsidRPr="002067AC">
        <w:rPr>
          <w:rFonts w:ascii="Times New Roman" w:hAnsi="Times New Roman" w:cs="Times New Roman"/>
          <w:color w:val="000000"/>
          <w:sz w:val="24"/>
          <w:szCs w:val="24"/>
        </w:rPr>
        <w:t xml:space="preserve"> </w:t>
      </w:r>
      <w:r w:rsidR="005A0BFF">
        <w:rPr>
          <w:rFonts w:ascii="Times New Roman" w:hAnsi="Times New Roman" w:cs="Times New Roman"/>
          <w:color w:val="000000"/>
          <w:sz w:val="24"/>
          <w:szCs w:val="24"/>
        </w:rPr>
        <w:t xml:space="preserve"> invested firm </w:t>
      </w:r>
      <w:r>
        <w:rPr>
          <w:rFonts w:ascii="Times New Roman" w:hAnsi="Times New Roman" w:cs="Times New Roman"/>
          <w:color w:val="000000"/>
          <w:sz w:val="24"/>
          <w:szCs w:val="24"/>
        </w:rPr>
        <w:t>capacity</w:t>
      </w:r>
      <w:r w:rsidR="005A0BFF">
        <w:rPr>
          <w:rFonts w:ascii="Times New Roman" w:hAnsi="Times New Roman" w:cs="Times New Roman"/>
          <w:color w:val="000000"/>
          <w:sz w:val="24"/>
          <w:szCs w:val="24"/>
        </w:rPr>
        <w:t xml:space="preserve"> would be enough</w:t>
      </w:r>
      <w:r>
        <w:rPr>
          <w:rFonts w:ascii="Times New Roman" w:hAnsi="Times New Roman" w:cs="Times New Roman"/>
          <w:color w:val="000000"/>
          <w:sz w:val="24"/>
          <w:szCs w:val="24"/>
        </w:rPr>
        <w:t xml:space="preserve"> </w:t>
      </w:r>
      <w:r w:rsidR="002067AC" w:rsidRPr="002067AC">
        <w:rPr>
          <w:rFonts w:ascii="Times New Roman" w:hAnsi="Times New Roman" w:cs="Times New Roman"/>
          <w:color w:val="000000"/>
          <w:sz w:val="24"/>
          <w:szCs w:val="24"/>
        </w:rPr>
        <w:t xml:space="preserve">to support the </w:t>
      </w:r>
      <w:r w:rsidR="005A0BFF">
        <w:rPr>
          <w:rFonts w:ascii="Times New Roman" w:hAnsi="Times New Roman" w:cs="Times New Roman"/>
          <w:color w:val="000000"/>
          <w:sz w:val="24"/>
          <w:szCs w:val="24"/>
        </w:rPr>
        <w:t xml:space="preserve">reliability </w:t>
      </w:r>
      <w:r w:rsidR="002067AC" w:rsidRPr="002067AC">
        <w:rPr>
          <w:rFonts w:ascii="Times New Roman" w:hAnsi="Times New Roman" w:cs="Times New Roman"/>
          <w:color w:val="000000"/>
          <w:sz w:val="24"/>
          <w:szCs w:val="24"/>
        </w:rPr>
        <w:t xml:space="preserve">events </w:t>
      </w:r>
      <w:r w:rsidR="005A0BFF">
        <w:rPr>
          <w:rFonts w:ascii="Times New Roman" w:hAnsi="Times New Roman" w:cs="Times New Roman"/>
          <w:color w:val="000000"/>
          <w:sz w:val="24"/>
          <w:szCs w:val="24"/>
        </w:rPr>
        <w:t>only when the intermittent renewable resource (IRR) production is similar to or more than the level considered in the</w:t>
      </w:r>
      <w:r w:rsidR="005A0BFF" w:rsidRPr="002067AC">
        <w:rPr>
          <w:rFonts w:ascii="Times New Roman" w:hAnsi="Times New Roman" w:cs="Times New Roman"/>
          <w:color w:val="000000"/>
          <w:sz w:val="24"/>
          <w:szCs w:val="24"/>
        </w:rPr>
        <w:t xml:space="preserve"> </w:t>
      </w:r>
      <w:r w:rsidR="002067AC" w:rsidRPr="002067AC">
        <w:rPr>
          <w:rFonts w:ascii="Times New Roman" w:hAnsi="Times New Roman" w:cs="Times New Roman"/>
          <w:color w:val="000000"/>
          <w:sz w:val="24"/>
          <w:szCs w:val="24"/>
        </w:rPr>
        <w:t xml:space="preserve">average reserve margin levels. However, that level of investment might not be enough to ensure reliability under low IRR production scenarios when the operational reserve margin could be very low. </w:t>
      </w:r>
      <w:r w:rsidR="00D444EE">
        <w:rPr>
          <w:rFonts w:ascii="Times New Roman" w:hAnsi="Times New Roman" w:cs="Times New Roman"/>
          <w:color w:val="000000"/>
          <w:sz w:val="24"/>
          <w:szCs w:val="24"/>
        </w:rPr>
        <w:t xml:space="preserve">In other words, IRR peak load capacity factors vary widely enough to result in asymmetric risk to ERCOT reliability. </w:t>
      </w:r>
      <w:r w:rsidR="002067AC" w:rsidRPr="002067AC">
        <w:rPr>
          <w:rFonts w:ascii="Times New Roman" w:hAnsi="Times New Roman" w:cs="Times New Roman"/>
          <w:color w:val="000000"/>
          <w:sz w:val="24"/>
          <w:szCs w:val="24"/>
        </w:rPr>
        <w:t xml:space="preserve">Hence, to be in line with the level of tolerance for reliability events, additional </w:t>
      </w:r>
      <w:r w:rsidR="004453EB">
        <w:rPr>
          <w:rFonts w:ascii="Times New Roman" w:hAnsi="Times New Roman" w:cs="Times New Roman"/>
          <w:color w:val="000000"/>
          <w:sz w:val="24"/>
          <w:szCs w:val="24"/>
        </w:rPr>
        <w:t xml:space="preserve">scarcity </w:t>
      </w:r>
      <w:r w:rsidR="002067AC" w:rsidRPr="002067AC">
        <w:rPr>
          <w:rFonts w:ascii="Times New Roman" w:hAnsi="Times New Roman" w:cs="Times New Roman"/>
          <w:color w:val="000000"/>
          <w:sz w:val="24"/>
          <w:szCs w:val="24"/>
        </w:rPr>
        <w:t xml:space="preserve">pricing changes are needed to improve </w:t>
      </w:r>
      <w:r w:rsidR="00EF4CA6">
        <w:rPr>
          <w:rFonts w:ascii="Times New Roman" w:hAnsi="Times New Roman" w:cs="Times New Roman"/>
          <w:color w:val="000000"/>
          <w:sz w:val="24"/>
          <w:szCs w:val="24"/>
        </w:rPr>
        <w:t xml:space="preserve">predictability and therefore </w:t>
      </w:r>
      <w:r w:rsidR="002067AC" w:rsidRPr="002067AC">
        <w:rPr>
          <w:rFonts w:ascii="Times New Roman" w:hAnsi="Times New Roman" w:cs="Times New Roman"/>
          <w:color w:val="000000"/>
          <w:sz w:val="24"/>
          <w:szCs w:val="24"/>
        </w:rPr>
        <w:t>reliability by incentiviz</w:t>
      </w:r>
      <w:r w:rsidR="004453EB">
        <w:rPr>
          <w:rFonts w:ascii="Times New Roman" w:hAnsi="Times New Roman" w:cs="Times New Roman"/>
          <w:color w:val="000000"/>
          <w:sz w:val="24"/>
          <w:szCs w:val="24"/>
        </w:rPr>
        <w:t>ing</w:t>
      </w:r>
      <w:r w:rsidR="002067AC" w:rsidRPr="002067AC">
        <w:rPr>
          <w:rFonts w:ascii="Times New Roman" w:hAnsi="Times New Roman" w:cs="Times New Roman"/>
          <w:color w:val="000000"/>
          <w:sz w:val="24"/>
          <w:szCs w:val="24"/>
        </w:rPr>
        <w:t xml:space="preserve"> new builds </w:t>
      </w:r>
      <w:r w:rsidR="00D444EE">
        <w:rPr>
          <w:rFonts w:ascii="Times New Roman" w:hAnsi="Times New Roman" w:cs="Times New Roman"/>
          <w:color w:val="000000"/>
          <w:sz w:val="24"/>
          <w:szCs w:val="24"/>
        </w:rPr>
        <w:t xml:space="preserve">of </w:t>
      </w:r>
      <w:r w:rsidR="00814F19">
        <w:rPr>
          <w:rFonts w:ascii="Times New Roman" w:hAnsi="Times New Roman" w:cs="Times New Roman"/>
          <w:color w:val="000000"/>
          <w:sz w:val="24"/>
          <w:szCs w:val="24"/>
        </w:rPr>
        <w:t>and</w:t>
      </w:r>
      <w:r w:rsidR="002067AC" w:rsidRPr="002067AC">
        <w:rPr>
          <w:rFonts w:ascii="Times New Roman" w:hAnsi="Times New Roman" w:cs="Times New Roman"/>
          <w:color w:val="000000"/>
          <w:sz w:val="24"/>
          <w:szCs w:val="24"/>
        </w:rPr>
        <w:t xml:space="preserve"> </w:t>
      </w:r>
      <w:r w:rsidR="00814F19">
        <w:rPr>
          <w:rFonts w:ascii="Times New Roman" w:hAnsi="Times New Roman" w:cs="Times New Roman"/>
          <w:color w:val="000000"/>
          <w:sz w:val="24"/>
          <w:szCs w:val="24"/>
        </w:rPr>
        <w:t>maintain</w:t>
      </w:r>
      <w:r w:rsidR="004453EB">
        <w:rPr>
          <w:rFonts w:ascii="Times New Roman" w:hAnsi="Times New Roman" w:cs="Times New Roman"/>
          <w:color w:val="000000"/>
          <w:sz w:val="24"/>
          <w:szCs w:val="24"/>
        </w:rPr>
        <w:t>ing</w:t>
      </w:r>
      <w:r w:rsidR="00814F19">
        <w:rPr>
          <w:rFonts w:ascii="Times New Roman" w:hAnsi="Times New Roman" w:cs="Times New Roman"/>
          <w:color w:val="000000"/>
          <w:sz w:val="24"/>
          <w:szCs w:val="24"/>
        </w:rPr>
        <w:t xml:space="preserve"> existing</w:t>
      </w:r>
      <w:r w:rsidR="00814F19" w:rsidRPr="002067AC">
        <w:rPr>
          <w:rFonts w:ascii="Times New Roman" w:hAnsi="Times New Roman" w:cs="Times New Roman"/>
          <w:color w:val="000000"/>
          <w:sz w:val="24"/>
          <w:szCs w:val="24"/>
        </w:rPr>
        <w:t xml:space="preserve"> </w:t>
      </w:r>
      <w:r w:rsidR="002067AC" w:rsidRPr="002067AC">
        <w:rPr>
          <w:rFonts w:ascii="Times New Roman" w:hAnsi="Times New Roman" w:cs="Times New Roman"/>
          <w:color w:val="000000"/>
          <w:sz w:val="24"/>
          <w:szCs w:val="24"/>
        </w:rPr>
        <w:t xml:space="preserve">non-intermittent resources </w:t>
      </w:r>
      <w:proofErr w:type="gramStart"/>
      <w:r w:rsidR="002067AC" w:rsidRPr="002067AC">
        <w:rPr>
          <w:rFonts w:ascii="Times New Roman" w:hAnsi="Times New Roman" w:cs="Times New Roman"/>
          <w:color w:val="000000"/>
          <w:sz w:val="24"/>
          <w:szCs w:val="24"/>
        </w:rPr>
        <w:t>in order to</w:t>
      </w:r>
      <w:proofErr w:type="gramEnd"/>
      <w:r w:rsidR="002067AC" w:rsidRPr="002067AC">
        <w:rPr>
          <w:rFonts w:ascii="Times New Roman" w:hAnsi="Times New Roman" w:cs="Times New Roman"/>
          <w:color w:val="000000"/>
          <w:sz w:val="24"/>
          <w:szCs w:val="24"/>
        </w:rPr>
        <w:t xml:space="preserve"> </w:t>
      </w:r>
      <w:r w:rsidR="00814F19">
        <w:rPr>
          <w:rFonts w:ascii="Times New Roman" w:hAnsi="Times New Roman" w:cs="Times New Roman"/>
          <w:color w:val="000000"/>
          <w:sz w:val="24"/>
          <w:szCs w:val="24"/>
        </w:rPr>
        <w:t>support reliability</w:t>
      </w:r>
      <w:r w:rsidR="002067AC" w:rsidRPr="002067AC">
        <w:rPr>
          <w:rFonts w:ascii="Times New Roman" w:hAnsi="Times New Roman" w:cs="Times New Roman"/>
          <w:color w:val="000000"/>
          <w:sz w:val="24"/>
          <w:szCs w:val="24"/>
        </w:rPr>
        <w:t xml:space="preserve">. This will ensure that the whole range of operational reserve margin </w:t>
      </w:r>
      <w:r w:rsidR="00C03ED5">
        <w:rPr>
          <w:rFonts w:ascii="Times New Roman" w:hAnsi="Times New Roman" w:cs="Times New Roman"/>
          <w:color w:val="000000"/>
          <w:sz w:val="24"/>
          <w:szCs w:val="24"/>
        </w:rPr>
        <w:t xml:space="preserve">capacity </w:t>
      </w:r>
      <w:r w:rsidR="002067AC" w:rsidRPr="002067AC">
        <w:rPr>
          <w:rFonts w:ascii="Times New Roman" w:hAnsi="Times New Roman" w:cs="Times New Roman"/>
          <w:color w:val="000000"/>
          <w:sz w:val="24"/>
          <w:szCs w:val="24"/>
        </w:rPr>
        <w:t xml:space="preserve">will be higher </w:t>
      </w:r>
      <w:r>
        <w:rPr>
          <w:rFonts w:ascii="Times New Roman" w:hAnsi="Times New Roman" w:cs="Times New Roman"/>
          <w:color w:val="000000"/>
          <w:sz w:val="24"/>
          <w:szCs w:val="24"/>
        </w:rPr>
        <w:t xml:space="preserve">for a given planning reserve margin level </w:t>
      </w:r>
      <w:r w:rsidR="002067AC" w:rsidRPr="002067AC">
        <w:rPr>
          <w:rFonts w:ascii="Times New Roman" w:hAnsi="Times New Roman" w:cs="Times New Roman"/>
          <w:color w:val="000000"/>
          <w:sz w:val="24"/>
          <w:szCs w:val="24"/>
        </w:rPr>
        <w:t>and hence reduce the potential for reliability events under low IRR production levels</w:t>
      </w:r>
      <w:r w:rsidR="004453EB">
        <w:rPr>
          <w:rFonts w:ascii="Times New Roman" w:hAnsi="Times New Roman" w:cs="Times New Roman"/>
          <w:color w:val="000000"/>
          <w:sz w:val="24"/>
          <w:szCs w:val="24"/>
        </w:rPr>
        <w:t>.</w:t>
      </w:r>
      <w:r w:rsidR="002067AC" w:rsidRPr="002067AC">
        <w:rPr>
          <w:rFonts w:ascii="Times New Roman" w:hAnsi="Times New Roman" w:cs="Times New Roman"/>
          <w:color w:val="000000"/>
          <w:sz w:val="24"/>
          <w:szCs w:val="24"/>
        </w:rPr>
        <w:t xml:space="preserve"> </w:t>
      </w:r>
    </w:p>
    <w:p w:rsidR="002067AC" w:rsidRPr="00046768" w:rsidRDefault="002067AC" w:rsidP="0095655C">
      <w:pPr>
        <w:autoSpaceDE w:val="0"/>
        <w:autoSpaceDN w:val="0"/>
        <w:adjustRightInd w:val="0"/>
        <w:spacing w:line="360" w:lineRule="auto"/>
        <w:ind w:firstLine="720"/>
        <w:jc w:val="both"/>
        <w:rPr>
          <w:rFonts w:ascii="Times New Roman" w:hAnsi="Times New Roman" w:cs="Times New Roman"/>
          <w:sz w:val="24"/>
          <w:szCs w:val="24"/>
        </w:rPr>
      </w:pPr>
      <w:r w:rsidRPr="00046768">
        <w:rPr>
          <w:rFonts w:ascii="Times New Roman" w:hAnsi="Times New Roman" w:cs="Times New Roman"/>
          <w:sz w:val="24"/>
          <w:szCs w:val="24"/>
        </w:rPr>
        <w:t xml:space="preserve">The impacts of IRRs on price formation happen not just in summer but throughout the year. As discussed by Dr. Hogan and Dr. Pope, the size and extent of the investments in the subsidized assets or programs in ERCOT is not consistent with what a risk-taking investor would willingly invest based on the ERCOT energy market revenues. This additional investment, which might not have been here without the subsidies, has had a major suppressing effect on prices </w:t>
      </w:r>
      <w:r w:rsidR="00E92A4C">
        <w:rPr>
          <w:rFonts w:ascii="Times New Roman" w:hAnsi="Times New Roman" w:cs="Times New Roman"/>
          <w:sz w:val="24"/>
          <w:szCs w:val="24"/>
        </w:rPr>
        <w:t xml:space="preserve">not just in summer, but </w:t>
      </w:r>
      <w:r w:rsidRPr="00046768">
        <w:rPr>
          <w:rFonts w:ascii="Times New Roman" w:hAnsi="Times New Roman" w:cs="Times New Roman"/>
          <w:sz w:val="24"/>
          <w:szCs w:val="24"/>
        </w:rPr>
        <w:t xml:space="preserve">throughout the year. Market design </w:t>
      </w:r>
      <w:r w:rsidR="00C03ED5">
        <w:rPr>
          <w:rFonts w:ascii="Times New Roman" w:hAnsi="Times New Roman" w:cs="Times New Roman"/>
          <w:sz w:val="24"/>
          <w:szCs w:val="24"/>
        </w:rPr>
        <w:t xml:space="preserve">should consider </w:t>
      </w:r>
      <w:r w:rsidRPr="00046768">
        <w:rPr>
          <w:rFonts w:ascii="Times New Roman" w:hAnsi="Times New Roman" w:cs="Times New Roman"/>
          <w:sz w:val="24"/>
          <w:szCs w:val="24"/>
        </w:rPr>
        <w:t xml:space="preserve">this negative </w:t>
      </w:r>
      <w:r w:rsidR="00C03ED5">
        <w:rPr>
          <w:rFonts w:ascii="Times New Roman" w:hAnsi="Times New Roman" w:cs="Times New Roman"/>
          <w:sz w:val="24"/>
          <w:szCs w:val="24"/>
        </w:rPr>
        <w:t xml:space="preserve">externality </w:t>
      </w:r>
      <w:r w:rsidR="00D444EE">
        <w:rPr>
          <w:rFonts w:ascii="Times New Roman" w:hAnsi="Times New Roman" w:cs="Times New Roman"/>
          <w:sz w:val="24"/>
          <w:szCs w:val="24"/>
        </w:rPr>
        <w:t>on</w:t>
      </w:r>
      <w:r w:rsidR="00D444EE" w:rsidRPr="00046768">
        <w:rPr>
          <w:rFonts w:ascii="Times New Roman" w:hAnsi="Times New Roman" w:cs="Times New Roman"/>
          <w:sz w:val="24"/>
          <w:szCs w:val="24"/>
        </w:rPr>
        <w:t xml:space="preserve"> </w:t>
      </w:r>
      <w:r w:rsidRPr="00046768">
        <w:rPr>
          <w:rFonts w:ascii="Times New Roman" w:hAnsi="Times New Roman" w:cs="Times New Roman"/>
          <w:sz w:val="24"/>
          <w:szCs w:val="24"/>
        </w:rPr>
        <w:t xml:space="preserve">investment in </w:t>
      </w:r>
      <w:r w:rsidR="00C03ED5">
        <w:rPr>
          <w:rFonts w:ascii="Times New Roman" w:hAnsi="Times New Roman" w:cs="Times New Roman"/>
          <w:sz w:val="24"/>
          <w:szCs w:val="24"/>
        </w:rPr>
        <w:t xml:space="preserve">firm </w:t>
      </w:r>
      <w:r w:rsidRPr="00046768">
        <w:rPr>
          <w:rFonts w:ascii="Times New Roman" w:hAnsi="Times New Roman" w:cs="Times New Roman"/>
          <w:sz w:val="24"/>
          <w:szCs w:val="24"/>
        </w:rPr>
        <w:t xml:space="preserve">electricity assets needed to sustain reliability. </w:t>
      </w:r>
    </w:p>
    <w:p w:rsidR="002067AC" w:rsidRPr="00046768" w:rsidRDefault="002067AC" w:rsidP="0095655C">
      <w:pPr>
        <w:autoSpaceDE w:val="0"/>
        <w:autoSpaceDN w:val="0"/>
        <w:adjustRightInd w:val="0"/>
        <w:spacing w:line="360" w:lineRule="auto"/>
        <w:ind w:firstLine="720"/>
        <w:jc w:val="both"/>
        <w:rPr>
          <w:rFonts w:ascii="Times New Roman" w:hAnsi="Times New Roman" w:cs="Times New Roman"/>
          <w:sz w:val="24"/>
          <w:szCs w:val="24"/>
        </w:rPr>
      </w:pPr>
      <w:r w:rsidRPr="00046768">
        <w:rPr>
          <w:rFonts w:ascii="Times New Roman" w:hAnsi="Times New Roman" w:cs="Times New Roman"/>
          <w:sz w:val="24"/>
          <w:szCs w:val="24"/>
        </w:rPr>
        <w:t>The production from IRRs over the peak hours in summer rose from less than 1</w:t>
      </w:r>
      <w:r w:rsidR="00E03753">
        <w:rPr>
          <w:rFonts w:ascii="Times New Roman" w:hAnsi="Times New Roman" w:cs="Times New Roman"/>
          <w:sz w:val="24"/>
          <w:szCs w:val="24"/>
        </w:rPr>
        <w:t>,</w:t>
      </w:r>
      <w:r w:rsidRPr="00046768">
        <w:rPr>
          <w:rFonts w:ascii="Times New Roman" w:hAnsi="Times New Roman" w:cs="Times New Roman"/>
          <w:sz w:val="24"/>
          <w:szCs w:val="24"/>
        </w:rPr>
        <w:t>000</w:t>
      </w:r>
      <w:r w:rsidR="00E03753">
        <w:rPr>
          <w:rFonts w:ascii="Times New Roman" w:hAnsi="Times New Roman" w:cs="Times New Roman"/>
          <w:sz w:val="24"/>
          <w:szCs w:val="24"/>
        </w:rPr>
        <w:t xml:space="preserve"> </w:t>
      </w:r>
      <w:r w:rsidRPr="00046768">
        <w:rPr>
          <w:rFonts w:ascii="Times New Roman" w:hAnsi="Times New Roman" w:cs="Times New Roman"/>
          <w:sz w:val="24"/>
          <w:szCs w:val="24"/>
        </w:rPr>
        <w:t>MW in 2012 to more than 7</w:t>
      </w:r>
      <w:r w:rsidR="00E03753">
        <w:rPr>
          <w:rFonts w:ascii="Times New Roman" w:hAnsi="Times New Roman" w:cs="Times New Roman"/>
          <w:sz w:val="24"/>
          <w:szCs w:val="24"/>
        </w:rPr>
        <w:t>,</w:t>
      </w:r>
      <w:r w:rsidRPr="00046768">
        <w:rPr>
          <w:rFonts w:ascii="Times New Roman" w:hAnsi="Times New Roman" w:cs="Times New Roman"/>
          <w:sz w:val="24"/>
          <w:szCs w:val="24"/>
        </w:rPr>
        <w:t>500</w:t>
      </w:r>
      <w:r w:rsidR="00E03753">
        <w:rPr>
          <w:rFonts w:ascii="Times New Roman" w:hAnsi="Times New Roman" w:cs="Times New Roman"/>
          <w:sz w:val="24"/>
          <w:szCs w:val="24"/>
        </w:rPr>
        <w:t xml:space="preserve"> </w:t>
      </w:r>
      <w:r w:rsidRPr="00046768">
        <w:rPr>
          <w:rFonts w:ascii="Times New Roman" w:hAnsi="Times New Roman" w:cs="Times New Roman"/>
          <w:sz w:val="24"/>
          <w:szCs w:val="24"/>
        </w:rPr>
        <w:t>MW in 2018</w:t>
      </w:r>
      <w:r w:rsidR="00E03753">
        <w:rPr>
          <w:rFonts w:ascii="Times New Roman" w:hAnsi="Times New Roman" w:cs="Times New Roman"/>
          <w:sz w:val="24"/>
          <w:szCs w:val="24"/>
        </w:rPr>
        <w:t>,</w:t>
      </w:r>
      <w:r w:rsidRPr="00046768">
        <w:rPr>
          <w:rFonts w:ascii="Times New Roman" w:hAnsi="Times New Roman" w:cs="Times New Roman"/>
          <w:sz w:val="24"/>
          <w:szCs w:val="24"/>
        </w:rPr>
        <w:t xml:space="preserve"> which is more than 2</w:t>
      </w:r>
      <w:r w:rsidR="00E03753">
        <w:rPr>
          <w:rFonts w:ascii="Times New Roman" w:hAnsi="Times New Roman" w:cs="Times New Roman"/>
          <w:sz w:val="24"/>
          <w:szCs w:val="24"/>
        </w:rPr>
        <w:t>,</w:t>
      </w:r>
      <w:r w:rsidRPr="00046768">
        <w:rPr>
          <w:rFonts w:ascii="Times New Roman" w:hAnsi="Times New Roman" w:cs="Times New Roman"/>
          <w:sz w:val="24"/>
          <w:szCs w:val="24"/>
        </w:rPr>
        <w:t>000</w:t>
      </w:r>
      <w:r w:rsidR="00E03753">
        <w:rPr>
          <w:rFonts w:ascii="Times New Roman" w:hAnsi="Times New Roman" w:cs="Times New Roman"/>
          <w:sz w:val="24"/>
          <w:szCs w:val="24"/>
        </w:rPr>
        <w:t xml:space="preserve"> </w:t>
      </w:r>
      <w:r w:rsidRPr="00046768">
        <w:rPr>
          <w:rFonts w:ascii="Times New Roman" w:hAnsi="Times New Roman" w:cs="Times New Roman"/>
          <w:sz w:val="24"/>
          <w:szCs w:val="24"/>
        </w:rPr>
        <w:t>MW higher than the production in 2017</w:t>
      </w:r>
      <w:r w:rsidR="00CE5233">
        <w:rPr>
          <w:rFonts w:ascii="Times New Roman" w:hAnsi="Times New Roman" w:cs="Times New Roman"/>
          <w:sz w:val="24"/>
          <w:szCs w:val="24"/>
        </w:rPr>
        <w:t>.</w:t>
      </w:r>
      <w:r w:rsidRPr="00046768">
        <w:rPr>
          <w:rFonts w:ascii="Times New Roman" w:eastAsia="Times New Roman" w:hAnsi="Times New Roman" w:cs="Times New Roman"/>
          <w:i/>
          <w:sz w:val="24"/>
          <w:szCs w:val="24"/>
          <w:vertAlign w:val="superscript"/>
          <w:lang w:bidi="en-US"/>
        </w:rPr>
        <w:footnoteReference w:id="22"/>
      </w:r>
      <w:r w:rsidRPr="00046768">
        <w:rPr>
          <w:rFonts w:ascii="Times New Roman" w:hAnsi="Times New Roman" w:cs="Times New Roman"/>
          <w:sz w:val="24"/>
          <w:szCs w:val="24"/>
        </w:rPr>
        <w:t xml:space="preserve"> The installed capacity of IRRs has </w:t>
      </w:r>
      <w:r w:rsidR="00C92B10">
        <w:rPr>
          <w:rFonts w:ascii="Times New Roman" w:hAnsi="Times New Roman" w:cs="Times New Roman"/>
          <w:sz w:val="24"/>
          <w:szCs w:val="24"/>
        </w:rPr>
        <w:t>roughly doubled</w:t>
      </w:r>
      <w:r w:rsidR="00C92B10" w:rsidRPr="00046768">
        <w:rPr>
          <w:rFonts w:ascii="Times New Roman" w:hAnsi="Times New Roman" w:cs="Times New Roman"/>
          <w:sz w:val="24"/>
          <w:szCs w:val="24"/>
        </w:rPr>
        <w:t xml:space="preserve"> </w:t>
      </w:r>
      <w:r w:rsidRPr="00046768">
        <w:rPr>
          <w:rFonts w:ascii="Times New Roman" w:hAnsi="Times New Roman" w:cs="Times New Roman"/>
          <w:sz w:val="24"/>
          <w:szCs w:val="24"/>
        </w:rPr>
        <w:t>from a little over 11</w:t>
      </w:r>
      <w:r w:rsidR="00CE5233">
        <w:rPr>
          <w:rFonts w:ascii="Times New Roman" w:hAnsi="Times New Roman" w:cs="Times New Roman"/>
          <w:sz w:val="24"/>
          <w:szCs w:val="24"/>
        </w:rPr>
        <w:t xml:space="preserve"> </w:t>
      </w:r>
      <w:r w:rsidRPr="00046768">
        <w:rPr>
          <w:rFonts w:ascii="Times New Roman" w:hAnsi="Times New Roman" w:cs="Times New Roman"/>
          <w:sz w:val="24"/>
          <w:szCs w:val="24"/>
        </w:rPr>
        <w:t xml:space="preserve">GW in 2012 to </w:t>
      </w:r>
      <w:r w:rsidR="00CE5233">
        <w:rPr>
          <w:rFonts w:ascii="Times New Roman" w:hAnsi="Times New Roman" w:cs="Times New Roman"/>
          <w:sz w:val="24"/>
          <w:szCs w:val="24"/>
        </w:rPr>
        <w:t xml:space="preserve">more than </w:t>
      </w:r>
      <w:r w:rsidRPr="00046768">
        <w:rPr>
          <w:rFonts w:ascii="Times New Roman" w:hAnsi="Times New Roman" w:cs="Times New Roman"/>
          <w:sz w:val="24"/>
          <w:szCs w:val="24"/>
        </w:rPr>
        <w:t>22</w:t>
      </w:r>
      <w:r w:rsidR="00CE5233">
        <w:rPr>
          <w:rFonts w:ascii="Times New Roman" w:hAnsi="Times New Roman" w:cs="Times New Roman"/>
          <w:sz w:val="24"/>
          <w:szCs w:val="24"/>
        </w:rPr>
        <w:t xml:space="preserve"> </w:t>
      </w:r>
      <w:r w:rsidRPr="00046768">
        <w:rPr>
          <w:rFonts w:ascii="Times New Roman" w:hAnsi="Times New Roman" w:cs="Times New Roman"/>
          <w:sz w:val="24"/>
          <w:szCs w:val="24"/>
        </w:rPr>
        <w:t>GW in 2018. This trend is still continuing as there is already more than 15</w:t>
      </w:r>
      <w:r w:rsidR="00CE5233">
        <w:rPr>
          <w:rFonts w:ascii="Times New Roman" w:hAnsi="Times New Roman" w:cs="Times New Roman"/>
          <w:sz w:val="24"/>
          <w:szCs w:val="24"/>
        </w:rPr>
        <w:t xml:space="preserve"> </w:t>
      </w:r>
      <w:r w:rsidRPr="00046768">
        <w:rPr>
          <w:rFonts w:ascii="Times New Roman" w:hAnsi="Times New Roman" w:cs="Times New Roman"/>
          <w:sz w:val="24"/>
          <w:szCs w:val="24"/>
        </w:rPr>
        <w:t>GW of IRRs with signed interconnection agreement</w:t>
      </w:r>
      <w:r w:rsidR="00D12AB9">
        <w:rPr>
          <w:rFonts w:ascii="Times New Roman" w:hAnsi="Times New Roman" w:cs="Times New Roman"/>
          <w:sz w:val="24"/>
          <w:szCs w:val="24"/>
        </w:rPr>
        <w:t>s</w:t>
      </w:r>
      <w:r w:rsidRPr="00046768">
        <w:rPr>
          <w:rFonts w:ascii="Times New Roman" w:hAnsi="Times New Roman" w:cs="Times New Roman"/>
          <w:sz w:val="24"/>
          <w:szCs w:val="24"/>
        </w:rPr>
        <w:t xml:space="preserve"> and more than 55GW of IRRs in different stages of </w:t>
      </w:r>
      <w:r w:rsidRPr="00046768">
        <w:rPr>
          <w:rFonts w:ascii="Times New Roman" w:hAnsi="Times New Roman" w:cs="Times New Roman"/>
          <w:sz w:val="24"/>
          <w:szCs w:val="24"/>
        </w:rPr>
        <w:lastRenderedPageBreak/>
        <w:t>study process</w:t>
      </w:r>
      <w:r w:rsidR="00CE5233">
        <w:rPr>
          <w:rFonts w:ascii="Times New Roman" w:hAnsi="Times New Roman" w:cs="Times New Roman"/>
          <w:sz w:val="24"/>
          <w:szCs w:val="24"/>
        </w:rPr>
        <w:t>.</w:t>
      </w:r>
      <w:r w:rsidRPr="00046768">
        <w:rPr>
          <w:rFonts w:ascii="Times New Roman" w:eastAsia="Times New Roman" w:hAnsi="Times New Roman" w:cs="Times New Roman"/>
          <w:i/>
          <w:sz w:val="24"/>
          <w:szCs w:val="24"/>
          <w:vertAlign w:val="superscript"/>
          <w:lang w:bidi="en-US"/>
        </w:rPr>
        <w:footnoteReference w:id="23"/>
      </w:r>
      <w:r w:rsidRPr="00046768">
        <w:rPr>
          <w:rFonts w:ascii="Times New Roman" w:hAnsi="Times New Roman" w:cs="Times New Roman"/>
          <w:sz w:val="24"/>
          <w:szCs w:val="24"/>
        </w:rPr>
        <w:t xml:space="preserve"> The level of price suppression caused by these IRRs depends on many factors like the load level, the commitment pattern, marginal resource offer, steepness of the supply curve, </w:t>
      </w:r>
      <w:r w:rsidR="00D12AB9">
        <w:rPr>
          <w:rFonts w:ascii="Times New Roman" w:hAnsi="Times New Roman" w:cs="Times New Roman"/>
          <w:sz w:val="24"/>
          <w:szCs w:val="24"/>
        </w:rPr>
        <w:t>gas price</w:t>
      </w:r>
      <w:r w:rsidR="00FE0E24">
        <w:rPr>
          <w:rFonts w:ascii="Times New Roman" w:hAnsi="Times New Roman" w:cs="Times New Roman"/>
          <w:sz w:val="24"/>
          <w:szCs w:val="24"/>
        </w:rPr>
        <w:t>s</w:t>
      </w:r>
      <w:r w:rsidRPr="00046768">
        <w:rPr>
          <w:rFonts w:ascii="Times New Roman" w:hAnsi="Times New Roman" w:cs="Times New Roman"/>
          <w:sz w:val="24"/>
          <w:szCs w:val="24"/>
        </w:rPr>
        <w:t>,</w:t>
      </w:r>
      <w:r w:rsidR="00046768">
        <w:rPr>
          <w:rFonts w:ascii="Times New Roman" w:hAnsi="Times New Roman" w:cs="Times New Roman"/>
          <w:sz w:val="24"/>
          <w:szCs w:val="24"/>
        </w:rPr>
        <w:t xml:space="preserve"> and</w:t>
      </w:r>
      <w:r w:rsidRPr="00046768">
        <w:rPr>
          <w:rFonts w:ascii="Times New Roman" w:hAnsi="Times New Roman" w:cs="Times New Roman"/>
          <w:sz w:val="24"/>
          <w:szCs w:val="24"/>
        </w:rPr>
        <w:t xml:space="preserve"> forecast error of these IRRs.</w:t>
      </w:r>
      <w:r w:rsidR="00EB3CD8">
        <w:rPr>
          <w:rFonts w:ascii="Times New Roman" w:hAnsi="Times New Roman" w:cs="Times New Roman"/>
          <w:sz w:val="24"/>
          <w:szCs w:val="24"/>
        </w:rPr>
        <w:t xml:space="preserve"> </w:t>
      </w:r>
      <w:r w:rsidR="00337FAE">
        <w:rPr>
          <w:rFonts w:ascii="Times New Roman" w:hAnsi="Times New Roman" w:cs="Times New Roman"/>
          <w:sz w:val="24"/>
          <w:szCs w:val="24"/>
        </w:rPr>
        <w:t>The two graphs</w:t>
      </w:r>
      <w:r w:rsidR="00337FAE" w:rsidRPr="00046768">
        <w:rPr>
          <w:rFonts w:ascii="Times New Roman" w:eastAsia="Times New Roman" w:hAnsi="Times New Roman" w:cs="Times New Roman"/>
          <w:i/>
          <w:sz w:val="24"/>
          <w:szCs w:val="24"/>
          <w:vertAlign w:val="superscript"/>
          <w:lang w:bidi="en-US"/>
        </w:rPr>
        <w:footnoteReference w:id="24"/>
      </w:r>
      <w:r w:rsidR="00337FAE">
        <w:rPr>
          <w:rFonts w:ascii="Times New Roman" w:hAnsi="Times New Roman" w:cs="Times New Roman"/>
          <w:sz w:val="24"/>
          <w:szCs w:val="24"/>
        </w:rPr>
        <w:t xml:space="preserve"> below show the impact of shifting of supply curve by </w:t>
      </w:r>
      <w:r w:rsidR="00FB5F4E">
        <w:rPr>
          <w:rFonts w:ascii="Times New Roman" w:hAnsi="Times New Roman" w:cs="Times New Roman"/>
          <w:sz w:val="24"/>
          <w:szCs w:val="24"/>
        </w:rPr>
        <w:t xml:space="preserve">this </w:t>
      </w:r>
      <w:r w:rsidR="00337FAE">
        <w:rPr>
          <w:rFonts w:ascii="Times New Roman" w:hAnsi="Times New Roman" w:cs="Times New Roman"/>
          <w:sz w:val="24"/>
          <w:szCs w:val="24"/>
        </w:rPr>
        <w:t xml:space="preserve">additional </w:t>
      </w:r>
      <w:r w:rsidR="00FB5F4E">
        <w:rPr>
          <w:rFonts w:ascii="Times New Roman" w:hAnsi="Times New Roman" w:cs="Times New Roman"/>
          <w:sz w:val="24"/>
          <w:szCs w:val="24"/>
        </w:rPr>
        <w:t>anticipated IRR capacity, adjusted for the respective current CDR capacity factors</w:t>
      </w:r>
      <w:r w:rsidR="00337FAE">
        <w:rPr>
          <w:rFonts w:ascii="Times New Roman" w:hAnsi="Times New Roman" w:cs="Times New Roman"/>
          <w:sz w:val="24"/>
          <w:szCs w:val="24"/>
        </w:rPr>
        <w:t xml:space="preserve">. These graphs </w:t>
      </w:r>
      <w:r w:rsidR="00FB5F4E">
        <w:rPr>
          <w:rFonts w:ascii="Times New Roman" w:hAnsi="Times New Roman" w:cs="Times New Roman"/>
          <w:sz w:val="24"/>
          <w:szCs w:val="24"/>
        </w:rPr>
        <w:t xml:space="preserve">are generic marginal cost-based examples produced by ERCOT and simply modified by </w:t>
      </w:r>
      <w:r w:rsidR="00F01803">
        <w:rPr>
          <w:rFonts w:ascii="Times New Roman" w:hAnsi="Times New Roman" w:cs="Times New Roman"/>
          <w:sz w:val="24"/>
          <w:szCs w:val="24"/>
        </w:rPr>
        <w:t>TCPA</w:t>
      </w:r>
      <w:r w:rsidR="00FB5F4E">
        <w:rPr>
          <w:rFonts w:ascii="Times New Roman" w:hAnsi="Times New Roman" w:cs="Times New Roman"/>
          <w:sz w:val="24"/>
          <w:szCs w:val="24"/>
        </w:rPr>
        <w:t xml:space="preserve"> to show a straightforward outward shift; as such, t</w:t>
      </w:r>
      <w:r w:rsidR="00337FAE">
        <w:rPr>
          <w:rFonts w:ascii="Times New Roman" w:hAnsi="Times New Roman" w:cs="Times New Roman"/>
          <w:sz w:val="24"/>
          <w:szCs w:val="24"/>
        </w:rPr>
        <w:t>he impact under actual market scenarios</w:t>
      </w:r>
      <w:r w:rsidR="00FB5F4E">
        <w:rPr>
          <w:rFonts w:ascii="Times New Roman" w:hAnsi="Times New Roman" w:cs="Times New Roman"/>
          <w:sz w:val="24"/>
          <w:szCs w:val="24"/>
        </w:rPr>
        <w:t xml:space="preserve"> would likely be greater than these visuals imply</w:t>
      </w:r>
      <w:r w:rsidR="00337FAE">
        <w:rPr>
          <w:rFonts w:ascii="Times New Roman" w:hAnsi="Times New Roman" w:cs="Times New Roman"/>
          <w:sz w:val="24"/>
          <w:szCs w:val="24"/>
        </w:rPr>
        <w:t xml:space="preserve">.   </w:t>
      </w:r>
    </w:p>
    <w:p w:rsidR="002067AC" w:rsidRDefault="00C657D5" w:rsidP="002067AC">
      <w:pPr>
        <w:autoSpaceDE w:val="0"/>
        <w:autoSpaceDN w:val="0"/>
        <w:adjustRightInd w:val="0"/>
        <w:jc w:val="both"/>
        <w:rPr>
          <w:rFonts w:asciiTheme="majorHAnsi" w:hAnsiTheme="majorHAnsi"/>
        </w:rPr>
      </w:pPr>
      <w:r>
        <w:rPr>
          <w:rFonts w:asciiTheme="majorHAnsi" w:hAnsiTheme="majorHAnsi"/>
          <w:noProof/>
        </w:rPr>
        <w:drawing>
          <wp:inline distT="0" distB="0" distL="0" distR="0" wp14:anchorId="78E11182" wp14:editId="314E84A3">
            <wp:extent cx="5943600" cy="3476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76625"/>
                    </a:xfrm>
                    <a:prstGeom prst="rect">
                      <a:avLst/>
                    </a:prstGeom>
                    <a:noFill/>
                    <a:ln>
                      <a:noFill/>
                    </a:ln>
                  </pic:spPr>
                </pic:pic>
              </a:graphicData>
            </a:graphic>
          </wp:inline>
        </w:drawing>
      </w:r>
    </w:p>
    <w:p w:rsidR="007A65EB" w:rsidRDefault="007A65EB" w:rsidP="002067AC">
      <w:pPr>
        <w:autoSpaceDE w:val="0"/>
        <w:autoSpaceDN w:val="0"/>
        <w:adjustRightInd w:val="0"/>
        <w:jc w:val="both"/>
        <w:rPr>
          <w:rFonts w:asciiTheme="majorHAnsi" w:hAnsiTheme="majorHAnsi"/>
        </w:rPr>
      </w:pPr>
      <w:r>
        <w:rPr>
          <w:rFonts w:asciiTheme="majorHAnsi" w:hAnsiTheme="majorHAnsi"/>
          <w:noProof/>
        </w:rPr>
        <w:lastRenderedPageBreak/>
        <w:drawing>
          <wp:inline distT="0" distB="0" distL="0" distR="0" wp14:anchorId="1AA5A7A9" wp14:editId="790554D0">
            <wp:extent cx="5934075" cy="3343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343275"/>
                    </a:xfrm>
                    <a:prstGeom prst="rect">
                      <a:avLst/>
                    </a:prstGeom>
                    <a:noFill/>
                    <a:ln>
                      <a:noFill/>
                    </a:ln>
                  </pic:spPr>
                </pic:pic>
              </a:graphicData>
            </a:graphic>
          </wp:inline>
        </w:drawing>
      </w:r>
    </w:p>
    <w:p w:rsidR="002067AC" w:rsidRDefault="002067AC" w:rsidP="002067AC">
      <w:pPr>
        <w:autoSpaceDE w:val="0"/>
        <w:autoSpaceDN w:val="0"/>
        <w:adjustRightInd w:val="0"/>
        <w:jc w:val="both"/>
        <w:rPr>
          <w:rFonts w:asciiTheme="majorHAnsi" w:hAnsiTheme="majorHAnsi"/>
        </w:rPr>
      </w:pPr>
    </w:p>
    <w:p w:rsidR="002067AC" w:rsidRDefault="002067AC" w:rsidP="0095655C">
      <w:pPr>
        <w:autoSpaceDE w:val="0"/>
        <w:autoSpaceDN w:val="0"/>
        <w:adjustRightInd w:val="0"/>
        <w:spacing w:line="360" w:lineRule="auto"/>
        <w:ind w:firstLine="720"/>
        <w:jc w:val="both"/>
        <w:rPr>
          <w:rFonts w:ascii="Times New Roman" w:hAnsi="Times New Roman" w:cs="Times New Roman"/>
          <w:sz w:val="24"/>
          <w:szCs w:val="24"/>
        </w:rPr>
      </w:pPr>
      <w:r w:rsidRPr="00046768">
        <w:rPr>
          <w:rFonts w:ascii="Times New Roman" w:hAnsi="Times New Roman" w:cs="Times New Roman"/>
          <w:sz w:val="24"/>
          <w:szCs w:val="24"/>
        </w:rPr>
        <w:t xml:space="preserve">Market design could be </w:t>
      </w:r>
      <w:r w:rsidR="00D04111">
        <w:rPr>
          <w:rFonts w:ascii="Times New Roman" w:hAnsi="Times New Roman" w:cs="Times New Roman"/>
          <w:sz w:val="24"/>
          <w:szCs w:val="24"/>
        </w:rPr>
        <w:t>tweaked</w:t>
      </w:r>
      <w:r w:rsidR="00D04111" w:rsidRPr="00046768">
        <w:rPr>
          <w:rFonts w:ascii="Times New Roman" w:hAnsi="Times New Roman" w:cs="Times New Roman"/>
          <w:sz w:val="24"/>
          <w:szCs w:val="24"/>
        </w:rPr>
        <w:t xml:space="preserve"> </w:t>
      </w:r>
      <w:r w:rsidRPr="00046768">
        <w:rPr>
          <w:rFonts w:ascii="Times New Roman" w:hAnsi="Times New Roman" w:cs="Times New Roman"/>
          <w:sz w:val="24"/>
          <w:szCs w:val="24"/>
        </w:rPr>
        <w:t xml:space="preserve">in different ways to </w:t>
      </w:r>
      <w:r w:rsidR="00D04111">
        <w:rPr>
          <w:rFonts w:ascii="Times New Roman" w:hAnsi="Times New Roman" w:cs="Times New Roman"/>
          <w:sz w:val="24"/>
          <w:szCs w:val="24"/>
        </w:rPr>
        <w:t xml:space="preserve">better </w:t>
      </w:r>
      <w:r w:rsidRPr="00046768">
        <w:rPr>
          <w:rFonts w:ascii="Times New Roman" w:hAnsi="Times New Roman" w:cs="Times New Roman"/>
          <w:sz w:val="24"/>
          <w:szCs w:val="24"/>
        </w:rPr>
        <w:t>incentiv</w:t>
      </w:r>
      <w:r w:rsidR="00D04111">
        <w:rPr>
          <w:rFonts w:ascii="Times New Roman" w:hAnsi="Times New Roman" w:cs="Times New Roman"/>
          <w:sz w:val="24"/>
          <w:szCs w:val="24"/>
        </w:rPr>
        <w:t>iz</w:t>
      </w:r>
      <w:r w:rsidRPr="00046768">
        <w:rPr>
          <w:rFonts w:ascii="Times New Roman" w:hAnsi="Times New Roman" w:cs="Times New Roman"/>
          <w:sz w:val="24"/>
          <w:szCs w:val="24"/>
        </w:rPr>
        <w:t>e reduce</w:t>
      </w:r>
      <w:r w:rsidR="00D04111">
        <w:rPr>
          <w:rFonts w:ascii="Times New Roman" w:hAnsi="Times New Roman" w:cs="Times New Roman"/>
          <w:sz w:val="24"/>
          <w:szCs w:val="24"/>
        </w:rPr>
        <w:t>d</w:t>
      </w:r>
      <w:r w:rsidRPr="00046768">
        <w:rPr>
          <w:rFonts w:ascii="Times New Roman" w:hAnsi="Times New Roman" w:cs="Times New Roman"/>
          <w:sz w:val="24"/>
          <w:szCs w:val="24"/>
        </w:rPr>
        <w:t xml:space="preserve"> intermittency and investment in </w:t>
      </w:r>
      <w:r w:rsidR="00D04111">
        <w:rPr>
          <w:rFonts w:ascii="Times New Roman" w:hAnsi="Times New Roman" w:cs="Times New Roman"/>
          <w:sz w:val="24"/>
          <w:szCs w:val="24"/>
        </w:rPr>
        <w:t xml:space="preserve">dispatchable </w:t>
      </w:r>
      <w:r w:rsidRPr="00046768">
        <w:rPr>
          <w:rFonts w:ascii="Times New Roman" w:hAnsi="Times New Roman" w:cs="Times New Roman"/>
          <w:sz w:val="24"/>
          <w:szCs w:val="24"/>
        </w:rPr>
        <w:t xml:space="preserve">electricity assets needed to sustain reliability. Changes could range from </w:t>
      </w:r>
      <w:r w:rsidR="00D04111">
        <w:rPr>
          <w:rFonts w:ascii="Times New Roman" w:hAnsi="Times New Roman" w:cs="Times New Roman"/>
          <w:sz w:val="24"/>
          <w:szCs w:val="24"/>
        </w:rPr>
        <w:t xml:space="preserve">partially offsetting </w:t>
      </w:r>
      <w:r w:rsidRPr="00046768">
        <w:rPr>
          <w:rFonts w:ascii="Times New Roman" w:hAnsi="Times New Roman" w:cs="Times New Roman"/>
          <w:sz w:val="24"/>
          <w:szCs w:val="24"/>
        </w:rPr>
        <w:t xml:space="preserve">price suppression by ORDC modifications </w:t>
      </w:r>
      <w:r w:rsidR="00D04111">
        <w:rPr>
          <w:rFonts w:ascii="Times New Roman" w:hAnsi="Times New Roman" w:cs="Times New Roman"/>
          <w:sz w:val="24"/>
          <w:szCs w:val="24"/>
        </w:rPr>
        <w:t xml:space="preserve">to </w:t>
      </w:r>
      <w:r w:rsidRPr="00046768">
        <w:rPr>
          <w:rFonts w:ascii="Times New Roman" w:hAnsi="Times New Roman" w:cs="Times New Roman"/>
          <w:sz w:val="24"/>
          <w:szCs w:val="24"/>
        </w:rPr>
        <w:t xml:space="preserve">creating new Ancillary Service products </w:t>
      </w:r>
      <w:r w:rsidR="00D04111">
        <w:rPr>
          <w:rFonts w:ascii="Times New Roman" w:hAnsi="Times New Roman" w:cs="Times New Roman"/>
          <w:sz w:val="24"/>
          <w:szCs w:val="24"/>
        </w:rPr>
        <w:t xml:space="preserve">for services </w:t>
      </w:r>
      <w:r w:rsidRPr="00046768">
        <w:rPr>
          <w:rFonts w:ascii="Times New Roman" w:hAnsi="Times New Roman" w:cs="Times New Roman"/>
          <w:sz w:val="24"/>
          <w:szCs w:val="24"/>
        </w:rPr>
        <w:t xml:space="preserve">like ramp </w:t>
      </w:r>
      <w:r w:rsidR="00D04111">
        <w:rPr>
          <w:rFonts w:ascii="Times New Roman" w:hAnsi="Times New Roman" w:cs="Times New Roman"/>
          <w:sz w:val="24"/>
          <w:szCs w:val="24"/>
        </w:rPr>
        <w:t>and inertia</w:t>
      </w:r>
      <w:r w:rsidRPr="00046768">
        <w:rPr>
          <w:rFonts w:ascii="Times New Roman" w:hAnsi="Times New Roman" w:cs="Times New Roman"/>
          <w:sz w:val="24"/>
          <w:szCs w:val="24"/>
        </w:rPr>
        <w:t xml:space="preserve">, </w:t>
      </w:r>
      <w:r w:rsidR="00D04111">
        <w:rPr>
          <w:rFonts w:ascii="Times New Roman" w:hAnsi="Times New Roman" w:cs="Times New Roman"/>
          <w:sz w:val="24"/>
          <w:szCs w:val="24"/>
        </w:rPr>
        <w:t xml:space="preserve">or </w:t>
      </w:r>
      <w:r w:rsidR="00261180">
        <w:rPr>
          <w:rFonts w:ascii="Times New Roman" w:hAnsi="Times New Roman" w:cs="Times New Roman"/>
          <w:sz w:val="24"/>
          <w:szCs w:val="24"/>
        </w:rPr>
        <w:t xml:space="preserve">perhaps </w:t>
      </w:r>
      <w:r w:rsidR="00D04111">
        <w:rPr>
          <w:rFonts w:ascii="Times New Roman" w:hAnsi="Times New Roman" w:cs="Times New Roman"/>
          <w:sz w:val="24"/>
          <w:szCs w:val="24"/>
        </w:rPr>
        <w:t xml:space="preserve">even </w:t>
      </w:r>
      <w:r w:rsidR="00261180">
        <w:rPr>
          <w:rFonts w:ascii="Times New Roman" w:hAnsi="Times New Roman" w:cs="Times New Roman"/>
          <w:sz w:val="24"/>
          <w:szCs w:val="24"/>
        </w:rPr>
        <w:t xml:space="preserve">incentives to hedge </w:t>
      </w:r>
      <w:r w:rsidRPr="00046768">
        <w:rPr>
          <w:rFonts w:ascii="Times New Roman" w:hAnsi="Times New Roman" w:cs="Times New Roman"/>
          <w:sz w:val="24"/>
          <w:szCs w:val="24"/>
        </w:rPr>
        <w:t xml:space="preserve">summer energy </w:t>
      </w:r>
      <w:r w:rsidR="00261180">
        <w:rPr>
          <w:rFonts w:ascii="Times New Roman" w:hAnsi="Times New Roman" w:cs="Times New Roman"/>
          <w:sz w:val="24"/>
          <w:szCs w:val="24"/>
        </w:rPr>
        <w:t>over a longer term</w:t>
      </w:r>
      <w:r w:rsidRPr="00046768">
        <w:rPr>
          <w:rFonts w:ascii="Times New Roman" w:hAnsi="Times New Roman" w:cs="Times New Roman"/>
          <w:sz w:val="24"/>
          <w:szCs w:val="24"/>
        </w:rPr>
        <w:t xml:space="preserve">. TCPA recommends </w:t>
      </w:r>
      <w:r w:rsidR="00D016A0">
        <w:rPr>
          <w:rFonts w:ascii="Times New Roman" w:hAnsi="Times New Roman" w:cs="Times New Roman"/>
          <w:sz w:val="24"/>
          <w:szCs w:val="24"/>
        </w:rPr>
        <w:t xml:space="preserve">at this time </w:t>
      </w:r>
      <w:r w:rsidRPr="00046768">
        <w:rPr>
          <w:rFonts w:ascii="Times New Roman" w:hAnsi="Times New Roman" w:cs="Times New Roman"/>
          <w:sz w:val="24"/>
          <w:szCs w:val="24"/>
        </w:rPr>
        <w:t xml:space="preserve">that the Commission direct ERCOT to shift the LOLP by up to one full standard deviation </w:t>
      </w:r>
      <w:r w:rsidR="00D016A0">
        <w:rPr>
          <w:rFonts w:ascii="Times New Roman" w:hAnsi="Times New Roman" w:cs="Times New Roman"/>
          <w:sz w:val="24"/>
          <w:szCs w:val="24"/>
        </w:rPr>
        <w:t xml:space="preserve">as an initial conservative step to </w:t>
      </w:r>
      <w:r w:rsidRPr="00046768">
        <w:rPr>
          <w:rFonts w:ascii="Times New Roman" w:hAnsi="Times New Roman" w:cs="Times New Roman"/>
          <w:sz w:val="24"/>
          <w:szCs w:val="24"/>
        </w:rPr>
        <w:t xml:space="preserve">not only address the concerns raised in TCPA’s response to </w:t>
      </w:r>
      <w:r w:rsidR="001E0E5C">
        <w:rPr>
          <w:rFonts w:ascii="Times New Roman" w:hAnsi="Times New Roman" w:cs="Times New Roman"/>
          <w:sz w:val="24"/>
          <w:szCs w:val="24"/>
        </w:rPr>
        <w:t>Q</w:t>
      </w:r>
      <w:r w:rsidRPr="00046768">
        <w:rPr>
          <w:rFonts w:ascii="Times New Roman" w:hAnsi="Times New Roman" w:cs="Times New Roman"/>
          <w:sz w:val="24"/>
          <w:szCs w:val="24"/>
        </w:rPr>
        <w:t xml:space="preserve">uestion 1 but also to </w:t>
      </w:r>
      <w:r w:rsidR="00D016A0">
        <w:rPr>
          <w:rFonts w:ascii="Times New Roman" w:hAnsi="Times New Roman" w:cs="Times New Roman"/>
          <w:sz w:val="24"/>
          <w:szCs w:val="24"/>
        </w:rPr>
        <w:t xml:space="preserve">partially offset </w:t>
      </w:r>
      <w:r w:rsidRPr="00046768">
        <w:rPr>
          <w:rFonts w:ascii="Times New Roman" w:hAnsi="Times New Roman" w:cs="Times New Roman"/>
          <w:sz w:val="24"/>
          <w:szCs w:val="24"/>
        </w:rPr>
        <w:t>the price suppressing effects of intermittent resources which might not have been here without the subsidies. TCPA also recommends that the Commission direct ERCOT and stakeholders to explore the additional market design changes needed to create incentives to reduce intermittency and improve reliability</w:t>
      </w:r>
      <w:r w:rsidR="00261180">
        <w:rPr>
          <w:rFonts w:ascii="Times New Roman" w:hAnsi="Times New Roman" w:cs="Times New Roman"/>
          <w:sz w:val="24"/>
          <w:szCs w:val="24"/>
        </w:rPr>
        <w:t xml:space="preserve"> (but does not make any specific recommendation at this time)</w:t>
      </w:r>
      <w:r w:rsidRPr="00046768">
        <w:rPr>
          <w:rFonts w:ascii="Times New Roman" w:hAnsi="Times New Roman" w:cs="Times New Roman"/>
          <w:sz w:val="24"/>
          <w:szCs w:val="24"/>
        </w:rPr>
        <w:t xml:space="preserve">. </w:t>
      </w:r>
    </w:p>
    <w:p w:rsidR="0095655C" w:rsidRDefault="0095655C" w:rsidP="0095655C">
      <w:pPr>
        <w:autoSpaceDE w:val="0"/>
        <w:autoSpaceDN w:val="0"/>
        <w:adjustRightInd w:val="0"/>
        <w:spacing w:line="360" w:lineRule="auto"/>
        <w:ind w:firstLine="720"/>
        <w:jc w:val="both"/>
        <w:rPr>
          <w:rFonts w:ascii="Times New Roman" w:hAnsi="Times New Roman" w:cs="Times New Roman"/>
          <w:sz w:val="24"/>
          <w:szCs w:val="24"/>
        </w:rPr>
      </w:pPr>
    </w:p>
    <w:p w:rsidR="0095655C" w:rsidRPr="00046768" w:rsidRDefault="0095655C" w:rsidP="0095655C">
      <w:pPr>
        <w:autoSpaceDE w:val="0"/>
        <w:autoSpaceDN w:val="0"/>
        <w:adjustRightInd w:val="0"/>
        <w:spacing w:line="360" w:lineRule="auto"/>
        <w:ind w:firstLine="720"/>
        <w:jc w:val="both"/>
        <w:rPr>
          <w:rFonts w:ascii="Times New Roman" w:hAnsi="Times New Roman" w:cs="Times New Roman"/>
          <w:sz w:val="24"/>
          <w:szCs w:val="24"/>
        </w:rPr>
      </w:pPr>
    </w:p>
    <w:p w:rsidR="00190776" w:rsidRPr="0024216F" w:rsidRDefault="00190776" w:rsidP="00190776">
      <w:pPr>
        <w:pStyle w:val="m-8885962025766907527msolistparagraph"/>
        <w:spacing w:before="0" w:beforeAutospacing="0" w:after="0" w:afterAutospacing="0"/>
        <w:textAlignment w:val="center"/>
        <w:rPr>
          <w:b/>
          <w:color w:val="222222"/>
        </w:rPr>
      </w:pPr>
      <w:r w:rsidRPr="0024216F">
        <w:rPr>
          <w:rStyle w:val="il"/>
          <w:b/>
          <w:color w:val="222222"/>
        </w:rPr>
        <w:lastRenderedPageBreak/>
        <w:t>6</w:t>
      </w:r>
      <w:r w:rsidRPr="0024216F">
        <w:rPr>
          <w:b/>
          <w:color w:val="222222"/>
        </w:rPr>
        <w:t>.       What impact did ERCOT forecasts of wind generation and demand have on prices or price formation during the summer peak demand period? If ERCOT demand or wind forecasts had an adverse impact on prices or price formation during the summer peak demand period, how might this impact be mitigated?</w:t>
      </w:r>
    </w:p>
    <w:p w:rsidR="00190776" w:rsidRPr="006B213C" w:rsidRDefault="00190776" w:rsidP="00190776">
      <w:pPr>
        <w:spacing w:after="0"/>
        <w:ind w:left="540"/>
        <w:rPr>
          <w:rFonts w:ascii="Times New Roman" w:hAnsi="Times New Roman" w:cs="Times New Roman"/>
          <w:color w:val="222222"/>
          <w:sz w:val="24"/>
          <w:szCs w:val="24"/>
        </w:rPr>
      </w:pPr>
      <w:r w:rsidRPr="007D4A0F">
        <w:rPr>
          <w:rFonts w:ascii="Times New Roman" w:hAnsi="Times New Roman" w:cs="Times New Roman"/>
          <w:color w:val="222222"/>
          <w:sz w:val="28"/>
          <w:szCs w:val="24"/>
        </w:rPr>
        <w:t> </w:t>
      </w:r>
    </w:p>
    <w:p w:rsidR="00190776" w:rsidRPr="00261180" w:rsidRDefault="00190776" w:rsidP="0095655C">
      <w:pPr>
        <w:spacing w:line="360" w:lineRule="auto"/>
        <w:ind w:firstLine="540"/>
        <w:jc w:val="both"/>
        <w:rPr>
          <w:rFonts w:ascii="Times New Roman" w:hAnsi="Times New Roman" w:cs="Times New Roman"/>
          <w:color w:val="222222"/>
          <w:sz w:val="24"/>
          <w:szCs w:val="24"/>
        </w:rPr>
      </w:pPr>
      <w:r w:rsidRPr="00FB2368">
        <w:rPr>
          <w:rFonts w:ascii="Times New Roman" w:hAnsi="Times New Roman" w:cs="Times New Roman"/>
          <w:color w:val="222222"/>
          <w:sz w:val="24"/>
          <w:szCs w:val="24"/>
        </w:rPr>
        <w:t xml:space="preserve">TCPA recognizes ERCOT's continual improvement in wind </w:t>
      </w:r>
      <w:r w:rsidR="00900FB7">
        <w:rPr>
          <w:rFonts w:ascii="Times New Roman" w:hAnsi="Times New Roman" w:cs="Times New Roman"/>
          <w:color w:val="222222"/>
          <w:sz w:val="24"/>
          <w:szCs w:val="24"/>
        </w:rPr>
        <w:t xml:space="preserve">and load </w:t>
      </w:r>
      <w:r w:rsidRPr="00FB2368">
        <w:rPr>
          <w:rFonts w:ascii="Times New Roman" w:hAnsi="Times New Roman" w:cs="Times New Roman"/>
          <w:color w:val="222222"/>
          <w:sz w:val="24"/>
          <w:szCs w:val="24"/>
        </w:rPr>
        <w:t xml:space="preserve">forecasting.  Forecasts inherently </w:t>
      </w:r>
      <w:r w:rsidR="00900FB7">
        <w:rPr>
          <w:rFonts w:ascii="Times New Roman" w:hAnsi="Times New Roman" w:cs="Times New Roman"/>
          <w:color w:val="222222"/>
          <w:sz w:val="24"/>
          <w:szCs w:val="24"/>
        </w:rPr>
        <w:t xml:space="preserve">must </w:t>
      </w:r>
      <w:r w:rsidRPr="00FB2368">
        <w:rPr>
          <w:rFonts w:ascii="Times New Roman" w:hAnsi="Times New Roman" w:cs="Times New Roman"/>
          <w:color w:val="222222"/>
          <w:sz w:val="24"/>
          <w:szCs w:val="24"/>
        </w:rPr>
        <w:t xml:space="preserve">have errors and </w:t>
      </w:r>
      <w:r w:rsidR="00900FB7">
        <w:rPr>
          <w:rFonts w:ascii="Times New Roman" w:hAnsi="Times New Roman" w:cs="Times New Roman"/>
          <w:color w:val="222222"/>
          <w:sz w:val="24"/>
          <w:szCs w:val="24"/>
        </w:rPr>
        <w:t>the goal of forecasters is to minimize the magnitude of those errors. L</w:t>
      </w:r>
      <w:r w:rsidRPr="00FB2368">
        <w:rPr>
          <w:rFonts w:ascii="Times New Roman" w:hAnsi="Times New Roman" w:cs="Times New Roman"/>
          <w:color w:val="222222"/>
          <w:sz w:val="24"/>
          <w:szCs w:val="24"/>
        </w:rPr>
        <w:t xml:space="preserve">arge errors between the day-ahead </w:t>
      </w:r>
      <w:r w:rsidR="00AE3021">
        <w:rPr>
          <w:rFonts w:ascii="Times New Roman" w:hAnsi="Times New Roman" w:cs="Times New Roman"/>
          <w:color w:val="222222"/>
          <w:sz w:val="24"/>
          <w:szCs w:val="24"/>
        </w:rPr>
        <w:t xml:space="preserve">market (DAM) </w:t>
      </w:r>
      <w:r w:rsidRPr="00FB2368">
        <w:rPr>
          <w:rFonts w:ascii="Times New Roman" w:hAnsi="Times New Roman" w:cs="Times New Roman"/>
          <w:color w:val="222222"/>
          <w:sz w:val="24"/>
          <w:szCs w:val="24"/>
        </w:rPr>
        <w:t xml:space="preserve">and real-time </w:t>
      </w:r>
      <w:r w:rsidR="00AE3021">
        <w:rPr>
          <w:rFonts w:ascii="Times New Roman" w:hAnsi="Times New Roman" w:cs="Times New Roman"/>
          <w:color w:val="222222"/>
          <w:sz w:val="24"/>
          <w:szCs w:val="24"/>
        </w:rPr>
        <w:t xml:space="preserve">market (RTM) </w:t>
      </w:r>
      <w:r w:rsidR="00900FB7">
        <w:rPr>
          <w:rFonts w:ascii="Times New Roman" w:hAnsi="Times New Roman" w:cs="Times New Roman"/>
          <w:color w:val="222222"/>
          <w:sz w:val="24"/>
          <w:szCs w:val="24"/>
        </w:rPr>
        <w:t xml:space="preserve">can and </w:t>
      </w:r>
      <w:r w:rsidRPr="00FB2368">
        <w:rPr>
          <w:rFonts w:ascii="Times New Roman" w:hAnsi="Times New Roman" w:cs="Times New Roman"/>
          <w:color w:val="222222"/>
          <w:sz w:val="24"/>
          <w:szCs w:val="24"/>
        </w:rPr>
        <w:t>do have a</w:t>
      </w:r>
      <w:r w:rsidR="00900FB7">
        <w:rPr>
          <w:rFonts w:ascii="Times New Roman" w:hAnsi="Times New Roman" w:cs="Times New Roman"/>
          <w:color w:val="222222"/>
          <w:sz w:val="24"/>
          <w:szCs w:val="24"/>
        </w:rPr>
        <w:t xml:space="preserve"> material</w:t>
      </w:r>
      <w:r w:rsidRPr="00FB2368">
        <w:rPr>
          <w:rFonts w:ascii="Times New Roman" w:hAnsi="Times New Roman" w:cs="Times New Roman"/>
          <w:color w:val="222222"/>
          <w:sz w:val="24"/>
          <w:szCs w:val="24"/>
        </w:rPr>
        <w:t xml:space="preserve"> impact on price formation</w:t>
      </w:r>
      <w:r w:rsidR="00900FB7">
        <w:rPr>
          <w:rFonts w:ascii="Times New Roman" w:hAnsi="Times New Roman" w:cs="Times New Roman"/>
          <w:color w:val="222222"/>
          <w:sz w:val="24"/>
          <w:szCs w:val="24"/>
        </w:rPr>
        <w:t xml:space="preserve"> – particularly if a single forecast model </w:t>
      </w:r>
      <w:r w:rsidR="000571E2">
        <w:rPr>
          <w:rFonts w:ascii="Times New Roman" w:hAnsi="Times New Roman" w:cs="Times New Roman"/>
          <w:color w:val="222222"/>
          <w:sz w:val="24"/>
          <w:szCs w:val="24"/>
        </w:rPr>
        <w:t xml:space="preserve">(such as ERCOT’s) </w:t>
      </w:r>
      <w:r w:rsidR="00900FB7">
        <w:rPr>
          <w:rFonts w:ascii="Times New Roman" w:hAnsi="Times New Roman" w:cs="Times New Roman"/>
          <w:color w:val="222222"/>
          <w:sz w:val="24"/>
          <w:szCs w:val="24"/>
        </w:rPr>
        <w:t xml:space="preserve">is given outsized weight </w:t>
      </w:r>
      <w:r w:rsidR="000571E2">
        <w:rPr>
          <w:rFonts w:ascii="Times New Roman" w:hAnsi="Times New Roman" w:cs="Times New Roman"/>
          <w:color w:val="222222"/>
          <w:sz w:val="24"/>
          <w:szCs w:val="24"/>
        </w:rPr>
        <w:t xml:space="preserve">or relied upon exclusively </w:t>
      </w:r>
      <w:r w:rsidR="00900FB7">
        <w:rPr>
          <w:rFonts w:ascii="Times New Roman" w:hAnsi="Times New Roman" w:cs="Times New Roman"/>
          <w:color w:val="222222"/>
          <w:sz w:val="24"/>
          <w:szCs w:val="24"/>
        </w:rPr>
        <w:t>by market participants</w:t>
      </w:r>
      <w:r w:rsidRPr="00FB2368">
        <w:rPr>
          <w:rFonts w:ascii="Times New Roman" w:hAnsi="Times New Roman" w:cs="Times New Roman"/>
          <w:color w:val="222222"/>
          <w:sz w:val="24"/>
          <w:szCs w:val="24"/>
        </w:rPr>
        <w:t>.</w:t>
      </w:r>
      <w:r w:rsidR="00900FB7">
        <w:rPr>
          <w:rFonts w:ascii="Times New Roman" w:hAnsi="Times New Roman" w:cs="Times New Roman"/>
          <w:color w:val="222222"/>
          <w:sz w:val="24"/>
          <w:szCs w:val="24"/>
        </w:rPr>
        <w:t xml:space="preserve"> </w:t>
      </w:r>
    </w:p>
    <w:p w:rsidR="00190776" w:rsidRPr="00FB2368" w:rsidRDefault="00190776" w:rsidP="0095655C">
      <w:pPr>
        <w:spacing w:line="360" w:lineRule="auto"/>
        <w:ind w:firstLine="540"/>
        <w:jc w:val="both"/>
        <w:rPr>
          <w:rFonts w:ascii="Times New Roman" w:hAnsi="Times New Roman" w:cs="Times New Roman"/>
          <w:color w:val="222222"/>
          <w:sz w:val="24"/>
          <w:szCs w:val="24"/>
        </w:rPr>
      </w:pPr>
      <w:r w:rsidRPr="00FB2368">
        <w:rPr>
          <w:rFonts w:ascii="Times New Roman" w:hAnsi="Times New Roman" w:cs="Times New Roman"/>
          <w:color w:val="222222"/>
          <w:sz w:val="24"/>
          <w:szCs w:val="24"/>
        </w:rPr>
        <w:t xml:space="preserve">Generally, if </w:t>
      </w:r>
      <w:r w:rsidR="007B5A31">
        <w:rPr>
          <w:rFonts w:ascii="Times New Roman" w:hAnsi="Times New Roman" w:cs="Times New Roman"/>
          <w:color w:val="222222"/>
          <w:sz w:val="24"/>
          <w:szCs w:val="24"/>
        </w:rPr>
        <w:t xml:space="preserve">wind </w:t>
      </w:r>
      <w:r w:rsidRPr="00FB2368">
        <w:rPr>
          <w:rFonts w:ascii="Times New Roman" w:hAnsi="Times New Roman" w:cs="Times New Roman"/>
          <w:color w:val="222222"/>
          <w:sz w:val="24"/>
          <w:szCs w:val="24"/>
        </w:rPr>
        <w:t xml:space="preserve">forecasts in the </w:t>
      </w:r>
      <w:r w:rsidR="00AE3021">
        <w:rPr>
          <w:rFonts w:ascii="Times New Roman" w:hAnsi="Times New Roman" w:cs="Times New Roman"/>
          <w:color w:val="222222"/>
          <w:sz w:val="24"/>
          <w:szCs w:val="24"/>
        </w:rPr>
        <w:t xml:space="preserve">DAM </w:t>
      </w:r>
      <w:r w:rsidRPr="00FB2368">
        <w:rPr>
          <w:rFonts w:ascii="Times New Roman" w:hAnsi="Times New Roman" w:cs="Times New Roman"/>
          <w:color w:val="222222"/>
          <w:sz w:val="24"/>
          <w:szCs w:val="24"/>
        </w:rPr>
        <w:t xml:space="preserve">are higher, generator owners may forgo starting generators assuming </w:t>
      </w:r>
      <w:r w:rsidR="008A06EE">
        <w:rPr>
          <w:rFonts w:ascii="Times New Roman" w:hAnsi="Times New Roman" w:cs="Times New Roman"/>
          <w:color w:val="222222"/>
          <w:sz w:val="24"/>
          <w:szCs w:val="24"/>
        </w:rPr>
        <w:t xml:space="preserve">net </w:t>
      </w:r>
      <w:r w:rsidRPr="00FB2368">
        <w:rPr>
          <w:rFonts w:ascii="Times New Roman" w:hAnsi="Times New Roman" w:cs="Times New Roman"/>
          <w:color w:val="222222"/>
          <w:sz w:val="24"/>
          <w:szCs w:val="24"/>
        </w:rPr>
        <w:t>demand (and prices) will be low</w:t>
      </w:r>
      <w:r w:rsidR="008A06EE">
        <w:rPr>
          <w:rFonts w:ascii="Times New Roman" w:hAnsi="Times New Roman" w:cs="Times New Roman"/>
          <w:color w:val="222222"/>
          <w:sz w:val="24"/>
          <w:szCs w:val="24"/>
        </w:rPr>
        <w:t>er</w:t>
      </w:r>
      <w:r w:rsidRPr="00FB2368">
        <w:rPr>
          <w:rFonts w:ascii="Times New Roman" w:hAnsi="Times New Roman" w:cs="Times New Roman"/>
          <w:color w:val="222222"/>
          <w:sz w:val="24"/>
          <w:szCs w:val="24"/>
        </w:rPr>
        <w:t xml:space="preserve">.   If the actual wind generation </w:t>
      </w:r>
      <w:r w:rsidR="008A06EE">
        <w:rPr>
          <w:rFonts w:ascii="Times New Roman" w:hAnsi="Times New Roman" w:cs="Times New Roman"/>
          <w:color w:val="222222"/>
          <w:sz w:val="24"/>
          <w:szCs w:val="24"/>
        </w:rPr>
        <w:t xml:space="preserve">in </w:t>
      </w:r>
      <w:r w:rsidR="00AE3021">
        <w:rPr>
          <w:rFonts w:ascii="Times New Roman" w:hAnsi="Times New Roman" w:cs="Times New Roman"/>
          <w:color w:val="222222"/>
          <w:sz w:val="24"/>
          <w:szCs w:val="24"/>
        </w:rPr>
        <w:t xml:space="preserve">the RTM </w:t>
      </w:r>
      <w:r w:rsidRPr="00FB2368">
        <w:rPr>
          <w:rFonts w:ascii="Times New Roman" w:hAnsi="Times New Roman" w:cs="Times New Roman"/>
          <w:color w:val="222222"/>
          <w:sz w:val="24"/>
          <w:szCs w:val="24"/>
        </w:rPr>
        <w:t xml:space="preserve">is lower than </w:t>
      </w:r>
      <w:r w:rsidR="008A06EE">
        <w:rPr>
          <w:rFonts w:ascii="Times New Roman" w:hAnsi="Times New Roman" w:cs="Times New Roman"/>
          <w:color w:val="222222"/>
          <w:sz w:val="24"/>
          <w:szCs w:val="24"/>
        </w:rPr>
        <w:t>forecasted</w:t>
      </w:r>
      <w:r w:rsidRPr="00FB2368">
        <w:rPr>
          <w:rFonts w:ascii="Times New Roman" w:hAnsi="Times New Roman" w:cs="Times New Roman"/>
          <w:color w:val="222222"/>
          <w:sz w:val="24"/>
          <w:szCs w:val="24"/>
        </w:rPr>
        <w:t xml:space="preserve">, generation owners may no longer have the time necessary to start additional generation.   As a result, </w:t>
      </w:r>
      <w:r w:rsidR="00AE3021">
        <w:rPr>
          <w:rFonts w:ascii="Times New Roman" w:hAnsi="Times New Roman" w:cs="Times New Roman"/>
          <w:color w:val="222222"/>
          <w:sz w:val="24"/>
          <w:szCs w:val="24"/>
        </w:rPr>
        <w:t xml:space="preserve">RTM </w:t>
      </w:r>
      <w:r w:rsidRPr="00FB2368">
        <w:rPr>
          <w:rFonts w:ascii="Times New Roman" w:hAnsi="Times New Roman" w:cs="Times New Roman"/>
          <w:color w:val="222222"/>
          <w:sz w:val="24"/>
          <w:szCs w:val="24"/>
        </w:rPr>
        <w:t xml:space="preserve">prices in this scenario are generally higher than expected.  Conversely, when wind forecasts are lower in the </w:t>
      </w:r>
      <w:r w:rsidR="00AE3021">
        <w:rPr>
          <w:rFonts w:ascii="Times New Roman" w:hAnsi="Times New Roman" w:cs="Times New Roman"/>
          <w:color w:val="222222"/>
          <w:sz w:val="24"/>
          <w:szCs w:val="24"/>
        </w:rPr>
        <w:t>DAM</w:t>
      </w:r>
      <w:r w:rsidRPr="00FB2368">
        <w:rPr>
          <w:rFonts w:ascii="Times New Roman" w:hAnsi="Times New Roman" w:cs="Times New Roman"/>
          <w:color w:val="222222"/>
          <w:sz w:val="24"/>
          <w:szCs w:val="24"/>
        </w:rPr>
        <w:t xml:space="preserve">, generator owners may opt to commit generation assuming it will be needed for the </w:t>
      </w:r>
      <w:r w:rsidR="00AE3021">
        <w:rPr>
          <w:rFonts w:ascii="Times New Roman" w:hAnsi="Times New Roman" w:cs="Times New Roman"/>
          <w:color w:val="222222"/>
          <w:sz w:val="24"/>
          <w:szCs w:val="24"/>
        </w:rPr>
        <w:t>RTM</w:t>
      </w:r>
      <w:r w:rsidRPr="00FB2368">
        <w:rPr>
          <w:rFonts w:ascii="Times New Roman" w:hAnsi="Times New Roman" w:cs="Times New Roman"/>
          <w:color w:val="222222"/>
          <w:sz w:val="24"/>
          <w:szCs w:val="24"/>
        </w:rPr>
        <w:t xml:space="preserve">.   If the wind over performs the forecasts, operating reserves will be high in </w:t>
      </w:r>
      <w:r w:rsidR="00AE3021">
        <w:rPr>
          <w:rFonts w:ascii="Times New Roman" w:hAnsi="Times New Roman" w:cs="Times New Roman"/>
          <w:color w:val="222222"/>
          <w:sz w:val="24"/>
          <w:szCs w:val="24"/>
        </w:rPr>
        <w:t xml:space="preserve">the RTM </w:t>
      </w:r>
      <w:r w:rsidRPr="00FB2368">
        <w:rPr>
          <w:rFonts w:ascii="Times New Roman" w:hAnsi="Times New Roman" w:cs="Times New Roman"/>
          <w:color w:val="222222"/>
          <w:sz w:val="24"/>
          <w:szCs w:val="24"/>
        </w:rPr>
        <w:t xml:space="preserve">and prices will be low - at times lower than the actual cost of the generators who opted to come online expecting higher net-load.  </w:t>
      </w:r>
    </w:p>
    <w:p w:rsidR="00190776" w:rsidRPr="00FB2368" w:rsidRDefault="00190776" w:rsidP="0095655C">
      <w:pPr>
        <w:spacing w:line="360" w:lineRule="auto"/>
        <w:ind w:firstLine="540"/>
        <w:jc w:val="both"/>
        <w:rPr>
          <w:rFonts w:ascii="Times New Roman" w:hAnsi="Times New Roman" w:cs="Times New Roman"/>
          <w:color w:val="222222"/>
          <w:sz w:val="24"/>
          <w:szCs w:val="24"/>
        </w:rPr>
      </w:pPr>
      <w:r w:rsidRPr="00FB2368">
        <w:rPr>
          <w:rFonts w:ascii="Times New Roman" w:hAnsi="Times New Roman" w:cs="Times New Roman"/>
          <w:color w:val="222222"/>
          <w:sz w:val="24"/>
          <w:szCs w:val="24"/>
        </w:rPr>
        <w:t xml:space="preserve">While forecast error is unavoidable, it is the over-forecasting of wind </w:t>
      </w:r>
      <w:r w:rsidR="00FE0E24">
        <w:rPr>
          <w:rFonts w:ascii="Times New Roman" w:hAnsi="Times New Roman" w:cs="Times New Roman"/>
          <w:color w:val="222222"/>
          <w:sz w:val="24"/>
          <w:szCs w:val="24"/>
        </w:rPr>
        <w:t xml:space="preserve">that </w:t>
      </w:r>
      <w:r w:rsidRPr="00FB2368">
        <w:rPr>
          <w:rFonts w:ascii="Times New Roman" w:hAnsi="Times New Roman" w:cs="Times New Roman"/>
          <w:color w:val="222222"/>
          <w:sz w:val="24"/>
          <w:szCs w:val="24"/>
        </w:rPr>
        <w:t xml:space="preserve">can have </w:t>
      </w:r>
      <w:r w:rsidR="00AE3021">
        <w:rPr>
          <w:rFonts w:ascii="Times New Roman" w:hAnsi="Times New Roman" w:cs="Times New Roman"/>
          <w:color w:val="222222"/>
          <w:sz w:val="24"/>
          <w:szCs w:val="24"/>
        </w:rPr>
        <w:t xml:space="preserve">more direct </w:t>
      </w:r>
      <w:r w:rsidRPr="00FB2368">
        <w:rPr>
          <w:rFonts w:ascii="Times New Roman" w:hAnsi="Times New Roman" w:cs="Times New Roman"/>
          <w:color w:val="222222"/>
          <w:sz w:val="24"/>
          <w:szCs w:val="24"/>
        </w:rPr>
        <w:t xml:space="preserve">reliability consequences since the </w:t>
      </w:r>
      <w:r w:rsidR="00AE3021">
        <w:rPr>
          <w:rFonts w:ascii="Times New Roman" w:hAnsi="Times New Roman" w:cs="Times New Roman"/>
          <w:color w:val="222222"/>
          <w:sz w:val="24"/>
          <w:szCs w:val="24"/>
        </w:rPr>
        <w:t xml:space="preserve">RTM </w:t>
      </w:r>
      <w:r w:rsidRPr="00FB2368">
        <w:rPr>
          <w:rFonts w:ascii="Times New Roman" w:hAnsi="Times New Roman" w:cs="Times New Roman"/>
          <w:color w:val="222222"/>
          <w:sz w:val="24"/>
          <w:szCs w:val="24"/>
        </w:rPr>
        <w:t xml:space="preserve">may be left short of </w:t>
      </w:r>
      <w:r w:rsidR="00AE3021">
        <w:rPr>
          <w:rFonts w:ascii="Times New Roman" w:hAnsi="Times New Roman" w:cs="Times New Roman"/>
          <w:color w:val="222222"/>
          <w:sz w:val="24"/>
          <w:szCs w:val="24"/>
        </w:rPr>
        <w:t xml:space="preserve">online </w:t>
      </w:r>
      <w:r w:rsidRPr="00FB2368">
        <w:rPr>
          <w:rFonts w:ascii="Times New Roman" w:hAnsi="Times New Roman" w:cs="Times New Roman"/>
          <w:color w:val="222222"/>
          <w:sz w:val="24"/>
          <w:szCs w:val="24"/>
        </w:rPr>
        <w:t>resources necessary to meet demand. </w:t>
      </w:r>
      <w:r w:rsidR="00AE3021">
        <w:rPr>
          <w:rFonts w:ascii="Times New Roman" w:hAnsi="Times New Roman" w:cs="Times New Roman"/>
          <w:color w:val="222222"/>
          <w:sz w:val="24"/>
          <w:szCs w:val="24"/>
        </w:rPr>
        <w:t xml:space="preserve">Under-forecasting wind can also have </w:t>
      </w:r>
      <w:r w:rsidR="00261180">
        <w:rPr>
          <w:rFonts w:ascii="Times New Roman" w:hAnsi="Times New Roman" w:cs="Times New Roman"/>
          <w:color w:val="222222"/>
          <w:sz w:val="24"/>
          <w:szCs w:val="24"/>
        </w:rPr>
        <w:t xml:space="preserve">longer-term </w:t>
      </w:r>
      <w:r w:rsidR="00AE3021">
        <w:rPr>
          <w:rFonts w:ascii="Times New Roman" w:hAnsi="Times New Roman" w:cs="Times New Roman"/>
          <w:color w:val="222222"/>
          <w:sz w:val="24"/>
          <w:szCs w:val="24"/>
        </w:rPr>
        <w:t>reliability consequences if systemic, driving RTM prices lower relative to forward and DAM prices, and slowly but insidiously eroding forward price formation, in turn reducing the incentive to make investments in generation.</w:t>
      </w:r>
      <w:r w:rsidRPr="00FB2368">
        <w:rPr>
          <w:rFonts w:ascii="Times New Roman" w:hAnsi="Times New Roman" w:cs="Times New Roman"/>
          <w:color w:val="222222"/>
          <w:sz w:val="24"/>
          <w:szCs w:val="24"/>
        </w:rPr>
        <w:t xml:space="preserve">  Market signals for resources to meet short-notice lack of supply, or unexpected demand are crucial to the success of the ERCOT </w:t>
      </w:r>
      <w:r w:rsidR="00261180">
        <w:rPr>
          <w:rFonts w:ascii="Times New Roman" w:hAnsi="Times New Roman" w:cs="Times New Roman"/>
          <w:color w:val="222222"/>
          <w:sz w:val="24"/>
          <w:szCs w:val="24"/>
        </w:rPr>
        <w:t>m</w:t>
      </w:r>
      <w:r w:rsidRPr="00FB2368">
        <w:rPr>
          <w:rFonts w:ascii="Times New Roman" w:hAnsi="Times New Roman" w:cs="Times New Roman"/>
          <w:color w:val="222222"/>
          <w:sz w:val="24"/>
          <w:szCs w:val="24"/>
        </w:rPr>
        <w:t xml:space="preserve">arket.    Importantly, such signals are also used to determine investment and technology choices for the future.  To improve these signals TCPA recommends the Commission implement the incremental changes to LOLP previously suggested identified by TCPA in its </w:t>
      </w:r>
      <w:r w:rsidR="008A06EE">
        <w:rPr>
          <w:rFonts w:ascii="Times New Roman" w:hAnsi="Times New Roman" w:cs="Times New Roman"/>
          <w:color w:val="222222"/>
          <w:sz w:val="24"/>
          <w:szCs w:val="24"/>
        </w:rPr>
        <w:t xml:space="preserve">September </w:t>
      </w:r>
      <w:r w:rsidRPr="00FB2368">
        <w:rPr>
          <w:rFonts w:ascii="Times New Roman" w:hAnsi="Times New Roman" w:cs="Times New Roman"/>
          <w:color w:val="222222"/>
          <w:sz w:val="24"/>
          <w:szCs w:val="24"/>
        </w:rPr>
        <w:t>14</w:t>
      </w:r>
      <w:r w:rsidR="008A06EE">
        <w:rPr>
          <w:rFonts w:ascii="Times New Roman" w:hAnsi="Times New Roman" w:cs="Times New Roman"/>
          <w:color w:val="222222"/>
          <w:sz w:val="24"/>
          <w:szCs w:val="24"/>
        </w:rPr>
        <w:t>, 2018</w:t>
      </w:r>
      <w:r w:rsidRPr="00FB2368">
        <w:rPr>
          <w:rFonts w:ascii="Times New Roman" w:hAnsi="Times New Roman" w:cs="Times New Roman"/>
          <w:color w:val="222222"/>
          <w:sz w:val="24"/>
          <w:szCs w:val="24"/>
        </w:rPr>
        <w:t xml:space="preserve"> comments </w:t>
      </w:r>
      <w:r w:rsidR="00AE3021">
        <w:rPr>
          <w:rFonts w:ascii="Times New Roman" w:hAnsi="Times New Roman" w:cs="Times New Roman"/>
          <w:color w:val="222222"/>
          <w:sz w:val="24"/>
          <w:szCs w:val="24"/>
        </w:rPr>
        <w:t>in this project</w:t>
      </w:r>
      <w:r w:rsidRPr="00FB2368">
        <w:rPr>
          <w:rFonts w:ascii="Times New Roman" w:hAnsi="Times New Roman" w:cs="Times New Roman"/>
          <w:color w:val="222222"/>
          <w:sz w:val="24"/>
          <w:szCs w:val="24"/>
        </w:rPr>
        <w:t>.</w:t>
      </w:r>
      <w:r>
        <w:rPr>
          <w:rStyle w:val="FootnoteReference"/>
          <w:rFonts w:ascii="Times New Roman" w:hAnsi="Times New Roman" w:cs="Times New Roman"/>
          <w:color w:val="222222"/>
          <w:sz w:val="24"/>
          <w:szCs w:val="24"/>
        </w:rPr>
        <w:footnoteReference w:id="25"/>
      </w:r>
      <w:r w:rsidRPr="00FB2368">
        <w:rPr>
          <w:rFonts w:ascii="Times New Roman" w:hAnsi="Times New Roman" w:cs="Times New Roman"/>
          <w:color w:val="222222"/>
          <w:sz w:val="24"/>
          <w:szCs w:val="24"/>
        </w:rPr>
        <w:t xml:space="preserve">   These changes will </w:t>
      </w:r>
      <w:r w:rsidRPr="00FB2368">
        <w:rPr>
          <w:rFonts w:ascii="Times New Roman" w:hAnsi="Times New Roman" w:cs="Times New Roman"/>
          <w:color w:val="222222"/>
          <w:sz w:val="24"/>
          <w:szCs w:val="24"/>
        </w:rPr>
        <w:lastRenderedPageBreak/>
        <w:t xml:space="preserve">provide </w:t>
      </w:r>
      <w:r w:rsidR="007C45C7">
        <w:rPr>
          <w:rFonts w:ascii="Times New Roman" w:hAnsi="Times New Roman" w:cs="Times New Roman"/>
          <w:color w:val="222222"/>
          <w:sz w:val="24"/>
          <w:szCs w:val="24"/>
        </w:rPr>
        <w:t xml:space="preserve">some </w:t>
      </w:r>
      <w:r w:rsidRPr="00FB2368">
        <w:rPr>
          <w:rFonts w:ascii="Times New Roman" w:hAnsi="Times New Roman" w:cs="Times New Roman"/>
          <w:color w:val="222222"/>
          <w:sz w:val="24"/>
          <w:szCs w:val="24"/>
        </w:rPr>
        <w:t>market</w:t>
      </w:r>
      <w:r>
        <w:rPr>
          <w:rFonts w:ascii="Times New Roman" w:hAnsi="Times New Roman" w:cs="Times New Roman"/>
          <w:color w:val="222222"/>
          <w:sz w:val="24"/>
          <w:szCs w:val="24"/>
        </w:rPr>
        <w:t>-</w:t>
      </w:r>
      <w:r w:rsidRPr="00FB2368">
        <w:rPr>
          <w:rFonts w:ascii="Times New Roman" w:hAnsi="Times New Roman" w:cs="Times New Roman"/>
          <w:color w:val="222222"/>
          <w:sz w:val="24"/>
          <w:szCs w:val="24"/>
        </w:rPr>
        <w:t>based mitigation to the negative reliability effects created by normal wind forecast error.</w:t>
      </w:r>
    </w:p>
    <w:p w:rsidR="00B2318C" w:rsidRDefault="00190776" w:rsidP="00FD11B5">
      <w:pPr>
        <w:spacing w:after="0" w:line="360" w:lineRule="auto"/>
        <w:ind w:firstLine="5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For example, the effects of under-forecasting can be seen on </w:t>
      </w:r>
      <w:r w:rsidRPr="00ED13F6">
        <w:rPr>
          <w:rFonts w:ascii="Times New Roman" w:eastAsia="Times New Roman" w:hAnsi="Times New Roman" w:cs="Times New Roman"/>
          <w:color w:val="222222"/>
          <w:sz w:val="24"/>
          <w:szCs w:val="24"/>
        </w:rPr>
        <w:t>July 23</w:t>
      </w:r>
      <w:r w:rsidRPr="00ED13F6">
        <w:rPr>
          <w:rFonts w:ascii="Times New Roman" w:eastAsia="Times New Roman" w:hAnsi="Times New Roman" w:cs="Times New Roman"/>
          <w:color w:val="222222"/>
          <w:sz w:val="24"/>
          <w:szCs w:val="24"/>
          <w:vertAlign w:val="superscript"/>
        </w:rPr>
        <w:t>rd</w:t>
      </w:r>
      <w:r>
        <w:rPr>
          <w:rFonts w:ascii="Times New Roman" w:eastAsia="Times New Roman" w:hAnsi="Times New Roman" w:cs="Times New Roman"/>
          <w:color w:val="222222"/>
          <w:sz w:val="24"/>
          <w:szCs w:val="24"/>
        </w:rPr>
        <w:t>, which</w:t>
      </w:r>
      <w:r w:rsidRPr="00ED13F6">
        <w:rPr>
          <w:rFonts w:ascii="Times New Roman" w:eastAsia="Times New Roman" w:hAnsi="Times New Roman" w:cs="Times New Roman"/>
          <w:color w:val="222222"/>
          <w:sz w:val="24"/>
          <w:szCs w:val="24"/>
        </w:rPr>
        <w:t xml:space="preserve"> ha</w:t>
      </w:r>
      <w:r>
        <w:rPr>
          <w:rFonts w:ascii="Times New Roman" w:eastAsia="Times New Roman" w:hAnsi="Times New Roman" w:cs="Times New Roman"/>
          <w:color w:val="222222"/>
          <w:sz w:val="24"/>
          <w:szCs w:val="24"/>
        </w:rPr>
        <w:t xml:space="preserve">d </w:t>
      </w:r>
      <w:r w:rsidRPr="00ED13F6">
        <w:rPr>
          <w:rFonts w:ascii="Times New Roman" w:eastAsia="Times New Roman" w:hAnsi="Times New Roman" w:cs="Times New Roman"/>
          <w:color w:val="222222"/>
          <w:sz w:val="24"/>
          <w:szCs w:val="24"/>
        </w:rPr>
        <w:t xml:space="preserve">DAM prices of $2000 compared to RTM prices of $100/MWh.  According to ERCOT, </w:t>
      </w:r>
      <w:r w:rsidR="00B2318C">
        <w:rPr>
          <w:rFonts w:ascii="Times New Roman" w:eastAsia="Times New Roman" w:hAnsi="Times New Roman" w:cs="Times New Roman"/>
          <w:color w:val="222222"/>
          <w:sz w:val="24"/>
          <w:szCs w:val="24"/>
        </w:rPr>
        <w:t>DAM</w:t>
      </w:r>
      <w:r w:rsidRPr="00ED13F6">
        <w:rPr>
          <w:rFonts w:ascii="Times New Roman" w:eastAsia="Times New Roman" w:hAnsi="Times New Roman" w:cs="Times New Roman"/>
          <w:color w:val="222222"/>
          <w:sz w:val="24"/>
          <w:szCs w:val="24"/>
        </w:rPr>
        <w:t xml:space="preserve"> conditions were expected to be very tight leading to commitment of almost all available generation.</w:t>
      </w:r>
      <w:r>
        <w:rPr>
          <w:rStyle w:val="FootnoteReference"/>
          <w:rFonts w:ascii="Times New Roman" w:eastAsia="Times New Roman" w:hAnsi="Times New Roman" w:cs="Times New Roman"/>
          <w:color w:val="222222"/>
          <w:sz w:val="24"/>
          <w:szCs w:val="24"/>
        </w:rPr>
        <w:footnoteReference w:id="26"/>
      </w:r>
      <w:r w:rsidRPr="00ED13F6">
        <w:rPr>
          <w:rFonts w:ascii="Times New Roman" w:eastAsia="Times New Roman" w:hAnsi="Times New Roman" w:cs="Times New Roman"/>
          <w:color w:val="222222"/>
          <w:sz w:val="24"/>
          <w:szCs w:val="24"/>
        </w:rPr>
        <w:t xml:space="preserve">  In </w:t>
      </w:r>
      <w:r w:rsidR="00B2318C">
        <w:rPr>
          <w:rFonts w:ascii="Times New Roman" w:eastAsia="Times New Roman" w:hAnsi="Times New Roman" w:cs="Times New Roman"/>
          <w:color w:val="222222"/>
          <w:sz w:val="24"/>
          <w:szCs w:val="24"/>
        </w:rPr>
        <w:t>the RTM, however</w:t>
      </w:r>
      <w:r w:rsidRPr="00ED13F6">
        <w:rPr>
          <w:rFonts w:ascii="Times New Roman" w:eastAsia="Times New Roman" w:hAnsi="Times New Roman" w:cs="Times New Roman"/>
          <w:color w:val="222222"/>
          <w:sz w:val="24"/>
          <w:szCs w:val="24"/>
        </w:rPr>
        <w:t xml:space="preserve">, the wind over-performed the </w:t>
      </w:r>
      <w:r w:rsidR="00B2318C">
        <w:rPr>
          <w:rFonts w:ascii="Times New Roman" w:eastAsia="Times New Roman" w:hAnsi="Times New Roman" w:cs="Times New Roman"/>
          <w:color w:val="222222"/>
          <w:sz w:val="24"/>
          <w:szCs w:val="24"/>
        </w:rPr>
        <w:t xml:space="preserve">DAM </w:t>
      </w:r>
      <w:r w:rsidRPr="00ED13F6">
        <w:rPr>
          <w:rFonts w:ascii="Times New Roman" w:eastAsia="Times New Roman" w:hAnsi="Times New Roman" w:cs="Times New Roman"/>
          <w:color w:val="222222"/>
          <w:sz w:val="24"/>
          <w:szCs w:val="24"/>
        </w:rPr>
        <w:t xml:space="preserve">forecast significantly (see figure below).  The under-forecast of wind is a contributing factor in the price difference since it directly leads to more reserves on the system.   It is likely that generators that were committed </w:t>
      </w:r>
      <w:r>
        <w:rPr>
          <w:rFonts w:ascii="Times New Roman" w:eastAsia="Times New Roman" w:hAnsi="Times New Roman" w:cs="Times New Roman"/>
          <w:color w:val="222222"/>
          <w:sz w:val="24"/>
          <w:szCs w:val="24"/>
        </w:rPr>
        <w:t xml:space="preserve">due to </w:t>
      </w:r>
      <w:r w:rsidRPr="00ED13F6">
        <w:rPr>
          <w:rFonts w:ascii="Times New Roman" w:eastAsia="Times New Roman" w:hAnsi="Times New Roman" w:cs="Times New Roman"/>
          <w:color w:val="222222"/>
          <w:sz w:val="24"/>
          <w:szCs w:val="24"/>
        </w:rPr>
        <w:t>the $2000 DAM price ultimately would</w:t>
      </w:r>
      <w:r w:rsidR="00B2318C">
        <w:rPr>
          <w:rFonts w:ascii="Times New Roman" w:eastAsia="Times New Roman" w:hAnsi="Times New Roman" w:cs="Times New Roman"/>
          <w:color w:val="222222"/>
          <w:sz w:val="24"/>
          <w:szCs w:val="24"/>
        </w:rPr>
        <w:t xml:space="preserve"> </w:t>
      </w:r>
      <w:r w:rsidRPr="00ED13F6">
        <w:rPr>
          <w:rFonts w:ascii="Times New Roman" w:eastAsia="Times New Roman" w:hAnsi="Times New Roman" w:cs="Times New Roman"/>
          <w:color w:val="222222"/>
          <w:sz w:val="24"/>
          <w:szCs w:val="24"/>
        </w:rPr>
        <w:t>n</w:t>
      </w:r>
      <w:r w:rsidR="00B2318C">
        <w:rPr>
          <w:rFonts w:ascii="Times New Roman" w:eastAsia="Times New Roman" w:hAnsi="Times New Roman" w:cs="Times New Roman"/>
          <w:color w:val="222222"/>
          <w:sz w:val="24"/>
          <w:szCs w:val="24"/>
        </w:rPr>
        <w:t>o</w:t>
      </w:r>
      <w:r w:rsidRPr="00ED13F6">
        <w:rPr>
          <w:rFonts w:ascii="Times New Roman" w:eastAsia="Times New Roman" w:hAnsi="Times New Roman" w:cs="Times New Roman"/>
          <w:color w:val="222222"/>
          <w:sz w:val="24"/>
          <w:szCs w:val="24"/>
        </w:rPr>
        <w:t xml:space="preserve">t have been committed if the DAM expectations matched the </w:t>
      </w:r>
      <w:r w:rsidR="00B2318C">
        <w:rPr>
          <w:rFonts w:ascii="Times New Roman" w:eastAsia="Times New Roman" w:hAnsi="Times New Roman" w:cs="Times New Roman"/>
          <w:color w:val="222222"/>
          <w:sz w:val="24"/>
          <w:szCs w:val="24"/>
        </w:rPr>
        <w:t>RTM outcomes</w:t>
      </w:r>
      <w:r w:rsidRPr="00ED13F6">
        <w:rPr>
          <w:rFonts w:ascii="Times New Roman" w:eastAsia="Times New Roman" w:hAnsi="Times New Roman" w:cs="Times New Roman"/>
          <w:color w:val="222222"/>
          <w:sz w:val="24"/>
          <w:szCs w:val="24"/>
        </w:rPr>
        <w:t>.</w:t>
      </w:r>
    </w:p>
    <w:p w:rsidR="00190776" w:rsidRPr="00ED13F6" w:rsidRDefault="00B2318C" w:rsidP="00190776">
      <w:pPr>
        <w:spacing w:after="0" w:line="240" w:lineRule="auto"/>
        <w:ind w:left="5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190776" w:rsidRDefault="00190776" w:rsidP="00190776">
      <w:pPr>
        <w:spacing w:after="0" w:line="240" w:lineRule="auto"/>
        <w:ind w:left="1260" w:firstLine="180"/>
        <w:rPr>
          <w:rFonts w:ascii="Times New Roman" w:eastAsia="Times New Roman" w:hAnsi="Times New Roman" w:cs="Times New Roman"/>
          <w:color w:val="222222"/>
          <w:sz w:val="28"/>
          <w:szCs w:val="24"/>
        </w:rPr>
      </w:pPr>
      <w:r>
        <w:rPr>
          <w:rFonts w:ascii="Times New Roman" w:eastAsia="Times New Roman" w:hAnsi="Times New Roman" w:cs="Times New Roman"/>
          <w:noProof/>
          <w:color w:val="222222"/>
          <w:sz w:val="28"/>
          <w:szCs w:val="24"/>
        </w:rPr>
        <w:drawing>
          <wp:inline distT="0" distB="0" distL="0" distR="0" wp14:anchorId="31564771" wp14:editId="55FF941D">
            <wp:extent cx="4160649" cy="2887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d image for question 6 respons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71892" cy="2895784"/>
                    </a:xfrm>
                    <a:prstGeom prst="rect">
                      <a:avLst/>
                    </a:prstGeom>
                  </pic:spPr>
                </pic:pic>
              </a:graphicData>
            </a:graphic>
          </wp:inline>
        </w:drawing>
      </w:r>
    </w:p>
    <w:p w:rsidR="00190776" w:rsidRPr="00ED13F6" w:rsidRDefault="00190776" w:rsidP="00190776">
      <w:pPr>
        <w:spacing w:after="0" w:line="240" w:lineRule="auto"/>
        <w:ind w:left="1260" w:firstLine="180"/>
        <w:rPr>
          <w:rFonts w:ascii="Times New Roman" w:eastAsia="Times New Roman" w:hAnsi="Times New Roman" w:cs="Times New Roman"/>
          <w:color w:val="222222"/>
          <w:sz w:val="24"/>
          <w:szCs w:val="24"/>
        </w:rPr>
      </w:pPr>
    </w:p>
    <w:p w:rsidR="00046768" w:rsidRDefault="00046768" w:rsidP="00190776">
      <w:pPr>
        <w:rPr>
          <w:rFonts w:ascii="Times New Roman" w:eastAsia="Times New Roman" w:hAnsi="Times New Roman" w:cs="Times New Roman"/>
          <w:b/>
          <w:sz w:val="24"/>
          <w:szCs w:val="24"/>
        </w:rPr>
      </w:pPr>
    </w:p>
    <w:p w:rsidR="00046768" w:rsidRDefault="00046768" w:rsidP="00190776">
      <w:pPr>
        <w:rPr>
          <w:rFonts w:ascii="Times New Roman" w:eastAsia="Times New Roman" w:hAnsi="Times New Roman" w:cs="Times New Roman"/>
          <w:b/>
          <w:sz w:val="24"/>
          <w:szCs w:val="24"/>
        </w:rPr>
      </w:pPr>
    </w:p>
    <w:p w:rsidR="00FD11B5" w:rsidRDefault="00FD11B5" w:rsidP="00190776">
      <w:pPr>
        <w:rPr>
          <w:rFonts w:ascii="Times New Roman" w:eastAsia="Times New Roman" w:hAnsi="Times New Roman" w:cs="Times New Roman"/>
          <w:b/>
          <w:sz w:val="24"/>
          <w:szCs w:val="24"/>
        </w:rPr>
      </w:pPr>
    </w:p>
    <w:p w:rsidR="00FD11B5" w:rsidRDefault="00FD11B5" w:rsidP="00190776">
      <w:pPr>
        <w:rPr>
          <w:rFonts w:ascii="Times New Roman" w:eastAsia="Times New Roman" w:hAnsi="Times New Roman" w:cs="Times New Roman"/>
          <w:b/>
          <w:sz w:val="24"/>
          <w:szCs w:val="24"/>
        </w:rPr>
      </w:pPr>
    </w:p>
    <w:p w:rsidR="00190776" w:rsidRPr="0024216F" w:rsidRDefault="00190776" w:rsidP="00190776">
      <w:pPr>
        <w:rPr>
          <w:rFonts w:ascii="Times New Roman" w:eastAsia="Times New Roman" w:hAnsi="Times New Roman" w:cs="Times New Roman"/>
          <w:b/>
          <w:sz w:val="24"/>
          <w:szCs w:val="24"/>
        </w:rPr>
      </w:pPr>
      <w:r w:rsidRPr="0024216F">
        <w:rPr>
          <w:rFonts w:ascii="Times New Roman" w:eastAsia="Times New Roman" w:hAnsi="Times New Roman" w:cs="Times New Roman"/>
          <w:b/>
          <w:sz w:val="24"/>
          <w:szCs w:val="24"/>
        </w:rPr>
        <w:lastRenderedPageBreak/>
        <w:t>7. What impact did demand response, including response to potential Four Coincident-Peak days, have on prices or price formation during the summer peak demand period?</w:t>
      </w:r>
    </w:p>
    <w:p w:rsidR="00190776" w:rsidRPr="004A7CD7" w:rsidRDefault="00190776" w:rsidP="00FD11B5">
      <w:pPr>
        <w:spacing w:line="360" w:lineRule="auto"/>
        <w:ind w:firstLine="720"/>
        <w:jc w:val="both"/>
        <w:rPr>
          <w:rFonts w:ascii="Times New Roman" w:eastAsia="Times New Roman" w:hAnsi="Times New Roman" w:cs="Times New Roman"/>
          <w:sz w:val="24"/>
          <w:szCs w:val="24"/>
        </w:rPr>
      </w:pPr>
      <w:r w:rsidRPr="002B1009">
        <w:rPr>
          <w:rFonts w:ascii="Times New Roman" w:hAnsi="Times New Roman" w:cs="Times New Roman"/>
          <w:color w:val="222222"/>
          <w:sz w:val="24"/>
          <w:szCs w:val="24"/>
        </w:rPr>
        <w:t>TCPA recognizes that many retail electric providers and their customers engage in demand response that is economically driven by wholesale energy prices (or expectations thereof).</w:t>
      </w:r>
      <w:r>
        <w:rPr>
          <w:rFonts w:ascii="Arial" w:hAnsi="Arial" w:cs="Arial"/>
          <w:color w:val="222222"/>
          <w:sz w:val="20"/>
          <w:szCs w:val="20"/>
        </w:rPr>
        <w:t xml:space="preserve"> </w:t>
      </w:r>
      <w:r w:rsidRPr="004A7CD7">
        <w:rPr>
          <w:rFonts w:ascii="Times New Roman" w:eastAsia="Times New Roman" w:hAnsi="Times New Roman" w:cs="Times New Roman"/>
          <w:sz w:val="24"/>
          <w:szCs w:val="24"/>
        </w:rPr>
        <w:t>However, most of the impact of those activities are proprietary and not easily quantified. As such, TCPA responds only to the part of the question regarding the Four Coincident-Peak (“4CP”) impact on prices and price formation.</w:t>
      </w:r>
    </w:p>
    <w:p w:rsidR="00190776" w:rsidRPr="004A7CD7" w:rsidRDefault="00190776" w:rsidP="00FD11B5">
      <w:pPr>
        <w:spacing w:line="360" w:lineRule="auto"/>
        <w:ind w:firstLine="720"/>
        <w:jc w:val="both"/>
        <w:rPr>
          <w:rFonts w:ascii="Times New Roman" w:eastAsia="Times New Roman" w:hAnsi="Times New Roman" w:cs="Times New Roman"/>
          <w:sz w:val="24"/>
          <w:szCs w:val="24"/>
        </w:rPr>
      </w:pPr>
      <w:r w:rsidRPr="004A7CD7">
        <w:rPr>
          <w:rFonts w:ascii="Times New Roman" w:eastAsia="Times New Roman" w:hAnsi="Times New Roman" w:cs="Times New Roman"/>
          <w:sz w:val="24"/>
          <w:szCs w:val="24"/>
        </w:rPr>
        <w:t>While ERCOT does not typically submit its official report identifying the 4CP days and intervals until the end of November each year,</w:t>
      </w:r>
      <w:r w:rsidRPr="004A7CD7">
        <w:rPr>
          <w:rStyle w:val="FootnoteReference"/>
          <w:rFonts w:ascii="Times New Roman" w:eastAsia="Times New Roman" w:hAnsi="Times New Roman" w:cs="Times New Roman"/>
          <w:sz w:val="24"/>
          <w:szCs w:val="24"/>
        </w:rPr>
        <w:footnoteReference w:id="27"/>
      </w:r>
      <w:r w:rsidRPr="004A7CD7">
        <w:rPr>
          <w:rFonts w:ascii="Times New Roman" w:eastAsia="Times New Roman" w:hAnsi="Times New Roman" w:cs="Times New Roman"/>
          <w:sz w:val="24"/>
          <w:szCs w:val="24"/>
        </w:rPr>
        <w:t xml:space="preserve"> and analysis of 4CP-driven load reductions is typically not reviewed until the following Spring at the earliest,</w:t>
      </w:r>
      <w:r w:rsidRPr="004A7CD7">
        <w:rPr>
          <w:rStyle w:val="FootnoteReference"/>
          <w:rFonts w:ascii="Times New Roman" w:eastAsia="Times New Roman" w:hAnsi="Times New Roman" w:cs="Times New Roman"/>
          <w:sz w:val="24"/>
          <w:szCs w:val="24"/>
        </w:rPr>
        <w:footnoteReference w:id="28"/>
      </w:r>
      <w:r w:rsidRPr="004A7CD7">
        <w:rPr>
          <w:rFonts w:ascii="Times New Roman" w:eastAsia="Times New Roman" w:hAnsi="Times New Roman" w:cs="Times New Roman"/>
          <w:sz w:val="24"/>
          <w:szCs w:val="24"/>
        </w:rPr>
        <w:t xml:space="preserve"> prior years’ 4CP </w:t>
      </w:r>
      <w:r w:rsidR="00F63A09">
        <w:rPr>
          <w:rFonts w:ascii="Times New Roman" w:eastAsia="Times New Roman" w:hAnsi="Times New Roman" w:cs="Times New Roman"/>
          <w:sz w:val="24"/>
          <w:szCs w:val="24"/>
        </w:rPr>
        <w:t>response</w:t>
      </w:r>
      <w:r w:rsidR="00F63A09" w:rsidRPr="004A7CD7">
        <w:rPr>
          <w:rFonts w:ascii="Times New Roman" w:eastAsia="Times New Roman" w:hAnsi="Times New Roman" w:cs="Times New Roman"/>
          <w:sz w:val="24"/>
          <w:szCs w:val="24"/>
        </w:rPr>
        <w:t xml:space="preserve"> </w:t>
      </w:r>
      <w:r w:rsidR="00F63A09">
        <w:rPr>
          <w:rFonts w:ascii="Times New Roman" w:eastAsia="Times New Roman" w:hAnsi="Times New Roman" w:cs="Times New Roman"/>
          <w:sz w:val="24"/>
          <w:szCs w:val="24"/>
        </w:rPr>
        <w:t>provides reference</w:t>
      </w:r>
      <w:r w:rsidRPr="004A7CD7">
        <w:rPr>
          <w:rFonts w:ascii="Times New Roman" w:eastAsia="Times New Roman" w:hAnsi="Times New Roman" w:cs="Times New Roman"/>
          <w:sz w:val="24"/>
          <w:szCs w:val="24"/>
        </w:rPr>
        <w:t xml:space="preserve"> </w:t>
      </w:r>
      <w:r w:rsidR="00F63A09">
        <w:rPr>
          <w:rFonts w:ascii="Times New Roman" w:eastAsia="Times New Roman" w:hAnsi="Times New Roman" w:cs="Times New Roman"/>
          <w:sz w:val="24"/>
          <w:szCs w:val="24"/>
        </w:rPr>
        <w:t>for likely</w:t>
      </w:r>
      <w:r w:rsidRPr="004A7CD7">
        <w:rPr>
          <w:rFonts w:ascii="Times New Roman" w:eastAsia="Times New Roman" w:hAnsi="Times New Roman" w:cs="Times New Roman"/>
          <w:sz w:val="24"/>
          <w:szCs w:val="24"/>
        </w:rPr>
        <w:t xml:space="preserve"> 4CP impacts during the Summer of 2018. ERCOT’s Review of Summer 2018 (June-August) presentation, filed in this project on September 24, 2018, includes one slide that is particularly indicative and shows a clear growth trend in 4CP-driven load reductions from 2014 through 2017:</w:t>
      </w:r>
      <w:r w:rsidRPr="004A7CD7">
        <w:rPr>
          <w:rStyle w:val="FootnoteReference"/>
          <w:rFonts w:ascii="Times New Roman" w:eastAsia="Times New Roman" w:hAnsi="Times New Roman" w:cs="Times New Roman"/>
          <w:sz w:val="24"/>
          <w:szCs w:val="24"/>
        </w:rPr>
        <w:footnoteReference w:id="29"/>
      </w:r>
    </w:p>
    <w:p w:rsidR="00190776" w:rsidRDefault="00190776" w:rsidP="00190776">
      <w:pPr>
        <w:rPr>
          <w:rFonts w:eastAsia="Times New Roman"/>
        </w:rPr>
      </w:pPr>
      <w:r>
        <w:rPr>
          <w:noProof/>
        </w:rPr>
        <w:drawing>
          <wp:inline distT="0" distB="0" distL="0" distR="0" wp14:anchorId="48E2031D" wp14:editId="219E3C90">
            <wp:extent cx="5943600" cy="27355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35580"/>
                    </a:xfrm>
                    <a:prstGeom prst="rect">
                      <a:avLst/>
                    </a:prstGeom>
                    <a:noFill/>
                    <a:ln>
                      <a:noFill/>
                    </a:ln>
                  </pic:spPr>
                </pic:pic>
              </a:graphicData>
            </a:graphic>
          </wp:inline>
        </w:drawing>
      </w:r>
    </w:p>
    <w:p w:rsidR="00190776" w:rsidRPr="004A7CD7" w:rsidRDefault="00190776" w:rsidP="00FD11B5">
      <w:pPr>
        <w:spacing w:line="360" w:lineRule="auto"/>
        <w:ind w:firstLine="720"/>
        <w:jc w:val="both"/>
        <w:rPr>
          <w:rFonts w:ascii="Times New Roman" w:eastAsia="Times New Roman" w:hAnsi="Times New Roman" w:cs="Times New Roman"/>
          <w:sz w:val="24"/>
          <w:szCs w:val="24"/>
        </w:rPr>
      </w:pPr>
      <w:r w:rsidRPr="004A7CD7">
        <w:rPr>
          <w:rFonts w:ascii="Times New Roman" w:eastAsia="Times New Roman" w:hAnsi="Times New Roman" w:cs="Times New Roman"/>
          <w:sz w:val="24"/>
          <w:szCs w:val="24"/>
        </w:rPr>
        <w:lastRenderedPageBreak/>
        <w:t xml:space="preserve">The chart is </w:t>
      </w:r>
      <w:proofErr w:type="gramStart"/>
      <w:r w:rsidRPr="004A7CD7">
        <w:rPr>
          <w:rFonts w:ascii="Times New Roman" w:eastAsia="Times New Roman" w:hAnsi="Times New Roman" w:cs="Times New Roman"/>
          <w:sz w:val="24"/>
          <w:szCs w:val="24"/>
        </w:rPr>
        <w:t>fairly clear</w:t>
      </w:r>
      <w:proofErr w:type="gramEnd"/>
      <w:r w:rsidRPr="004A7CD7">
        <w:rPr>
          <w:rFonts w:ascii="Times New Roman" w:eastAsia="Times New Roman" w:hAnsi="Times New Roman" w:cs="Times New Roman"/>
          <w:sz w:val="24"/>
          <w:szCs w:val="24"/>
        </w:rPr>
        <w:t xml:space="preserve"> that 4CP-driven demand response can range from ~250 MW to more than 2,000 MW, but averages around 1,000 MW and </w:t>
      </w:r>
      <w:r w:rsidR="00F63A09">
        <w:rPr>
          <w:rFonts w:ascii="Times New Roman" w:eastAsia="Times New Roman" w:hAnsi="Times New Roman" w:cs="Times New Roman"/>
          <w:sz w:val="24"/>
          <w:szCs w:val="24"/>
        </w:rPr>
        <w:t>is</w:t>
      </w:r>
      <w:r w:rsidRPr="004A7CD7">
        <w:rPr>
          <w:rFonts w:ascii="Times New Roman" w:eastAsia="Times New Roman" w:hAnsi="Times New Roman" w:cs="Times New Roman"/>
          <w:sz w:val="24"/>
          <w:szCs w:val="24"/>
        </w:rPr>
        <w:t xml:space="preserve"> growing. Notably, this analysis includes both actual 4CP days and </w:t>
      </w:r>
      <w:r w:rsidRPr="004A7CD7">
        <w:rPr>
          <w:rFonts w:ascii="Times New Roman" w:eastAsia="Times New Roman" w:hAnsi="Times New Roman" w:cs="Times New Roman"/>
          <w:i/>
          <w:sz w:val="24"/>
          <w:szCs w:val="24"/>
        </w:rPr>
        <w:t>near</w:t>
      </w:r>
      <w:r w:rsidRPr="004A7CD7">
        <w:rPr>
          <w:rFonts w:ascii="Times New Roman" w:eastAsia="Times New Roman" w:hAnsi="Times New Roman" w:cs="Times New Roman"/>
          <w:sz w:val="24"/>
          <w:szCs w:val="24"/>
        </w:rPr>
        <w:t>-4CP days. The latter is reasonably monitored because 4CP-responsive loads</w:t>
      </w:r>
      <w:r w:rsidRPr="004A7CD7">
        <w:rPr>
          <w:rStyle w:val="FootnoteReference"/>
          <w:rFonts w:ascii="Times New Roman" w:eastAsia="Times New Roman" w:hAnsi="Times New Roman" w:cs="Times New Roman"/>
          <w:sz w:val="24"/>
          <w:szCs w:val="24"/>
        </w:rPr>
        <w:footnoteReference w:id="30"/>
      </w:r>
      <w:r w:rsidRPr="004A7CD7">
        <w:rPr>
          <w:rFonts w:ascii="Times New Roman" w:eastAsia="Times New Roman" w:hAnsi="Times New Roman" w:cs="Times New Roman"/>
          <w:sz w:val="24"/>
          <w:szCs w:val="24"/>
        </w:rPr>
        <w:t xml:space="preserve"> often do not know with certainty which day will be the 4CP day (or which interval, even though it is almost always during the hour ending at 5pm, or HE1700), and there are therefore oftentimes “near misses” for 4CP that still result in 4CP-driven demand response. However, a closer inspection of ERCOT’s chart shows that the </w:t>
      </w:r>
      <w:r w:rsidRPr="004A7CD7">
        <w:rPr>
          <w:rFonts w:ascii="Times New Roman" w:eastAsia="Times New Roman" w:hAnsi="Times New Roman" w:cs="Times New Roman"/>
          <w:i/>
          <w:sz w:val="24"/>
          <w:szCs w:val="24"/>
        </w:rPr>
        <w:t>actual</w:t>
      </w:r>
      <w:r w:rsidRPr="004A7CD7">
        <w:rPr>
          <w:rFonts w:ascii="Times New Roman" w:eastAsia="Times New Roman" w:hAnsi="Times New Roman" w:cs="Times New Roman"/>
          <w:sz w:val="24"/>
          <w:szCs w:val="24"/>
        </w:rPr>
        <w:t xml:space="preserve"> 4CP load reductions tend to be well above the trendline average – out of the 16 4CP days shown, only three are noticeably below the trendline and another three are basically on the trendline, but the remaining ten instances appear to be well above the trend (the June 2017 result appears to be nearly </w:t>
      </w:r>
      <w:r w:rsidRPr="004A7CD7">
        <w:rPr>
          <w:rFonts w:ascii="Times New Roman" w:eastAsia="Times New Roman" w:hAnsi="Times New Roman" w:cs="Times New Roman"/>
          <w:i/>
          <w:sz w:val="24"/>
          <w:szCs w:val="24"/>
        </w:rPr>
        <w:t>double</w:t>
      </w:r>
      <w:r w:rsidRPr="004A7CD7">
        <w:rPr>
          <w:rFonts w:ascii="Times New Roman" w:eastAsia="Times New Roman" w:hAnsi="Times New Roman" w:cs="Times New Roman"/>
          <w:sz w:val="24"/>
          <w:szCs w:val="24"/>
        </w:rPr>
        <w:t>).</w:t>
      </w:r>
    </w:p>
    <w:p w:rsidR="00190776" w:rsidRPr="004A7CD7" w:rsidRDefault="00190776" w:rsidP="00FD11B5">
      <w:pPr>
        <w:spacing w:line="360" w:lineRule="auto"/>
        <w:ind w:firstLine="720"/>
        <w:jc w:val="both"/>
        <w:rPr>
          <w:rFonts w:ascii="Times New Roman" w:eastAsia="Times New Roman" w:hAnsi="Times New Roman" w:cs="Times New Roman"/>
          <w:sz w:val="24"/>
          <w:szCs w:val="24"/>
        </w:rPr>
      </w:pPr>
      <w:r w:rsidRPr="004A7CD7">
        <w:rPr>
          <w:rFonts w:ascii="Times New Roman" w:eastAsia="Times New Roman" w:hAnsi="Times New Roman" w:cs="Times New Roman"/>
          <w:sz w:val="24"/>
          <w:szCs w:val="24"/>
        </w:rPr>
        <w:t>The raw data behind ERCOT’s 4CP chart is not published, but a visual approximation of those data points suggests that the trendline for actual 4CP demand response is significantly higher – a forecasted average of 1,630 to 1,730 MW for 2018, with a single standard deviation of +/- 467 MW based on the visually-approximated 2014-2017 4CP response estimates:</w:t>
      </w:r>
    </w:p>
    <w:p w:rsidR="00190776" w:rsidRDefault="00190776" w:rsidP="00190776">
      <w:pPr>
        <w:rPr>
          <w:rFonts w:eastAsia="Times New Roman"/>
        </w:rPr>
      </w:pPr>
      <w:r>
        <w:rPr>
          <w:noProof/>
        </w:rPr>
        <w:drawing>
          <wp:inline distT="0" distB="0" distL="0" distR="0" wp14:anchorId="4E862FA9" wp14:editId="3B929AF5">
            <wp:extent cx="5753100" cy="2453640"/>
            <wp:effectExtent l="0" t="0" r="0" b="3810"/>
            <wp:docPr id="7" name="Chart 7">
              <a:extLst xmlns:a="http://schemas.openxmlformats.org/drawingml/2006/main">
                <a:ext uri="{FF2B5EF4-FFF2-40B4-BE49-F238E27FC236}">
                  <a16:creationId xmlns:a16="http://schemas.microsoft.com/office/drawing/2014/main" id="{E04D0280-0832-4A18-880C-DF071B27EC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0776" w:rsidRPr="004A7CD7" w:rsidRDefault="00190776" w:rsidP="00FD11B5">
      <w:pPr>
        <w:spacing w:line="360" w:lineRule="auto"/>
        <w:ind w:firstLine="720"/>
        <w:jc w:val="both"/>
        <w:rPr>
          <w:rFonts w:ascii="Times New Roman" w:eastAsia="Times New Roman" w:hAnsi="Times New Roman" w:cs="Times New Roman"/>
          <w:sz w:val="24"/>
          <w:szCs w:val="24"/>
        </w:rPr>
      </w:pPr>
      <w:r w:rsidRPr="004A7CD7">
        <w:rPr>
          <w:rFonts w:ascii="Times New Roman" w:eastAsia="Times New Roman" w:hAnsi="Times New Roman" w:cs="Times New Roman"/>
          <w:sz w:val="24"/>
          <w:szCs w:val="24"/>
        </w:rPr>
        <w:lastRenderedPageBreak/>
        <w:t xml:space="preserve">Admittedly, this is only a simple trendline projection, and actual 4CP demand responses can be significantly above or below average. But the implied magnitude is staggering nonetheless – on the order of a large combined cycle, coal, or nuclear generator – particularly given that it is driven entirely by factors outside of the wholesale energy market. </w:t>
      </w:r>
    </w:p>
    <w:p w:rsidR="00190776" w:rsidRDefault="00190776" w:rsidP="00FD11B5">
      <w:pPr>
        <w:spacing w:line="360" w:lineRule="auto"/>
        <w:ind w:firstLine="720"/>
        <w:jc w:val="both"/>
        <w:rPr>
          <w:rFonts w:ascii="Times New Roman" w:eastAsia="Times New Roman" w:hAnsi="Times New Roman" w:cs="Times New Roman"/>
          <w:sz w:val="24"/>
          <w:szCs w:val="24"/>
        </w:rPr>
      </w:pPr>
      <w:r w:rsidRPr="004A7CD7">
        <w:rPr>
          <w:rFonts w:ascii="Times New Roman" w:eastAsia="Times New Roman" w:hAnsi="Times New Roman" w:cs="Times New Roman"/>
          <w:sz w:val="24"/>
          <w:szCs w:val="24"/>
        </w:rPr>
        <w:t>To assess the impact of 4CP-driven demand response on market prices in 2018, the first step is to estimate what the 2018 4CP intervals are likely to be. To do this, TCPA first consulted the ERCOT Hourly Load data to identify the peak hourly loads for June-September 2018, then looked at the interval load within those peak hours:</w:t>
      </w:r>
      <w:r w:rsidRPr="004A7CD7">
        <w:rPr>
          <w:rStyle w:val="FootnoteReference"/>
          <w:rFonts w:ascii="Times New Roman" w:eastAsia="Times New Roman" w:hAnsi="Times New Roman" w:cs="Times New Roman"/>
          <w:sz w:val="24"/>
          <w:szCs w:val="24"/>
        </w:rPr>
        <w:footnoteReference w:id="31"/>
      </w:r>
      <w:r w:rsidRPr="004A7CD7">
        <w:rPr>
          <w:rFonts w:ascii="Times New Roman" w:eastAsia="Times New Roman" w:hAnsi="Times New Roman" w:cs="Times New Roman"/>
          <w:sz w:val="24"/>
          <w:szCs w:val="24"/>
        </w:rPr>
        <w:t xml:space="preserve"> </w:t>
      </w:r>
    </w:p>
    <w:tbl>
      <w:tblPr>
        <w:tblW w:w="9509" w:type="dxa"/>
        <w:tblLook w:val="04A0" w:firstRow="1" w:lastRow="0" w:firstColumn="1" w:lastColumn="0" w:noHBand="0" w:noVBand="1"/>
      </w:tblPr>
      <w:tblGrid>
        <w:gridCol w:w="1890"/>
        <w:gridCol w:w="1890"/>
        <w:gridCol w:w="1209"/>
        <w:gridCol w:w="1130"/>
        <w:gridCol w:w="1130"/>
        <w:gridCol w:w="1130"/>
        <w:gridCol w:w="1130"/>
      </w:tblGrid>
      <w:tr w:rsidR="00190776" w:rsidTr="008A06EE">
        <w:trPr>
          <w:trHeight w:val="300"/>
        </w:trPr>
        <w:tc>
          <w:tcPr>
            <w:tcW w:w="1890" w:type="dxa"/>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 </w:t>
            </w:r>
          </w:p>
        </w:tc>
        <w:tc>
          <w:tcPr>
            <w:tcW w:w="1890" w:type="dxa"/>
            <w:shd w:val="clear" w:color="auto" w:fill="FFFFFF"/>
            <w:noWrap/>
            <w:vAlign w:val="bottom"/>
            <w:hideMark/>
          </w:tcPr>
          <w:p w:rsidR="00190776" w:rsidRDefault="00190776" w:rsidP="00261180">
            <w:pPr>
              <w:spacing w:after="0" w:line="240" w:lineRule="auto"/>
              <w:jc w:val="center"/>
              <w:rPr>
                <w:rFonts w:eastAsia="Times New Roman"/>
                <w:b/>
                <w:bCs/>
                <w:color w:val="000000"/>
                <w:u w:val="single"/>
              </w:rPr>
            </w:pPr>
            <w:r>
              <w:rPr>
                <w:rFonts w:eastAsia="Times New Roman"/>
                <w:b/>
                <w:bCs/>
                <w:color w:val="000000"/>
                <w:u w:val="single"/>
              </w:rPr>
              <w:t>HE</w:t>
            </w:r>
          </w:p>
        </w:tc>
        <w:tc>
          <w:tcPr>
            <w:tcW w:w="1209" w:type="dxa"/>
            <w:shd w:val="clear" w:color="auto" w:fill="FFFFFF"/>
            <w:noWrap/>
            <w:vAlign w:val="bottom"/>
            <w:hideMark/>
          </w:tcPr>
          <w:p w:rsidR="00190776" w:rsidRDefault="00190776" w:rsidP="00261180">
            <w:pPr>
              <w:spacing w:after="0" w:line="240" w:lineRule="auto"/>
              <w:jc w:val="center"/>
              <w:rPr>
                <w:rFonts w:eastAsia="Times New Roman"/>
                <w:b/>
                <w:bCs/>
                <w:color w:val="000000"/>
                <w:u w:val="single"/>
              </w:rPr>
            </w:pPr>
            <w:r>
              <w:rPr>
                <w:rFonts w:eastAsia="Times New Roman"/>
                <w:b/>
                <w:bCs/>
                <w:color w:val="000000"/>
                <w:u w:val="single"/>
              </w:rPr>
              <w:t>Hourly Load</w:t>
            </w:r>
          </w:p>
        </w:tc>
        <w:tc>
          <w:tcPr>
            <w:tcW w:w="1130" w:type="dxa"/>
            <w:shd w:val="clear" w:color="auto" w:fill="FFFFFF"/>
            <w:noWrap/>
            <w:vAlign w:val="bottom"/>
            <w:hideMark/>
          </w:tcPr>
          <w:p w:rsidR="00190776" w:rsidRDefault="00190776" w:rsidP="00261180">
            <w:pPr>
              <w:spacing w:after="0" w:line="240" w:lineRule="auto"/>
              <w:jc w:val="center"/>
              <w:rPr>
                <w:rFonts w:eastAsia="Times New Roman"/>
                <w:b/>
                <w:bCs/>
                <w:color w:val="000000"/>
                <w:u w:val="single"/>
              </w:rPr>
            </w:pPr>
            <w:r>
              <w:rPr>
                <w:rFonts w:eastAsia="Times New Roman"/>
                <w:b/>
                <w:bCs/>
                <w:color w:val="000000"/>
                <w:u w:val="single"/>
              </w:rPr>
              <w:t>INT1</w:t>
            </w:r>
          </w:p>
        </w:tc>
        <w:tc>
          <w:tcPr>
            <w:tcW w:w="1130" w:type="dxa"/>
            <w:shd w:val="clear" w:color="auto" w:fill="FFFFFF"/>
            <w:noWrap/>
            <w:vAlign w:val="bottom"/>
            <w:hideMark/>
          </w:tcPr>
          <w:p w:rsidR="00190776" w:rsidRDefault="00190776" w:rsidP="00261180">
            <w:pPr>
              <w:spacing w:after="0" w:line="240" w:lineRule="auto"/>
              <w:jc w:val="center"/>
              <w:rPr>
                <w:rFonts w:eastAsia="Times New Roman"/>
                <w:b/>
                <w:bCs/>
                <w:color w:val="000000"/>
                <w:u w:val="single"/>
              </w:rPr>
            </w:pPr>
            <w:r>
              <w:rPr>
                <w:rFonts w:eastAsia="Times New Roman"/>
                <w:b/>
                <w:bCs/>
                <w:color w:val="000000"/>
                <w:u w:val="single"/>
              </w:rPr>
              <w:t>INT2</w:t>
            </w:r>
          </w:p>
        </w:tc>
        <w:tc>
          <w:tcPr>
            <w:tcW w:w="1130" w:type="dxa"/>
            <w:shd w:val="clear" w:color="auto" w:fill="FFFFFF"/>
            <w:noWrap/>
            <w:vAlign w:val="bottom"/>
            <w:hideMark/>
          </w:tcPr>
          <w:p w:rsidR="00190776" w:rsidRDefault="00190776" w:rsidP="00261180">
            <w:pPr>
              <w:spacing w:after="0" w:line="240" w:lineRule="auto"/>
              <w:jc w:val="center"/>
              <w:rPr>
                <w:rFonts w:eastAsia="Times New Roman"/>
                <w:b/>
                <w:bCs/>
                <w:color w:val="000000"/>
                <w:u w:val="single"/>
              </w:rPr>
            </w:pPr>
            <w:r>
              <w:rPr>
                <w:rFonts w:eastAsia="Times New Roman"/>
                <w:b/>
                <w:bCs/>
                <w:color w:val="000000"/>
                <w:u w:val="single"/>
              </w:rPr>
              <w:t>INT3</w:t>
            </w:r>
          </w:p>
        </w:tc>
        <w:tc>
          <w:tcPr>
            <w:tcW w:w="1130" w:type="dxa"/>
            <w:shd w:val="clear" w:color="auto" w:fill="FFFFFF"/>
            <w:noWrap/>
            <w:vAlign w:val="bottom"/>
            <w:hideMark/>
          </w:tcPr>
          <w:p w:rsidR="00190776" w:rsidRDefault="00190776" w:rsidP="00261180">
            <w:pPr>
              <w:spacing w:after="0" w:line="240" w:lineRule="auto"/>
              <w:jc w:val="center"/>
              <w:rPr>
                <w:rFonts w:eastAsia="Times New Roman"/>
                <w:b/>
                <w:bCs/>
                <w:color w:val="000000"/>
                <w:u w:val="single"/>
              </w:rPr>
            </w:pPr>
            <w:r>
              <w:rPr>
                <w:rFonts w:eastAsia="Times New Roman"/>
                <w:b/>
                <w:bCs/>
                <w:color w:val="000000"/>
                <w:u w:val="single"/>
              </w:rPr>
              <w:t>INT4</w:t>
            </w:r>
          </w:p>
        </w:tc>
      </w:tr>
      <w:tr w:rsidR="00190776" w:rsidTr="008A06EE">
        <w:trPr>
          <w:trHeight w:val="350"/>
        </w:trPr>
        <w:tc>
          <w:tcPr>
            <w:tcW w:w="1890" w:type="dxa"/>
            <w:shd w:val="clear" w:color="auto" w:fill="FFFFFF"/>
            <w:noWrap/>
            <w:vAlign w:val="bottom"/>
            <w:hideMark/>
          </w:tcPr>
          <w:p w:rsidR="00190776" w:rsidRDefault="00190776" w:rsidP="00261180">
            <w:pPr>
              <w:spacing w:after="0" w:line="240" w:lineRule="auto"/>
              <w:rPr>
                <w:rFonts w:eastAsia="Times New Roman"/>
                <w:b/>
                <w:bCs/>
                <w:color w:val="000000"/>
              </w:rPr>
            </w:pPr>
            <w:r>
              <w:rPr>
                <w:rFonts w:eastAsia="Times New Roman"/>
                <w:b/>
                <w:bCs/>
                <w:color w:val="000000"/>
              </w:rPr>
              <w:t>June Peak</w:t>
            </w:r>
          </w:p>
        </w:tc>
        <w:tc>
          <w:tcPr>
            <w:tcW w:w="1890" w:type="dxa"/>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06/27/2018 17:00</w:t>
            </w:r>
          </w:p>
        </w:tc>
        <w:tc>
          <w:tcPr>
            <w:tcW w:w="1209" w:type="dxa"/>
            <w:tcBorders>
              <w:top w:val="single" w:sz="4" w:space="0" w:color="auto"/>
              <w:left w:val="single" w:sz="4" w:space="0" w:color="auto"/>
              <w:bottom w:val="nil"/>
              <w:right w:val="single" w:sz="4" w:space="0" w:color="auto"/>
            </w:tcBorders>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 xml:space="preserve">69,102.21 </w:t>
            </w:r>
          </w:p>
        </w:tc>
        <w:tc>
          <w:tcPr>
            <w:tcW w:w="1130" w:type="dxa"/>
            <w:tcBorders>
              <w:top w:val="single" w:sz="4" w:space="0" w:color="auto"/>
              <w:left w:val="nil"/>
              <w:bottom w:val="nil"/>
              <w:right w:val="nil"/>
            </w:tcBorders>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 xml:space="preserve">68,824.19 </w:t>
            </w:r>
          </w:p>
        </w:tc>
        <w:tc>
          <w:tcPr>
            <w:tcW w:w="1130" w:type="dxa"/>
            <w:tcBorders>
              <w:top w:val="single" w:sz="4" w:space="0" w:color="auto"/>
              <w:left w:val="nil"/>
              <w:bottom w:val="nil"/>
              <w:right w:val="nil"/>
            </w:tcBorders>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 xml:space="preserve">69,038.87 </w:t>
            </w:r>
          </w:p>
        </w:tc>
        <w:tc>
          <w:tcPr>
            <w:tcW w:w="1130" w:type="dxa"/>
            <w:tcBorders>
              <w:top w:val="single" w:sz="4" w:space="0" w:color="auto"/>
              <w:left w:val="nil"/>
              <w:bottom w:val="nil"/>
              <w:right w:val="nil"/>
            </w:tcBorders>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 xml:space="preserve">69,122.73 </w:t>
            </w:r>
          </w:p>
        </w:tc>
        <w:tc>
          <w:tcPr>
            <w:tcW w:w="1130" w:type="dxa"/>
            <w:tcBorders>
              <w:top w:val="single" w:sz="4" w:space="0" w:color="auto"/>
              <w:left w:val="nil"/>
              <w:bottom w:val="nil"/>
              <w:right w:val="single" w:sz="4" w:space="0" w:color="auto"/>
            </w:tcBorders>
            <w:shd w:val="clear" w:color="auto" w:fill="FFFFFF"/>
            <w:noWrap/>
            <w:vAlign w:val="bottom"/>
            <w:hideMark/>
          </w:tcPr>
          <w:p w:rsidR="00190776" w:rsidRDefault="00190776" w:rsidP="00261180">
            <w:pPr>
              <w:spacing w:after="0" w:line="240" w:lineRule="auto"/>
              <w:rPr>
                <w:rFonts w:eastAsia="Times New Roman"/>
                <w:b/>
                <w:bCs/>
                <w:color w:val="000000"/>
              </w:rPr>
            </w:pPr>
            <w:r>
              <w:rPr>
                <w:rFonts w:eastAsia="Times New Roman"/>
                <w:b/>
                <w:bCs/>
                <w:color w:val="000000"/>
              </w:rPr>
              <w:t xml:space="preserve">69,171.86 </w:t>
            </w:r>
          </w:p>
        </w:tc>
      </w:tr>
      <w:tr w:rsidR="00190776" w:rsidTr="008A06EE">
        <w:trPr>
          <w:trHeight w:val="300"/>
        </w:trPr>
        <w:tc>
          <w:tcPr>
            <w:tcW w:w="1890" w:type="dxa"/>
            <w:shd w:val="clear" w:color="auto" w:fill="FFFFFF"/>
            <w:noWrap/>
            <w:vAlign w:val="bottom"/>
            <w:hideMark/>
          </w:tcPr>
          <w:p w:rsidR="00190776" w:rsidRDefault="00190776" w:rsidP="00261180">
            <w:pPr>
              <w:spacing w:after="0" w:line="240" w:lineRule="auto"/>
              <w:rPr>
                <w:rFonts w:eastAsia="Times New Roman"/>
                <w:b/>
                <w:bCs/>
                <w:color w:val="000000"/>
              </w:rPr>
            </w:pPr>
            <w:r>
              <w:rPr>
                <w:rFonts w:eastAsia="Times New Roman"/>
                <w:b/>
                <w:bCs/>
                <w:color w:val="000000"/>
              </w:rPr>
              <w:t>July Peak</w:t>
            </w:r>
          </w:p>
        </w:tc>
        <w:tc>
          <w:tcPr>
            <w:tcW w:w="1890" w:type="dxa"/>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07/19/2018 17:00</w:t>
            </w:r>
          </w:p>
        </w:tc>
        <w:tc>
          <w:tcPr>
            <w:tcW w:w="1209" w:type="dxa"/>
            <w:tcBorders>
              <w:top w:val="nil"/>
              <w:left w:val="single" w:sz="4" w:space="0" w:color="auto"/>
              <w:bottom w:val="nil"/>
              <w:right w:val="single" w:sz="4" w:space="0" w:color="auto"/>
            </w:tcBorders>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 xml:space="preserve">73,308.15 </w:t>
            </w:r>
          </w:p>
        </w:tc>
        <w:tc>
          <w:tcPr>
            <w:tcW w:w="1130" w:type="dxa"/>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 xml:space="preserve">73,112.34 </w:t>
            </w:r>
          </w:p>
        </w:tc>
        <w:tc>
          <w:tcPr>
            <w:tcW w:w="1130" w:type="dxa"/>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 xml:space="preserve">73,255.73 </w:t>
            </w:r>
          </w:p>
        </w:tc>
        <w:tc>
          <w:tcPr>
            <w:tcW w:w="1130" w:type="dxa"/>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 xml:space="preserve">73,341.79 </w:t>
            </w:r>
          </w:p>
        </w:tc>
        <w:tc>
          <w:tcPr>
            <w:tcW w:w="1130" w:type="dxa"/>
            <w:tcBorders>
              <w:top w:val="nil"/>
              <w:left w:val="nil"/>
              <w:bottom w:val="nil"/>
              <w:right w:val="single" w:sz="4" w:space="0" w:color="auto"/>
            </w:tcBorders>
            <w:shd w:val="clear" w:color="auto" w:fill="FFFFFF"/>
            <w:noWrap/>
            <w:vAlign w:val="bottom"/>
            <w:hideMark/>
          </w:tcPr>
          <w:p w:rsidR="00190776" w:rsidRDefault="00190776" w:rsidP="00261180">
            <w:pPr>
              <w:spacing w:after="0" w:line="240" w:lineRule="auto"/>
              <w:rPr>
                <w:rFonts w:eastAsia="Times New Roman"/>
                <w:b/>
                <w:bCs/>
                <w:color w:val="000000"/>
              </w:rPr>
            </w:pPr>
            <w:r>
              <w:rPr>
                <w:rFonts w:eastAsia="Times New Roman"/>
                <w:b/>
                <w:bCs/>
                <w:color w:val="000000"/>
              </w:rPr>
              <w:t xml:space="preserve">73,348.44 </w:t>
            </w:r>
          </w:p>
        </w:tc>
      </w:tr>
      <w:tr w:rsidR="00190776" w:rsidTr="008A06EE">
        <w:trPr>
          <w:trHeight w:val="300"/>
        </w:trPr>
        <w:tc>
          <w:tcPr>
            <w:tcW w:w="1890" w:type="dxa"/>
            <w:shd w:val="clear" w:color="auto" w:fill="FFFFFF"/>
            <w:noWrap/>
            <w:vAlign w:val="bottom"/>
            <w:hideMark/>
          </w:tcPr>
          <w:p w:rsidR="00190776" w:rsidRDefault="00190776" w:rsidP="00261180">
            <w:pPr>
              <w:spacing w:after="0" w:line="240" w:lineRule="auto"/>
              <w:rPr>
                <w:rFonts w:eastAsia="Times New Roman"/>
                <w:b/>
                <w:bCs/>
                <w:color w:val="000000"/>
              </w:rPr>
            </w:pPr>
            <w:r>
              <w:rPr>
                <w:rFonts w:eastAsia="Times New Roman"/>
                <w:b/>
                <w:bCs/>
                <w:color w:val="000000"/>
              </w:rPr>
              <w:t>August Peak</w:t>
            </w:r>
          </w:p>
        </w:tc>
        <w:tc>
          <w:tcPr>
            <w:tcW w:w="1890" w:type="dxa"/>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08/23/2018 17:00</w:t>
            </w:r>
          </w:p>
        </w:tc>
        <w:tc>
          <w:tcPr>
            <w:tcW w:w="1209" w:type="dxa"/>
            <w:tcBorders>
              <w:top w:val="nil"/>
              <w:left w:val="single" w:sz="4" w:space="0" w:color="auto"/>
              <w:bottom w:val="nil"/>
              <w:right w:val="single" w:sz="4" w:space="0" w:color="auto"/>
            </w:tcBorders>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 xml:space="preserve">69,888.58 </w:t>
            </w:r>
          </w:p>
        </w:tc>
        <w:tc>
          <w:tcPr>
            <w:tcW w:w="1130" w:type="dxa"/>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 xml:space="preserve">69,701.00 </w:t>
            </w:r>
          </w:p>
        </w:tc>
        <w:tc>
          <w:tcPr>
            <w:tcW w:w="1130" w:type="dxa"/>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 xml:space="preserve">69,883.49 </w:t>
            </w:r>
          </w:p>
        </w:tc>
        <w:tc>
          <w:tcPr>
            <w:tcW w:w="1130" w:type="dxa"/>
            <w:shd w:val="clear" w:color="auto" w:fill="FFFFFF"/>
            <w:noWrap/>
            <w:vAlign w:val="bottom"/>
            <w:hideMark/>
          </w:tcPr>
          <w:p w:rsidR="00190776" w:rsidRDefault="00190776" w:rsidP="00261180">
            <w:pPr>
              <w:spacing w:after="0" w:line="240" w:lineRule="auto"/>
              <w:rPr>
                <w:rFonts w:eastAsia="Times New Roman"/>
                <w:b/>
                <w:bCs/>
                <w:color w:val="000000"/>
              </w:rPr>
            </w:pPr>
            <w:r>
              <w:rPr>
                <w:rFonts w:eastAsia="Times New Roman"/>
                <w:b/>
                <w:bCs/>
                <w:color w:val="000000"/>
              </w:rPr>
              <w:t xml:space="preserve">69,909.90 </w:t>
            </w:r>
          </w:p>
        </w:tc>
        <w:tc>
          <w:tcPr>
            <w:tcW w:w="1130" w:type="dxa"/>
            <w:tcBorders>
              <w:top w:val="nil"/>
              <w:left w:val="nil"/>
              <w:bottom w:val="nil"/>
              <w:right w:val="single" w:sz="4" w:space="0" w:color="auto"/>
            </w:tcBorders>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 xml:space="preserve">69,904.42 </w:t>
            </w:r>
          </w:p>
        </w:tc>
      </w:tr>
      <w:tr w:rsidR="00190776" w:rsidTr="008A06EE">
        <w:trPr>
          <w:trHeight w:val="300"/>
        </w:trPr>
        <w:tc>
          <w:tcPr>
            <w:tcW w:w="1890" w:type="dxa"/>
            <w:shd w:val="clear" w:color="auto" w:fill="FFFFFF"/>
            <w:noWrap/>
            <w:vAlign w:val="bottom"/>
            <w:hideMark/>
          </w:tcPr>
          <w:p w:rsidR="00190776" w:rsidRDefault="00190776" w:rsidP="00261180">
            <w:pPr>
              <w:spacing w:after="0" w:line="240" w:lineRule="auto"/>
              <w:rPr>
                <w:rFonts w:eastAsia="Times New Roman"/>
                <w:b/>
                <w:bCs/>
                <w:color w:val="000000"/>
              </w:rPr>
            </w:pPr>
            <w:r>
              <w:rPr>
                <w:rFonts w:eastAsia="Times New Roman"/>
                <w:b/>
                <w:bCs/>
                <w:color w:val="000000"/>
              </w:rPr>
              <w:t>September Peak</w:t>
            </w:r>
          </w:p>
        </w:tc>
        <w:tc>
          <w:tcPr>
            <w:tcW w:w="1890" w:type="dxa"/>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09/18/2018 17:00</w:t>
            </w:r>
          </w:p>
        </w:tc>
        <w:tc>
          <w:tcPr>
            <w:tcW w:w="1209" w:type="dxa"/>
            <w:tcBorders>
              <w:top w:val="nil"/>
              <w:left w:val="single" w:sz="4" w:space="0" w:color="auto"/>
              <w:bottom w:val="single" w:sz="4" w:space="0" w:color="auto"/>
              <w:right w:val="single" w:sz="4" w:space="0" w:color="auto"/>
            </w:tcBorders>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 xml:space="preserve">64,606.31 </w:t>
            </w:r>
          </w:p>
        </w:tc>
        <w:tc>
          <w:tcPr>
            <w:tcW w:w="1130" w:type="dxa"/>
            <w:tcBorders>
              <w:top w:val="nil"/>
              <w:left w:val="nil"/>
              <w:bottom w:val="single" w:sz="4" w:space="0" w:color="auto"/>
              <w:right w:val="nil"/>
            </w:tcBorders>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 xml:space="preserve">64,555.27 </w:t>
            </w:r>
          </w:p>
        </w:tc>
        <w:tc>
          <w:tcPr>
            <w:tcW w:w="1130" w:type="dxa"/>
            <w:tcBorders>
              <w:top w:val="nil"/>
              <w:left w:val="nil"/>
              <w:bottom w:val="single" w:sz="4" w:space="0" w:color="auto"/>
              <w:right w:val="nil"/>
            </w:tcBorders>
            <w:shd w:val="clear" w:color="auto" w:fill="FFFFFF"/>
            <w:noWrap/>
            <w:vAlign w:val="bottom"/>
            <w:hideMark/>
          </w:tcPr>
          <w:p w:rsidR="00190776" w:rsidRDefault="00190776" w:rsidP="00261180">
            <w:pPr>
              <w:spacing w:after="0" w:line="240" w:lineRule="auto"/>
              <w:rPr>
                <w:rFonts w:eastAsia="Times New Roman"/>
                <w:b/>
                <w:bCs/>
                <w:color w:val="000000"/>
              </w:rPr>
            </w:pPr>
            <w:r>
              <w:rPr>
                <w:rFonts w:eastAsia="Times New Roman"/>
                <w:b/>
                <w:bCs/>
                <w:color w:val="000000"/>
              </w:rPr>
              <w:t xml:space="preserve">64,687.55 </w:t>
            </w:r>
          </w:p>
        </w:tc>
        <w:tc>
          <w:tcPr>
            <w:tcW w:w="1130" w:type="dxa"/>
            <w:tcBorders>
              <w:top w:val="nil"/>
              <w:left w:val="nil"/>
              <w:bottom w:val="single" w:sz="4" w:space="0" w:color="auto"/>
              <w:right w:val="nil"/>
            </w:tcBorders>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 xml:space="preserve">64,685.12 </w:t>
            </w:r>
          </w:p>
        </w:tc>
        <w:tc>
          <w:tcPr>
            <w:tcW w:w="1130" w:type="dxa"/>
            <w:tcBorders>
              <w:top w:val="nil"/>
              <w:left w:val="nil"/>
              <w:bottom w:val="single" w:sz="4" w:space="0" w:color="auto"/>
              <w:right w:val="single" w:sz="4" w:space="0" w:color="auto"/>
            </w:tcBorders>
            <w:shd w:val="clear" w:color="auto" w:fill="FFFFFF"/>
            <w:noWrap/>
            <w:vAlign w:val="bottom"/>
            <w:hideMark/>
          </w:tcPr>
          <w:p w:rsidR="00190776" w:rsidRDefault="00190776" w:rsidP="00261180">
            <w:pPr>
              <w:spacing w:after="0" w:line="240" w:lineRule="auto"/>
              <w:rPr>
                <w:rFonts w:eastAsia="Times New Roman"/>
                <w:color w:val="000000"/>
              </w:rPr>
            </w:pPr>
            <w:r>
              <w:rPr>
                <w:rFonts w:eastAsia="Times New Roman"/>
                <w:color w:val="000000"/>
              </w:rPr>
              <w:t xml:space="preserve">64,634.00 </w:t>
            </w:r>
          </w:p>
        </w:tc>
      </w:tr>
    </w:tbl>
    <w:p w:rsidR="00190776" w:rsidRDefault="00190776" w:rsidP="00190776">
      <w:pPr>
        <w:rPr>
          <w:rFonts w:ascii="Calibri" w:eastAsia="Times New Roman" w:hAnsi="Calibri" w:cs="Calibri"/>
        </w:rPr>
      </w:pPr>
    </w:p>
    <w:p w:rsidR="00190776" w:rsidRDefault="00190776" w:rsidP="00FD11B5">
      <w:pPr>
        <w:spacing w:line="360" w:lineRule="auto"/>
        <w:ind w:firstLine="720"/>
        <w:jc w:val="both"/>
        <w:rPr>
          <w:rFonts w:ascii="Times New Roman" w:eastAsia="Times New Roman" w:hAnsi="Times New Roman" w:cs="Times New Roman"/>
          <w:sz w:val="24"/>
          <w:szCs w:val="24"/>
        </w:rPr>
      </w:pPr>
      <w:r w:rsidRPr="004A7CD7">
        <w:rPr>
          <w:rFonts w:ascii="Times New Roman" w:eastAsia="Times New Roman" w:hAnsi="Times New Roman" w:cs="Times New Roman"/>
          <w:sz w:val="24"/>
          <w:szCs w:val="24"/>
        </w:rPr>
        <w:t xml:space="preserve">The bolded figures identify the 15-minute settlement intervals needed to evaluate 4CP’s impact on price formation. The ideal evaluation would recreate both the </w:t>
      </w:r>
      <w:r w:rsidR="00F63A09">
        <w:rPr>
          <w:rFonts w:ascii="Times New Roman" w:eastAsia="Times New Roman" w:hAnsi="Times New Roman" w:cs="Times New Roman"/>
          <w:sz w:val="24"/>
          <w:szCs w:val="24"/>
        </w:rPr>
        <w:t>energy offer</w:t>
      </w:r>
      <w:r w:rsidR="00F63A09" w:rsidRPr="004A7CD7">
        <w:rPr>
          <w:rFonts w:ascii="Times New Roman" w:eastAsia="Times New Roman" w:hAnsi="Times New Roman" w:cs="Times New Roman"/>
          <w:sz w:val="24"/>
          <w:szCs w:val="24"/>
        </w:rPr>
        <w:t xml:space="preserve"> </w:t>
      </w:r>
      <w:r w:rsidRPr="004A7CD7">
        <w:rPr>
          <w:rFonts w:ascii="Times New Roman" w:eastAsia="Times New Roman" w:hAnsi="Times New Roman" w:cs="Times New Roman"/>
          <w:sz w:val="24"/>
          <w:szCs w:val="24"/>
        </w:rPr>
        <w:t>stacks and the ORDC price adders for those intervals, but for simplicity the analysis can focus solely on ORDC. The individual SCED run ORDC reports for those identified intervals can then be used to estimate “what if” ORDC adders that assume the projected 2018 4CP response range is subtracted from the online capacity (RTOLCAP), since additional load would inherently reduce online reserves.</w:t>
      </w:r>
      <w:r w:rsidRPr="004A7CD7">
        <w:rPr>
          <w:rStyle w:val="FootnoteReference"/>
          <w:rFonts w:ascii="Times New Roman" w:eastAsia="Times New Roman" w:hAnsi="Times New Roman" w:cs="Times New Roman"/>
          <w:sz w:val="24"/>
          <w:szCs w:val="24"/>
        </w:rPr>
        <w:footnoteReference w:id="32"/>
      </w:r>
      <w:r w:rsidRPr="004A7CD7">
        <w:rPr>
          <w:rFonts w:ascii="Times New Roman" w:eastAsia="Times New Roman" w:hAnsi="Times New Roman" w:cs="Times New Roman"/>
          <w:sz w:val="24"/>
          <w:szCs w:val="24"/>
        </w:rPr>
        <w:t xml:space="preserve"> The results for the online ORDC adder (RTORPA) are shown below as the simple average across the three SCED runs in the peak interval:</w:t>
      </w:r>
      <w:r w:rsidRPr="004A7CD7">
        <w:rPr>
          <w:rStyle w:val="FootnoteReference"/>
          <w:rFonts w:ascii="Times New Roman" w:eastAsia="Times New Roman" w:hAnsi="Times New Roman" w:cs="Times New Roman"/>
          <w:sz w:val="24"/>
          <w:szCs w:val="24"/>
        </w:rPr>
        <w:footnoteReference w:id="33"/>
      </w:r>
    </w:p>
    <w:p w:rsidR="00FD11B5" w:rsidRDefault="00FD11B5" w:rsidP="00FD11B5">
      <w:pPr>
        <w:spacing w:line="360" w:lineRule="auto"/>
        <w:ind w:firstLine="720"/>
        <w:jc w:val="both"/>
        <w:rPr>
          <w:rFonts w:ascii="Times New Roman" w:eastAsia="Times New Roman" w:hAnsi="Times New Roman" w:cs="Times New Roman"/>
          <w:sz w:val="24"/>
          <w:szCs w:val="24"/>
        </w:rPr>
      </w:pPr>
    </w:p>
    <w:tbl>
      <w:tblPr>
        <w:tblW w:w="8730" w:type="dxa"/>
        <w:tblLook w:val="04A0" w:firstRow="1" w:lastRow="0" w:firstColumn="1" w:lastColumn="0" w:noHBand="0" w:noVBand="1"/>
      </w:tblPr>
      <w:tblGrid>
        <w:gridCol w:w="2488"/>
        <w:gridCol w:w="1428"/>
        <w:gridCol w:w="1428"/>
        <w:gridCol w:w="1428"/>
        <w:gridCol w:w="1958"/>
      </w:tblGrid>
      <w:tr w:rsidR="00190776" w:rsidTr="008A06EE">
        <w:trPr>
          <w:trHeight w:val="300"/>
        </w:trPr>
        <w:tc>
          <w:tcPr>
            <w:tcW w:w="2488" w:type="dxa"/>
            <w:shd w:val="clear" w:color="auto" w:fill="FFFFFF"/>
            <w:noWrap/>
            <w:vAlign w:val="bottom"/>
            <w:hideMark/>
          </w:tcPr>
          <w:p w:rsidR="00190776" w:rsidRDefault="00190776" w:rsidP="00261180">
            <w:pPr>
              <w:spacing w:after="0" w:line="240" w:lineRule="auto"/>
              <w:rPr>
                <w:rFonts w:eastAsia="Times New Roman"/>
                <w:b/>
                <w:bCs/>
                <w:color w:val="000000"/>
              </w:rPr>
            </w:pPr>
            <w:r>
              <w:rPr>
                <w:rFonts w:eastAsia="Times New Roman"/>
                <w:b/>
                <w:bCs/>
                <w:color w:val="000000"/>
              </w:rPr>
              <w:lastRenderedPageBreak/>
              <w:t> </w:t>
            </w:r>
          </w:p>
        </w:tc>
        <w:tc>
          <w:tcPr>
            <w:tcW w:w="1428" w:type="dxa"/>
            <w:shd w:val="clear" w:color="auto" w:fill="FFFFFF"/>
            <w:noWrap/>
            <w:vAlign w:val="bottom"/>
            <w:hideMark/>
          </w:tcPr>
          <w:p w:rsidR="00190776" w:rsidRDefault="00190776" w:rsidP="00261180">
            <w:pPr>
              <w:spacing w:after="0" w:line="240" w:lineRule="auto"/>
              <w:jc w:val="center"/>
              <w:rPr>
                <w:rFonts w:eastAsia="Times New Roman"/>
                <w:b/>
                <w:bCs/>
                <w:color w:val="000000"/>
              </w:rPr>
            </w:pPr>
            <w:r>
              <w:rPr>
                <w:rFonts w:eastAsia="Times New Roman"/>
                <w:b/>
                <w:bCs/>
                <w:color w:val="000000"/>
              </w:rPr>
              <w:t>June Peak</w:t>
            </w:r>
          </w:p>
        </w:tc>
        <w:tc>
          <w:tcPr>
            <w:tcW w:w="1428" w:type="dxa"/>
            <w:shd w:val="clear" w:color="auto" w:fill="FFFFFF"/>
            <w:noWrap/>
            <w:vAlign w:val="bottom"/>
            <w:hideMark/>
          </w:tcPr>
          <w:p w:rsidR="00190776" w:rsidRDefault="00190776" w:rsidP="00261180">
            <w:pPr>
              <w:spacing w:after="0" w:line="240" w:lineRule="auto"/>
              <w:jc w:val="center"/>
              <w:rPr>
                <w:rFonts w:eastAsia="Times New Roman"/>
                <w:b/>
                <w:bCs/>
                <w:color w:val="000000"/>
              </w:rPr>
            </w:pPr>
            <w:r>
              <w:rPr>
                <w:rFonts w:eastAsia="Times New Roman"/>
                <w:b/>
                <w:bCs/>
                <w:color w:val="000000"/>
              </w:rPr>
              <w:t>July Peak</w:t>
            </w:r>
          </w:p>
        </w:tc>
        <w:tc>
          <w:tcPr>
            <w:tcW w:w="1428" w:type="dxa"/>
            <w:shd w:val="clear" w:color="auto" w:fill="FFFFFF"/>
            <w:noWrap/>
            <w:vAlign w:val="bottom"/>
            <w:hideMark/>
          </w:tcPr>
          <w:p w:rsidR="00190776" w:rsidRDefault="00190776" w:rsidP="00261180">
            <w:pPr>
              <w:spacing w:after="0" w:line="240" w:lineRule="auto"/>
              <w:jc w:val="center"/>
              <w:rPr>
                <w:rFonts w:eastAsia="Times New Roman"/>
                <w:b/>
                <w:bCs/>
                <w:color w:val="000000"/>
              </w:rPr>
            </w:pPr>
            <w:r>
              <w:rPr>
                <w:rFonts w:eastAsia="Times New Roman"/>
                <w:b/>
                <w:bCs/>
                <w:color w:val="000000"/>
              </w:rPr>
              <w:t>August Peak</w:t>
            </w:r>
          </w:p>
        </w:tc>
        <w:tc>
          <w:tcPr>
            <w:tcW w:w="1958" w:type="dxa"/>
            <w:shd w:val="clear" w:color="auto" w:fill="FFFFFF"/>
            <w:noWrap/>
            <w:vAlign w:val="bottom"/>
            <w:hideMark/>
          </w:tcPr>
          <w:p w:rsidR="00190776" w:rsidRDefault="00190776" w:rsidP="00261180">
            <w:pPr>
              <w:spacing w:after="0" w:line="240" w:lineRule="auto"/>
              <w:jc w:val="center"/>
              <w:rPr>
                <w:rFonts w:eastAsia="Times New Roman"/>
                <w:b/>
                <w:bCs/>
                <w:color w:val="000000"/>
              </w:rPr>
            </w:pPr>
            <w:r>
              <w:rPr>
                <w:rFonts w:eastAsia="Times New Roman"/>
                <w:b/>
                <w:bCs/>
                <w:color w:val="000000"/>
              </w:rPr>
              <w:t>September Peak</w:t>
            </w:r>
          </w:p>
        </w:tc>
      </w:tr>
      <w:tr w:rsidR="00190776" w:rsidTr="008A06EE">
        <w:trPr>
          <w:trHeight w:val="300"/>
        </w:trPr>
        <w:tc>
          <w:tcPr>
            <w:tcW w:w="2488" w:type="dxa"/>
            <w:shd w:val="clear" w:color="auto" w:fill="FFFFFF"/>
            <w:noWrap/>
            <w:vAlign w:val="bottom"/>
            <w:hideMark/>
          </w:tcPr>
          <w:p w:rsidR="00190776" w:rsidRDefault="00190776" w:rsidP="00261180">
            <w:pPr>
              <w:spacing w:after="0" w:line="240" w:lineRule="auto"/>
              <w:rPr>
                <w:rFonts w:eastAsia="Times New Roman"/>
                <w:b/>
                <w:bCs/>
                <w:color w:val="000000"/>
              </w:rPr>
            </w:pPr>
            <w:r>
              <w:rPr>
                <w:rFonts w:eastAsia="Times New Roman"/>
                <w:b/>
                <w:bCs/>
                <w:color w:val="000000"/>
              </w:rPr>
              <w:t>Actual System λ</w:t>
            </w:r>
          </w:p>
        </w:tc>
        <w:tc>
          <w:tcPr>
            <w:tcW w:w="1428" w:type="dxa"/>
            <w:tcBorders>
              <w:top w:val="single" w:sz="4" w:space="0" w:color="auto"/>
              <w:left w:val="single" w:sz="4" w:space="0" w:color="auto"/>
              <w:bottom w:val="single" w:sz="4" w:space="0" w:color="auto"/>
              <w:right w:val="nil"/>
            </w:tcBorders>
            <w:shd w:val="clear" w:color="auto" w:fill="FFFFFF"/>
            <w:noWrap/>
            <w:vAlign w:val="center"/>
            <w:hideMark/>
          </w:tcPr>
          <w:p w:rsidR="00190776" w:rsidRDefault="00190776" w:rsidP="00261180">
            <w:pPr>
              <w:spacing w:after="0" w:line="240" w:lineRule="auto"/>
              <w:jc w:val="center"/>
              <w:rPr>
                <w:rFonts w:eastAsia="Times New Roman"/>
                <w:color w:val="000000"/>
              </w:rPr>
            </w:pPr>
            <w:r>
              <w:rPr>
                <w:rFonts w:eastAsia="Times New Roman"/>
                <w:color w:val="000000"/>
              </w:rPr>
              <w:t>$42.31</w:t>
            </w:r>
          </w:p>
        </w:tc>
        <w:tc>
          <w:tcPr>
            <w:tcW w:w="1428" w:type="dxa"/>
            <w:tcBorders>
              <w:top w:val="single" w:sz="4" w:space="0" w:color="auto"/>
              <w:left w:val="nil"/>
              <w:bottom w:val="single" w:sz="4" w:space="0" w:color="auto"/>
              <w:right w:val="nil"/>
            </w:tcBorders>
            <w:shd w:val="clear" w:color="auto" w:fill="FFFFFF"/>
            <w:noWrap/>
            <w:vAlign w:val="center"/>
            <w:hideMark/>
          </w:tcPr>
          <w:p w:rsidR="00190776" w:rsidRDefault="00190776" w:rsidP="00261180">
            <w:pPr>
              <w:spacing w:after="0" w:line="240" w:lineRule="auto"/>
              <w:jc w:val="center"/>
              <w:rPr>
                <w:rFonts w:eastAsia="Times New Roman"/>
                <w:color w:val="000000"/>
              </w:rPr>
            </w:pPr>
            <w:r>
              <w:rPr>
                <w:rFonts w:eastAsia="Times New Roman"/>
                <w:color w:val="000000"/>
              </w:rPr>
              <w:t>$   793.24</w:t>
            </w:r>
          </w:p>
        </w:tc>
        <w:tc>
          <w:tcPr>
            <w:tcW w:w="1428" w:type="dxa"/>
            <w:tcBorders>
              <w:top w:val="single" w:sz="4" w:space="0" w:color="auto"/>
              <w:left w:val="nil"/>
              <w:bottom w:val="single" w:sz="4" w:space="0" w:color="auto"/>
              <w:right w:val="nil"/>
            </w:tcBorders>
            <w:shd w:val="clear" w:color="auto" w:fill="FFFFFF"/>
            <w:noWrap/>
            <w:vAlign w:val="center"/>
            <w:hideMark/>
          </w:tcPr>
          <w:p w:rsidR="00190776" w:rsidRDefault="00190776" w:rsidP="00261180">
            <w:pPr>
              <w:spacing w:after="0" w:line="240" w:lineRule="auto"/>
              <w:jc w:val="center"/>
              <w:rPr>
                <w:rFonts w:eastAsia="Times New Roman"/>
                <w:color w:val="000000"/>
              </w:rPr>
            </w:pPr>
            <w:proofErr w:type="gramStart"/>
            <w:r>
              <w:rPr>
                <w:rFonts w:eastAsia="Times New Roman"/>
                <w:color w:val="000000"/>
              </w:rPr>
              <w:t>$  48</w:t>
            </w:r>
            <w:proofErr w:type="gramEnd"/>
            <w:r>
              <w:rPr>
                <w:rFonts w:eastAsia="Times New Roman"/>
                <w:color w:val="000000"/>
              </w:rPr>
              <w:t>.29</w:t>
            </w:r>
          </w:p>
        </w:tc>
        <w:tc>
          <w:tcPr>
            <w:tcW w:w="1958" w:type="dxa"/>
            <w:tcBorders>
              <w:top w:val="single" w:sz="4" w:space="0" w:color="auto"/>
              <w:left w:val="nil"/>
              <w:bottom w:val="single" w:sz="4" w:space="0" w:color="auto"/>
              <w:right w:val="single" w:sz="4" w:space="0" w:color="auto"/>
            </w:tcBorders>
            <w:shd w:val="clear" w:color="auto" w:fill="FFFFFF"/>
            <w:noWrap/>
            <w:vAlign w:val="center"/>
            <w:hideMark/>
          </w:tcPr>
          <w:p w:rsidR="00190776" w:rsidRDefault="00190776" w:rsidP="00261180">
            <w:pPr>
              <w:spacing w:after="0" w:line="240" w:lineRule="auto"/>
              <w:jc w:val="center"/>
              <w:rPr>
                <w:rFonts w:eastAsia="Times New Roman"/>
                <w:color w:val="000000"/>
              </w:rPr>
            </w:pPr>
            <w:r>
              <w:rPr>
                <w:rFonts w:eastAsia="Times New Roman"/>
                <w:color w:val="000000"/>
              </w:rPr>
              <w:t>$149.14</w:t>
            </w:r>
          </w:p>
        </w:tc>
      </w:tr>
      <w:tr w:rsidR="00190776" w:rsidTr="008A06EE">
        <w:trPr>
          <w:trHeight w:val="300"/>
        </w:trPr>
        <w:tc>
          <w:tcPr>
            <w:tcW w:w="2488" w:type="dxa"/>
            <w:shd w:val="clear" w:color="auto" w:fill="FFFFFF"/>
            <w:noWrap/>
            <w:vAlign w:val="bottom"/>
            <w:hideMark/>
          </w:tcPr>
          <w:p w:rsidR="00190776" w:rsidRDefault="00190776" w:rsidP="00261180">
            <w:pPr>
              <w:spacing w:after="0" w:line="240" w:lineRule="auto"/>
              <w:rPr>
                <w:rFonts w:eastAsia="Times New Roman"/>
                <w:b/>
                <w:bCs/>
                <w:color w:val="000000"/>
              </w:rPr>
            </w:pPr>
            <w:r>
              <w:rPr>
                <w:rFonts w:eastAsia="Times New Roman"/>
                <w:b/>
                <w:bCs/>
                <w:color w:val="000000"/>
              </w:rPr>
              <w:t>Actual RTORPA</w:t>
            </w:r>
          </w:p>
        </w:tc>
        <w:tc>
          <w:tcPr>
            <w:tcW w:w="1428" w:type="dxa"/>
            <w:tcBorders>
              <w:top w:val="single" w:sz="4" w:space="0" w:color="auto"/>
              <w:left w:val="single" w:sz="4" w:space="0" w:color="auto"/>
              <w:bottom w:val="single" w:sz="4" w:space="0" w:color="auto"/>
              <w:right w:val="nil"/>
            </w:tcBorders>
            <w:shd w:val="clear" w:color="auto" w:fill="FFFFFF"/>
            <w:noWrap/>
            <w:vAlign w:val="center"/>
            <w:hideMark/>
          </w:tcPr>
          <w:p w:rsidR="00190776" w:rsidRDefault="00190776" w:rsidP="00261180">
            <w:pPr>
              <w:spacing w:after="0" w:line="240" w:lineRule="auto"/>
              <w:jc w:val="center"/>
              <w:rPr>
                <w:rFonts w:eastAsia="Times New Roman"/>
                <w:color w:val="000000"/>
              </w:rPr>
            </w:pPr>
            <w:proofErr w:type="gramStart"/>
            <w:r>
              <w:rPr>
                <w:rFonts w:eastAsia="Times New Roman"/>
                <w:color w:val="000000"/>
              </w:rPr>
              <w:t>$  0</w:t>
            </w:r>
            <w:proofErr w:type="gramEnd"/>
            <w:r>
              <w:rPr>
                <w:rFonts w:eastAsia="Times New Roman"/>
                <w:color w:val="000000"/>
              </w:rPr>
              <w:t>.00</w:t>
            </w:r>
          </w:p>
        </w:tc>
        <w:tc>
          <w:tcPr>
            <w:tcW w:w="1428" w:type="dxa"/>
            <w:tcBorders>
              <w:top w:val="single" w:sz="4" w:space="0" w:color="auto"/>
              <w:left w:val="nil"/>
              <w:bottom w:val="single" w:sz="4" w:space="0" w:color="auto"/>
              <w:right w:val="nil"/>
            </w:tcBorders>
            <w:shd w:val="clear" w:color="auto" w:fill="FFFFFF"/>
            <w:noWrap/>
            <w:vAlign w:val="center"/>
            <w:hideMark/>
          </w:tcPr>
          <w:p w:rsidR="00190776" w:rsidRDefault="00190776" w:rsidP="00261180">
            <w:pPr>
              <w:spacing w:after="0" w:line="240" w:lineRule="auto"/>
              <w:jc w:val="center"/>
              <w:rPr>
                <w:rFonts w:eastAsia="Times New Roman"/>
                <w:color w:val="000000"/>
              </w:rPr>
            </w:pPr>
            <w:r>
              <w:rPr>
                <w:rFonts w:eastAsia="Times New Roman"/>
                <w:color w:val="000000"/>
              </w:rPr>
              <w:t>$   356.24</w:t>
            </w:r>
          </w:p>
        </w:tc>
        <w:tc>
          <w:tcPr>
            <w:tcW w:w="1428" w:type="dxa"/>
            <w:tcBorders>
              <w:top w:val="single" w:sz="4" w:space="0" w:color="auto"/>
              <w:left w:val="nil"/>
              <w:bottom w:val="single" w:sz="4" w:space="0" w:color="auto"/>
              <w:right w:val="nil"/>
            </w:tcBorders>
            <w:shd w:val="clear" w:color="auto" w:fill="FFFFFF"/>
            <w:noWrap/>
            <w:vAlign w:val="center"/>
            <w:hideMark/>
          </w:tcPr>
          <w:p w:rsidR="00190776" w:rsidRDefault="00190776" w:rsidP="00261180">
            <w:pPr>
              <w:spacing w:after="0" w:line="240" w:lineRule="auto"/>
              <w:jc w:val="center"/>
              <w:rPr>
                <w:rFonts w:eastAsia="Times New Roman"/>
                <w:color w:val="000000"/>
              </w:rPr>
            </w:pPr>
            <w:r>
              <w:rPr>
                <w:rFonts w:eastAsia="Times New Roman"/>
                <w:color w:val="000000"/>
              </w:rPr>
              <w:t>$    0.06</w:t>
            </w:r>
          </w:p>
        </w:tc>
        <w:tc>
          <w:tcPr>
            <w:tcW w:w="1958" w:type="dxa"/>
            <w:tcBorders>
              <w:top w:val="single" w:sz="4" w:space="0" w:color="auto"/>
              <w:left w:val="nil"/>
              <w:bottom w:val="single" w:sz="4" w:space="0" w:color="auto"/>
              <w:right w:val="single" w:sz="4" w:space="0" w:color="auto"/>
            </w:tcBorders>
            <w:shd w:val="clear" w:color="auto" w:fill="FFFFFF"/>
            <w:noWrap/>
            <w:vAlign w:val="center"/>
            <w:hideMark/>
          </w:tcPr>
          <w:p w:rsidR="00190776" w:rsidRDefault="00190776" w:rsidP="00261180">
            <w:pPr>
              <w:spacing w:after="0" w:line="240" w:lineRule="auto"/>
              <w:jc w:val="center"/>
              <w:rPr>
                <w:rFonts w:eastAsia="Times New Roman"/>
                <w:color w:val="000000"/>
              </w:rPr>
            </w:pPr>
            <w:r>
              <w:rPr>
                <w:rFonts w:eastAsia="Times New Roman"/>
                <w:color w:val="000000"/>
              </w:rPr>
              <w:t>$     1.83</w:t>
            </w:r>
          </w:p>
        </w:tc>
      </w:tr>
      <w:tr w:rsidR="00190776" w:rsidTr="008A06EE">
        <w:trPr>
          <w:trHeight w:val="300"/>
        </w:trPr>
        <w:tc>
          <w:tcPr>
            <w:tcW w:w="2488" w:type="dxa"/>
            <w:shd w:val="clear" w:color="auto" w:fill="FFFFFF"/>
            <w:noWrap/>
            <w:vAlign w:val="bottom"/>
            <w:hideMark/>
          </w:tcPr>
          <w:p w:rsidR="00190776" w:rsidRDefault="00190776" w:rsidP="00261180">
            <w:pPr>
              <w:spacing w:after="0" w:line="240" w:lineRule="auto"/>
              <w:rPr>
                <w:rFonts w:eastAsia="Times New Roman"/>
                <w:b/>
                <w:bCs/>
                <w:color w:val="000000"/>
              </w:rPr>
            </w:pPr>
            <w:r>
              <w:rPr>
                <w:rFonts w:eastAsia="Times New Roman"/>
                <w:b/>
                <w:bCs/>
                <w:color w:val="000000"/>
              </w:rPr>
              <w:t>RTORPA - Low 2018 4CP</w:t>
            </w:r>
          </w:p>
        </w:tc>
        <w:tc>
          <w:tcPr>
            <w:tcW w:w="1428" w:type="dxa"/>
            <w:tcBorders>
              <w:top w:val="single" w:sz="4" w:space="0" w:color="auto"/>
              <w:left w:val="single" w:sz="4" w:space="0" w:color="auto"/>
              <w:bottom w:val="nil"/>
              <w:right w:val="nil"/>
            </w:tcBorders>
            <w:shd w:val="clear" w:color="auto" w:fill="FFFFFF"/>
            <w:noWrap/>
            <w:vAlign w:val="center"/>
            <w:hideMark/>
          </w:tcPr>
          <w:p w:rsidR="00190776" w:rsidRDefault="00190776" w:rsidP="00261180">
            <w:pPr>
              <w:spacing w:after="0" w:line="240" w:lineRule="auto"/>
              <w:jc w:val="center"/>
              <w:rPr>
                <w:rFonts w:eastAsia="Times New Roman"/>
                <w:color w:val="000000"/>
              </w:rPr>
            </w:pPr>
            <w:proofErr w:type="gramStart"/>
            <w:r>
              <w:rPr>
                <w:rFonts w:eastAsia="Times New Roman"/>
                <w:color w:val="000000"/>
              </w:rPr>
              <w:t>$  0</w:t>
            </w:r>
            <w:proofErr w:type="gramEnd"/>
            <w:r>
              <w:rPr>
                <w:rFonts w:eastAsia="Times New Roman"/>
                <w:color w:val="000000"/>
              </w:rPr>
              <w:t>.43</w:t>
            </w:r>
          </w:p>
        </w:tc>
        <w:tc>
          <w:tcPr>
            <w:tcW w:w="1428" w:type="dxa"/>
            <w:tcBorders>
              <w:top w:val="single" w:sz="4" w:space="0" w:color="auto"/>
              <w:left w:val="nil"/>
              <w:bottom w:val="nil"/>
              <w:right w:val="nil"/>
            </w:tcBorders>
            <w:shd w:val="clear" w:color="auto" w:fill="FFFFFF"/>
            <w:noWrap/>
            <w:vAlign w:val="center"/>
            <w:hideMark/>
          </w:tcPr>
          <w:p w:rsidR="00190776" w:rsidRDefault="00190776" w:rsidP="00261180">
            <w:pPr>
              <w:spacing w:after="0" w:line="240" w:lineRule="auto"/>
              <w:jc w:val="center"/>
              <w:rPr>
                <w:rFonts w:eastAsia="Times New Roman"/>
                <w:color w:val="000000"/>
              </w:rPr>
            </w:pPr>
            <w:r>
              <w:rPr>
                <w:rFonts w:eastAsia="Times New Roman"/>
                <w:color w:val="000000"/>
              </w:rPr>
              <w:t>$2,513.68</w:t>
            </w:r>
          </w:p>
        </w:tc>
        <w:tc>
          <w:tcPr>
            <w:tcW w:w="1428" w:type="dxa"/>
            <w:tcBorders>
              <w:top w:val="single" w:sz="4" w:space="0" w:color="auto"/>
              <w:left w:val="nil"/>
              <w:bottom w:val="nil"/>
              <w:right w:val="nil"/>
            </w:tcBorders>
            <w:shd w:val="clear" w:color="auto" w:fill="FFFFFF"/>
            <w:noWrap/>
            <w:vAlign w:val="center"/>
            <w:hideMark/>
          </w:tcPr>
          <w:p w:rsidR="00190776" w:rsidRDefault="00190776" w:rsidP="00261180">
            <w:pPr>
              <w:spacing w:after="0" w:line="240" w:lineRule="auto"/>
              <w:jc w:val="center"/>
              <w:rPr>
                <w:rFonts w:eastAsia="Times New Roman"/>
                <w:color w:val="000000"/>
              </w:rPr>
            </w:pPr>
            <w:proofErr w:type="gramStart"/>
            <w:r>
              <w:rPr>
                <w:rFonts w:eastAsia="Times New Roman"/>
                <w:color w:val="000000"/>
              </w:rPr>
              <w:t>$  14</w:t>
            </w:r>
            <w:proofErr w:type="gramEnd"/>
            <w:r>
              <w:rPr>
                <w:rFonts w:eastAsia="Times New Roman"/>
                <w:color w:val="000000"/>
              </w:rPr>
              <w:t>.78</w:t>
            </w:r>
          </w:p>
        </w:tc>
        <w:tc>
          <w:tcPr>
            <w:tcW w:w="1958" w:type="dxa"/>
            <w:tcBorders>
              <w:top w:val="single" w:sz="4" w:space="0" w:color="auto"/>
              <w:left w:val="nil"/>
              <w:bottom w:val="nil"/>
              <w:right w:val="single" w:sz="4" w:space="0" w:color="auto"/>
            </w:tcBorders>
            <w:shd w:val="clear" w:color="auto" w:fill="FFFFFF"/>
            <w:noWrap/>
            <w:vAlign w:val="center"/>
            <w:hideMark/>
          </w:tcPr>
          <w:p w:rsidR="00190776" w:rsidRDefault="00190776" w:rsidP="00261180">
            <w:pPr>
              <w:spacing w:after="0" w:line="240" w:lineRule="auto"/>
              <w:jc w:val="center"/>
              <w:rPr>
                <w:rFonts w:eastAsia="Times New Roman"/>
                <w:color w:val="000000"/>
              </w:rPr>
            </w:pPr>
            <w:proofErr w:type="gramStart"/>
            <w:r>
              <w:rPr>
                <w:rFonts w:eastAsia="Times New Roman"/>
                <w:color w:val="000000"/>
              </w:rPr>
              <w:t>$  97</w:t>
            </w:r>
            <w:proofErr w:type="gramEnd"/>
            <w:r>
              <w:rPr>
                <w:rFonts w:eastAsia="Times New Roman"/>
                <w:color w:val="000000"/>
              </w:rPr>
              <w:t>.06</w:t>
            </w:r>
          </w:p>
        </w:tc>
      </w:tr>
      <w:tr w:rsidR="00190776" w:rsidTr="008A06EE">
        <w:trPr>
          <w:trHeight w:val="300"/>
        </w:trPr>
        <w:tc>
          <w:tcPr>
            <w:tcW w:w="2488" w:type="dxa"/>
            <w:shd w:val="clear" w:color="auto" w:fill="FFFFFF"/>
            <w:noWrap/>
            <w:vAlign w:val="bottom"/>
            <w:hideMark/>
          </w:tcPr>
          <w:p w:rsidR="00190776" w:rsidRDefault="00190776" w:rsidP="00261180">
            <w:pPr>
              <w:spacing w:after="0" w:line="240" w:lineRule="auto"/>
              <w:rPr>
                <w:rFonts w:eastAsia="Times New Roman"/>
                <w:b/>
                <w:bCs/>
                <w:color w:val="000000"/>
              </w:rPr>
            </w:pPr>
            <w:r>
              <w:rPr>
                <w:rFonts w:eastAsia="Times New Roman"/>
                <w:b/>
                <w:bCs/>
                <w:color w:val="000000"/>
              </w:rPr>
              <w:t>RTORPA - Mid 2018 4CP</w:t>
            </w:r>
          </w:p>
        </w:tc>
        <w:tc>
          <w:tcPr>
            <w:tcW w:w="1428" w:type="dxa"/>
            <w:tcBorders>
              <w:top w:val="nil"/>
              <w:left w:val="single" w:sz="4" w:space="0" w:color="auto"/>
              <w:bottom w:val="nil"/>
              <w:right w:val="nil"/>
            </w:tcBorders>
            <w:shd w:val="clear" w:color="auto" w:fill="FFFFFF"/>
            <w:noWrap/>
            <w:vAlign w:val="center"/>
            <w:hideMark/>
          </w:tcPr>
          <w:p w:rsidR="00190776" w:rsidRDefault="00190776" w:rsidP="00261180">
            <w:pPr>
              <w:spacing w:after="0" w:line="240" w:lineRule="auto"/>
              <w:jc w:val="center"/>
              <w:rPr>
                <w:rFonts w:eastAsia="Times New Roman"/>
                <w:color w:val="000000"/>
              </w:rPr>
            </w:pPr>
            <w:proofErr w:type="gramStart"/>
            <w:r>
              <w:rPr>
                <w:rFonts w:eastAsia="Times New Roman"/>
                <w:color w:val="000000"/>
              </w:rPr>
              <w:t>$  3</w:t>
            </w:r>
            <w:proofErr w:type="gramEnd"/>
            <w:r>
              <w:rPr>
                <w:rFonts w:eastAsia="Times New Roman"/>
                <w:color w:val="000000"/>
              </w:rPr>
              <w:t>.34</w:t>
            </w:r>
          </w:p>
        </w:tc>
        <w:tc>
          <w:tcPr>
            <w:tcW w:w="1428" w:type="dxa"/>
            <w:shd w:val="clear" w:color="auto" w:fill="FFFFFF"/>
            <w:noWrap/>
            <w:vAlign w:val="center"/>
            <w:hideMark/>
          </w:tcPr>
          <w:p w:rsidR="00190776" w:rsidRDefault="00190776" w:rsidP="00261180">
            <w:pPr>
              <w:spacing w:after="0" w:line="240" w:lineRule="auto"/>
              <w:jc w:val="center"/>
              <w:rPr>
                <w:rFonts w:eastAsia="Times New Roman"/>
                <w:color w:val="000000"/>
              </w:rPr>
            </w:pPr>
            <w:r>
              <w:rPr>
                <w:rFonts w:eastAsia="Times New Roman"/>
                <w:color w:val="000000"/>
              </w:rPr>
              <w:t>$5,111.54</w:t>
            </w:r>
          </w:p>
        </w:tc>
        <w:tc>
          <w:tcPr>
            <w:tcW w:w="1428" w:type="dxa"/>
            <w:shd w:val="clear" w:color="auto" w:fill="FFFFFF"/>
            <w:noWrap/>
            <w:vAlign w:val="center"/>
            <w:hideMark/>
          </w:tcPr>
          <w:p w:rsidR="00190776" w:rsidRDefault="00190776" w:rsidP="00261180">
            <w:pPr>
              <w:spacing w:after="0" w:line="240" w:lineRule="auto"/>
              <w:jc w:val="center"/>
              <w:rPr>
                <w:rFonts w:eastAsia="Times New Roman"/>
                <w:color w:val="000000"/>
              </w:rPr>
            </w:pPr>
            <w:proofErr w:type="gramStart"/>
            <w:r>
              <w:rPr>
                <w:rFonts w:eastAsia="Times New Roman"/>
                <w:color w:val="000000"/>
              </w:rPr>
              <w:t>$  68</w:t>
            </w:r>
            <w:proofErr w:type="gramEnd"/>
            <w:r>
              <w:rPr>
                <w:rFonts w:eastAsia="Times New Roman"/>
                <w:color w:val="000000"/>
              </w:rPr>
              <w:t>.74</w:t>
            </w:r>
          </w:p>
        </w:tc>
        <w:tc>
          <w:tcPr>
            <w:tcW w:w="1958" w:type="dxa"/>
            <w:tcBorders>
              <w:top w:val="nil"/>
              <w:left w:val="nil"/>
              <w:bottom w:val="nil"/>
              <w:right w:val="single" w:sz="4" w:space="0" w:color="auto"/>
            </w:tcBorders>
            <w:shd w:val="clear" w:color="auto" w:fill="FFFFFF"/>
            <w:noWrap/>
            <w:vAlign w:val="center"/>
            <w:hideMark/>
          </w:tcPr>
          <w:p w:rsidR="00190776" w:rsidRDefault="00190776" w:rsidP="00261180">
            <w:pPr>
              <w:spacing w:after="0" w:line="240" w:lineRule="auto"/>
              <w:jc w:val="center"/>
              <w:rPr>
                <w:rFonts w:eastAsia="Times New Roman"/>
                <w:color w:val="000000"/>
              </w:rPr>
            </w:pPr>
            <w:r>
              <w:rPr>
                <w:rFonts w:eastAsia="Times New Roman"/>
                <w:color w:val="000000"/>
              </w:rPr>
              <w:t>$325.33</w:t>
            </w:r>
          </w:p>
        </w:tc>
      </w:tr>
      <w:tr w:rsidR="00190776" w:rsidTr="008A06EE">
        <w:trPr>
          <w:trHeight w:val="300"/>
        </w:trPr>
        <w:tc>
          <w:tcPr>
            <w:tcW w:w="2488" w:type="dxa"/>
            <w:shd w:val="clear" w:color="auto" w:fill="FFFFFF"/>
            <w:noWrap/>
            <w:vAlign w:val="bottom"/>
            <w:hideMark/>
          </w:tcPr>
          <w:p w:rsidR="00190776" w:rsidRDefault="00190776" w:rsidP="00261180">
            <w:pPr>
              <w:spacing w:after="0" w:line="240" w:lineRule="auto"/>
              <w:rPr>
                <w:rFonts w:eastAsia="Times New Roman"/>
                <w:b/>
                <w:bCs/>
                <w:color w:val="000000"/>
              </w:rPr>
            </w:pPr>
            <w:r>
              <w:rPr>
                <w:rFonts w:eastAsia="Times New Roman"/>
                <w:b/>
                <w:bCs/>
                <w:color w:val="000000"/>
              </w:rPr>
              <w:t>RTORPA - High 2018 4CP</w:t>
            </w:r>
          </w:p>
        </w:tc>
        <w:tc>
          <w:tcPr>
            <w:tcW w:w="1428" w:type="dxa"/>
            <w:tcBorders>
              <w:top w:val="nil"/>
              <w:left w:val="single" w:sz="4" w:space="0" w:color="auto"/>
              <w:bottom w:val="single" w:sz="4" w:space="0" w:color="auto"/>
              <w:right w:val="nil"/>
            </w:tcBorders>
            <w:shd w:val="clear" w:color="auto" w:fill="FFFFFF"/>
            <w:noWrap/>
            <w:vAlign w:val="center"/>
            <w:hideMark/>
          </w:tcPr>
          <w:p w:rsidR="00190776" w:rsidRDefault="00190776" w:rsidP="00261180">
            <w:pPr>
              <w:spacing w:after="0" w:line="240" w:lineRule="auto"/>
              <w:jc w:val="center"/>
              <w:rPr>
                <w:rFonts w:eastAsia="Times New Roman"/>
                <w:color w:val="000000"/>
              </w:rPr>
            </w:pPr>
            <w:r>
              <w:rPr>
                <w:rFonts w:eastAsia="Times New Roman"/>
                <w:color w:val="000000"/>
              </w:rPr>
              <w:t>$19.52</w:t>
            </w:r>
          </w:p>
        </w:tc>
        <w:tc>
          <w:tcPr>
            <w:tcW w:w="1428" w:type="dxa"/>
            <w:tcBorders>
              <w:top w:val="nil"/>
              <w:left w:val="nil"/>
              <w:bottom w:val="single" w:sz="4" w:space="0" w:color="auto"/>
              <w:right w:val="nil"/>
            </w:tcBorders>
            <w:shd w:val="clear" w:color="auto" w:fill="FFFFFF"/>
            <w:noWrap/>
            <w:vAlign w:val="center"/>
            <w:hideMark/>
          </w:tcPr>
          <w:p w:rsidR="00190776" w:rsidRDefault="00190776" w:rsidP="00261180">
            <w:pPr>
              <w:spacing w:after="0" w:line="240" w:lineRule="auto"/>
              <w:jc w:val="center"/>
              <w:rPr>
                <w:rFonts w:eastAsia="Times New Roman"/>
                <w:color w:val="000000"/>
              </w:rPr>
            </w:pPr>
            <w:r>
              <w:rPr>
                <w:rFonts w:eastAsia="Times New Roman"/>
                <w:color w:val="000000"/>
              </w:rPr>
              <w:t>$8,206.76</w:t>
            </w:r>
          </w:p>
        </w:tc>
        <w:tc>
          <w:tcPr>
            <w:tcW w:w="1428" w:type="dxa"/>
            <w:tcBorders>
              <w:top w:val="nil"/>
              <w:left w:val="nil"/>
              <w:bottom w:val="single" w:sz="4" w:space="0" w:color="auto"/>
              <w:right w:val="nil"/>
            </w:tcBorders>
            <w:shd w:val="clear" w:color="auto" w:fill="FFFFFF"/>
            <w:noWrap/>
            <w:vAlign w:val="center"/>
            <w:hideMark/>
          </w:tcPr>
          <w:p w:rsidR="00190776" w:rsidRDefault="00190776" w:rsidP="00261180">
            <w:pPr>
              <w:spacing w:after="0" w:line="240" w:lineRule="auto"/>
              <w:jc w:val="center"/>
              <w:rPr>
                <w:rFonts w:eastAsia="Times New Roman"/>
                <w:color w:val="000000"/>
              </w:rPr>
            </w:pPr>
            <w:r>
              <w:rPr>
                <w:rFonts w:eastAsia="Times New Roman"/>
                <w:color w:val="000000"/>
              </w:rPr>
              <w:t>$243.93</w:t>
            </w:r>
          </w:p>
        </w:tc>
        <w:tc>
          <w:tcPr>
            <w:tcW w:w="1958" w:type="dxa"/>
            <w:tcBorders>
              <w:top w:val="nil"/>
              <w:left w:val="nil"/>
              <w:bottom w:val="single" w:sz="4" w:space="0" w:color="auto"/>
              <w:right w:val="single" w:sz="4" w:space="0" w:color="auto"/>
            </w:tcBorders>
            <w:shd w:val="clear" w:color="auto" w:fill="FFFFFF"/>
            <w:noWrap/>
            <w:vAlign w:val="center"/>
            <w:hideMark/>
          </w:tcPr>
          <w:p w:rsidR="00190776" w:rsidRDefault="00190776" w:rsidP="00261180">
            <w:pPr>
              <w:spacing w:after="0" w:line="240" w:lineRule="auto"/>
              <w:jc w:val="center"/>
              <w:rPr>
                <w:rFonts w:eastAsia="Times New Roman"/>
                <w:color w:val="000000"/>
              </w:rPr>
            </w:pPr>
            <w:r>
              <w:rPr>
                <w:rFonts w:eastAsia="Times New Roman"/>
                <w:color w:val="000000"/>
              </w:rPr>
              <w:t>$893.95</w:t>
            </w:r>
          </w:p>
        </w:tc>
      </w:tr>
    </w:tbl>
    <w:p w:rsidR="00FD11B5" w:rsidRDefault="00FD11B5" w:rsidP="00FD11B5">
      <w:pPr>
        <w:spacing w:after="0" w:line="480" w:lineRule="auto"/>
        <w:jc w:val="both"/>
        <w:rPr>
          <w:rFonts w:ascii="Times New Roman" w:eastAsia="Times New Roman" w:hAnsi="Times New Roman" w:cs="Times New Roman"/>
          <w:sz w:val="24"/>
          <w:szCs w:val="24"/>
        </w:rPr>
      </w:pPr>
    </w:p>
    <w:p w:rsidR="00190776" w:rsidRPr="004A7CD7" w:rsidRDefault="00190776" w:rsidP="00FD11B5">
      <w:pPr>
        <w:spacing w:line="360" w:lineRule="auto"/>
        <w:ind w:firstLine="720"/>
        <w:jc w:val="both"/>
        <w:rPr>
          <w:rFonts w:ascii="Times New Roman" w:eastAsia="Times New Roman" w:hAnsi="Times New Roman" w:cs="Times New Roman"/>
          <w:sz w:val="24"/>
          <w:szCs w:val="24"/>
        </w:rPr>
      </w:pPr>
      <w:r w:rsidRPr="004A7CD7">
        <w:rPr>
          <w:rFonts w:ascii="Times New Roman" w:eastAsia="Times New Roman" w:hAnsi="Times New Roman" w:cs="Times New Roman"/>
          <w:sz w:val="24"/>
          <w:szCs w:val="24"/>
        </w:rPr>
        <w:t xml:space="preserve">There is a clear impact to ORDC-driven scarcity price formation from removing the estimated 4CP demand response from the online reserves range. From a relative standpoint, the June peak interval would have seen the largest increase, from an RTORPA of only $0.0002/MWh to as much as $19.52/MWh – in other words, but for 4CP demand response, the June peak ORDC adder would have been 116,900% to 5,324,473% higher. The largest absolute impact was obviously to the July peak interval, where a </w:t>
      </w:r>
      <w:r w:rsidR="00261180">
        <w:rPr>
          <w:rFonts w:ascii="Times New Roman" w:eastAsia="Times New Roman" w:hAnsi="Times New Roman" w:cs="Times New Roman"/>
          <w:sz w:val="24"/>
          <w:szCs w:val="24"/>
        </w:rPr>
        <w:t xml:space="preserve">high </w:t>
      </w:r>
      <w:r w:rsidRPr="004A7CD7">
        <w:rPr>
          <w:rFonts w:ascii="Times New Roman" w:eastAsia="Times New Roman" w:hAnsi="Times New Roman" w:cs="Times New Roman"/>
          <w:sz w:val="24"/>
          <w:szCs w:val="24"/>
        </w:rPr>
        <w:t xml:space="preserve">4CP response </w:t>
      </w:r>
      <w:r w:rsidR="00261180">
        <w:rPr>
          <w:rFonts w:ascii="Times New Roman" w:eastAsia="Times New Roman" w:hAnsi="Times New Roman" w:cs="Times New Roman"/>
          <w:sz w:val="24"/>
          <w:szCs w:val="24"/>
        </w:rPr>
        <w:t>(</w:t>
      </w:r>
      <w:r w:rsidRPr="004A7CD7">
        <w:rPr>
          <w:rFonts w:ascii="Times New Roman" w:eastAsia="Times New Roman" w:hAnsi="Times New Roman" w:cs="Times New Roman"/>
          <w:sz w:val="24"/>
          <w:szCs w:val="24"/>
        </w:rPr>
        <w:t>only one standard deviation above the trendline</w:t>
      </w:r>
      <w:r w:rsidR="00261180">
        <w:rPr>
          <w:rFonts w:ascii="Times New Roman" w:eastAsia="Times New Roman" w:hAnsi="Times New Roman" w:cs="Times New Roman"/>
          <w:sz w:val="24"/>
          <w:szCs w:val="24"/>
        </w:rPr>
        <w:t>)</w:t>
      </w:r>
      <w:r w:rsidRPr="004A7CD7">
        <w:rPr>
          <w:rFonts w:ascii="Times New Roman" w:eastAsia="Times New Roman" w:hAnsi="Times New Roman" w:cs="Times New Roman"/>
          <w:sz w:val="24"/>
          <w:szCs w:val="24"/>
        </w:rPr>
        <w:t xml:space="preserve"> would have avoided wholesale prices going to the Value of Lost Load (VOLL) at $9,000/MWh. </w:t>
      </w:r>
    </w:p>
    <w:p w:rsidR="00190776" w:rsidRDefault="00190776" w:rsidP="00FD11B5">
      <w:pPr>
        <w:spacing w:line="360" w:lineRule="auto"/>
        <w:ind w:firstLine="720"/>
        <w:jc w:val="both"/>
        <w:rPr>
          <w:rFonts w:ascii="Times New Roman" w:eastAsia="Times New Roman" w:hAnsi="Times New Roman" w:cs="Times New Roman"/>
          <w:sz w:val="24"/>
          <w:szCs w:val="24"/>
        </w:rPr>
      </w:pPr>
      <w:r w:rsidRPr="004A7CD7">
        <w:rPr>
          <w:rFonts w:ascii="Times New Roman" w:eastAsia="Times New Roman" w:hAnsi="Times New Roman" w:cs="Times New Roman"/>
          <w:sz w:val="24"/>
          <w:szCs w:val="24"/>
        </w:rPr>
        <w:t xml:space="preserve">This analysis is inherently limited to the specific 4CP intervals per the terms of this question, and only intended to be indicative of the general magnitude of the impact 4CP demand response may have had on price formation. </w:t>
      </w:r>
      <w:r w:rsidR="008478E0">
        <w:rPr>
          <w:rFonts w:ascii="Times New Roman" w:eastAsia="Times New Roman" w:hAnsi="Times New Roman" w:cs="Times New Roman"/>
          <w:sz w:val="24"/>
          <w:szCs w:val="24"/>
        </w:rPr>
        <w:t xml:space="preserve">It does not </w:t>
      </w:r>
      <w:proofErr w:type="gramStart"/>
      <w:r w:rsidR="008478E0">
        <w:rPr>
          <w:rFonts w:ascii="Times New Roman" w:eastAsia="Times New Roman" w:hAnsi="Times New Roman" w:cs="Times New Roman"/>
          <w:sz w:val="24"/>
          <w:szCs w:val="24"/>
        </w:rPr>
        <w:t>take into account</w:t>
      </w:r>
      <w:proofErr w:type="gramEnd"/>
      <w:r w:rsidR="008478E0">
        <w:rPr>
          <w:rFonts w:ascii="Times New Roman" w:eastAsia="Times New Roman" w:hAnsi="Times New Roman" w:cs="Times New Roman"/>
          <w:sz w:val="24"/>
          <w:szCs w:val="24"/>
        </w:rPr>
        <w:t xml:space="preserve"> any coincident 4CP and true energy market price-driven demand response, nor any incremental energy market price-driven demand response that might materialize if the price-suppressive 4CP impacts were mitigated. </w:t>
      </w:r>
      <w:r w:rsidRPr="004A7CD7">
        <w:rPr>
          <w:rFonts w:ascii="Times New Roman" w:eastAsia="Times New Roman" w:hAnsi="Times New Roman" w:cs="Times New Roman"/>
          <w:sz w:val="24"/>
          <w:szCs w:val="24"/>
        </w:rPr>
        <w:t xml:space="preserve">As ERCOT’s original chart shows, </w:t>
      </w:r>
      <w:r w:rsidR="008478E0">
        <w:rPr>
          <w:rFonts w:ascii="Times New Roman" w:eastAsia="Times New Roman" w:hAnsi="Times New Roman" w:cs="Times New Roman"/>
          <w:sz w:val="24"/>
          <w:szCs w:val="24"/>
        </w:rPr>
        <w:t xml:space="preserve">however, </w:t>
      </w:r>
      <w:r w:rsidRPr="004A7CD7">
        <w:rPr>
          <w:rFonts w:ascii="Times New Roman" w:eastAsia="Times New Roman" w:hAnsi="Times New Roman" w:cs="Times New Roman"/>
          <w:sz w:val="24"/>
          <w:szCs w:val="24"/>
        </w:rPr>
        <w:t xml:space="preserve">“4CP chasing” behavior </w:t>
      </w:r>
      <w:r w:rsidR="008478E0">
        <w:rPr>
          <w:rFonts w:ascii="Times New Roman" w:eastAsia="Times New Roman" w:hAnsi="Times New Roman" w:cs="Times New Roman"/>
          <w:sz w:val="24"/>
          <w:szCs w:val="24"/>
        </w:rPr>
        <w:t xml:space="preserve">does </w:t>
      </w:r>
      <w:r w:rsidRPr="004A7CD7">
        <w:rPr>
          <w:rFonts w:ascii="Times New Roman" w:eastAsia="Times New Roman" w:hAnsi="Times New Roman" w:cs="Times New Roman"/>
          <w:sz w:val="24"/>
          <w:szCs w:val="24"/>
        </w:rPr>
        <w:t>result in meaningful demand reductions on days that may not turn out to be actual 4CP days, and 4CP-driven demand reductions are not strictly limited to a single interval – prior ERCOT analyses have indicated that load typically begins to diverge from its baseline shape in the early-to-mid afternoon and does not re-approach baseline until mid-evening at the earliest.</w:t>
      </w:r>
      <w:r w:rsidRPr="004A7CD7">
        <w:rPr>
          <w:rStyle w:val="FootnoteReference"/>
          <w:rFonts w:ascii="Times New Roman" w:eastAsia="Times New Roman" w:hAnsi="Times New Roman" w:cs="Times New Roman"/>
          <w:sz w:val="24"/>
          <w:szCs w:val="24"/>
        </w:rPr>
        <w:footnoteReference w:id="34"/>
      </w:r>
      <w:r w:rsidRPr="004A7CD7">
        <w:rPr>
          <w:rFonts w:ascii="Times New Roman" w:eastAsia="Times New Roman" w:hAnsi="Times New Roman" w:cs="Times New Roman"/>
          <w:sz w:val="24"/>
          <w:szCs w:val="24"/>
        </w:rPr>
        <w:t xml:space="preserve"> As such, there are</w:t>
      </w:r>
      <w:r>
        <w:rPr>
          <w:rFonts w:eastAsia="Times New Roman"/>
        </w:rPr>
        <w:t xml:space="preserve"> </w:t>
      </w:r>
      <w:r w:rsidRPr="004A7CD7">
        <w:rPr>
          <w:rFonts w:ascii="Times New Roman" w:eastAsia="Times New Roman" w:hAnsi="Times New Roman" w:cs="Times New Roman"/>
          <w:sz w:val="24"/>
          <w:szCs w:val="24"/>
        </w:rPr>
        <w:t>many more,</w:t>
      </w:r>
      <w:r>
        <w:rPr>
          <w:rFonts w:eastAsia="Times New Roman"/>
        </w:rPr>
        <w:t xml:space="preserve"> </w:t>
      </w:r>
      <w:r w:rsidRPr="004A7CD7">
        <w:rPr>
          <w:rFonts w:ascii="Times New Roman" w:eastAsia="Times New Roman" w:hAnsi="Times New Roman" w:cs="Times New Roman"/>
          <w:sz w:val="24"/>
          <w:szCs w:val="24"/>
        </w:rPr>
        <w:t>albeit likely smaller, price formation impacts caused by the non-market influence of 4CP demand response</w:t>
      </w:r>
      <w:r w:rsidR="00F63A09">
        <w:rPr>
          <w:rFonts w:ascii="Times New Roman" w:eastAsia="Times New Roman" w:hAnsi="Times New Roman" w:cs="Times New Roman"/>
          <w:sz w:val="24"/>
          <w:szCs w:val="24"/>
        </w:rPr>
        <w:t xml:space="preserve"> on the “near miss” days</w:t>
      </w:r>
      <w:r w:rsidRPr="004A7CD7">
        <w:rPr>
          <w:rFonts w:ascii="Times New Roman" w:eastAsia="Times New Roman" w:hAnsi="Times New Roman" w:cs="Times New Roman"/>
          <w:sz w:val="24"/>
          <w:szCs w:val="24"/>
        </w:rPr>
        <w:t xml:space="preserve">. </w:t>
      </w:r>
    </w:p>
    <w:p w:rsidR="00190776" w:rsidRPr="004A7CD7" w:rsidRDefault="00190776" w:rsidP="00190776">
      <w:pPr>
        <w:spacing w:after="0"/>
        <w:jc w:val="both"/>
        <w:rPr>
          <w:rFonts w:ascii="Times New Roman" w:eastAsia="Times New Roman" w:hAnsi="Times New Roman" w:cs="Times New Roman"/>
          <w:sz w:val="24"/>
          <w:szCs w:val="24"/>
        </w:rPr>
      </w:pPr>
    </w:p>
    <w:p w:rsidR="00190776" w:rsidRPr="0024216F" w:rsidRDefault="00190776" w:rsidP="00190776">
      <w:pPr>
        <w:rPr>
          <w:rFonts w:ascii="Times New Roman" w:hAnsi="Times New Roman" w:cs="Times New Roman"/>
          <w:b/>
          <w:sz w:val="24"/>
          <w:szCs w:val="24"/>
        </w:rPr>
      </w:pPr>
      <w:r w:rsidRPr="0024216F">
        <w:rPr>
          <w:rFonts w:ascii="Times New Roman" w:hAnsi="Times New Roman" w:cs="Times New Roman"/>
          <w:b/>
          <w:sz w:val="24"/>
          <w:szCs w:val="24"/>
        </w:rPr>
        <w:lastRenderedPageBreak/>
        <w:t xml:space="preserve">8. Provide a review of wholesale price formation on each of the following days, including empirical data analysis, narrative commentary, and, where appropriate, identification of policy directives or market rule changes that would improve price formation. </w:t>
      </w:r>
    </w:p>
    <w:p w:rsidR="00190776" w:rsidRPr="0024216F" w:rsidRDefault="00190776" w:rsidP="00190776">
      <w:pPr>
        <w:rPr>
          <w:rFonts w:ascii="Times New Roman" w:hAnsi="Times New Roman" w:cs="Times New Roman"/>
          <w:b/>
          <w:sz w:val="24"/>
          <w:szCs w:val="24"/>
        </w:rPr>
      </w:pPr>
      <w:r w:rsidRPr="0024216F">
        <w:rPr>
          <w:rFonts w:ascii="Times New Roman" w:hAnsi="Times New Roman" w:cs="Times New Roman"/>
          <w:b/>
          <w:sz w:val="24"/>
          <w:szCs w:val="24"/>
        </w:rPr>
        <w:t xml:space="preserve">a. July 19, 2018 </w:t>
      </w:r>
    </w:p>
    <w:p w:rsidR="00190776" w:rsidRPr="0024216F" w:rsidRDefault="00190776" w:rsidP="00190776">
      <w:pPr>
        <w:rPr>
          <w:rFonts w:ascii="Times New Roman" w:hAnsi="Times New Roman" w:cs="Times New Roman"/>
          <w:b/>
          <w:sz w:val="24"/>
          <w:szCs w:val="24"/>
        </w:rPr>
      </w:pPr>
      <w:r w:rsidRPr="0024216F">
        <w:rPr>
          <w:rFonts w:ascii="Times New Roman" w:hAnsi="Times New Roman" w:cs="Times New Roman"/>
          <w:b/>
          <w:sz w:val="24"/>
          <w:szCs w:val="24"/>
        </w:rPr>
        <w:t xml:space="preserve">b. July 23, 2018 </w:t>
      </w:r>
    </w:p>
    <w:p w:rsidR="00190776" w:rsidRPr="0024216F" w:rsidRDefault="00190776" w:rsidP="00190776">
      <w:pPr>
        <w:rPr>
          <w:rFonts w:ascii="Times New Roman" w:hAnsi="Times New Roman" w:cs="Times New Roman"/>
          <w:b/>
          <w:sz w:val="24"/>
          <w:szCs w:val="24"/>
        </w:rPr>
      </w:pPr>
      <w:r w:rsidRPr="0024216F">
        <w:rPr>
          <w:rFonts w:ascii="Times New Roman" w:hAnsi="Times New Roman" w:cs="Times New Roman"/>
          <w:b/>
          <w:sz w:val="24"/>
          <w:szCs w:val="24"/>
        </w:rPr>
        <w:t xml:space="preserve">c. August 2, 2018 </w:t>
      </w:r>
    </w:p>
    <w:p w:rsidR="00190776" w:rsidRPr="0024216F" w:rsidRDefault="00190776" w:rsidP="00190776">
      <w:pPr>
        <w:rPr>
          <w:rFonts w:ascii="Times New Roman" w:hAnsi="Times New Roman" w:cs="Times New Roman"/>
          <w:b/>
          <w:sz w:val="24"/>
          <w:szCs w:val="24"/>
        </w:rPr>
      </w:pPr>
      <w:r w:rsidRPr="0024216F">
        <w:rPr>
          <w:rFonts w:ascii="Times New Roman" w:hAnsi="Times New Roman" w:cs="Times New Roman"/>
          <w:b/>
          <w:sz w:val="24"/>
          <w:szCs w:val="24"/>
        </w:rPr>
        <w:t>d. Other day(s) of your choosing that you find to be instructive in the analysis of 2018 ERCOT Market Performance.</w:t>
      </w:r>
    </w:p>
    <w:p w:rsidR="00190776" w:rsidRPr="00573A0C" w:rsidRDefault="00190776" w:rsidP="00190776">
      <w:pPr>
        <w:pStyle w:val="ListParagraph"/>
        <w:rPr>
          <w:rFonts w:ascii="Times New Roman" w:hAnsi="Times New Roman" w:cs="Times New Roman"/>
          <w:sz w:val="24"/>
          <w:szCs w:val="24"/>
        </w:rPr>
      </w:pPr>
    </w:p>
    <w:p w:rsidR="00190776" w:rsidRPr="00FD11B5" w:rsidRDefault="00190776" w:rsidP="00FD11B5">
      <w:pPr>
        <w:pStyle w:val="ListParagraph"/>
        <w:numPr>
          <w:ilvl w:val="0"/>
          <w:numId w:val="18"/>
        </w:numPr>
        <w:rPr>
          <w:rFonts w:ascii="Times New Roman" w:hAnsi="Times New Roman" w:cs="Times New Roman"/>
          <w:sz w:val="24"/>
          <w:szCs w:val="24"/>
        </w:rPr>
      </w:pPr>
      <w:r w:rsidRPr="00FD11B5">
        <w:rPr>
          <w:rFonts w:ascii="Times New Roman" w:hAnsi="Times New Roman" w:cs="Times New Roman"/>
          <w:sz w:val="24"/>
          <w:szCs w:val="24"/>
        </w:rPr>
        <w:t>July 19, 2018</w:t>
      </w:r>
    </w:p>
    <w:p w:rsidR="00190776" w:rsidRPr="00FD11B5" w:rsidRDefault="00190776" w:rsidP="00FD11B5">
      <w:pPr>
        <w:spacing w:line="360" w:lineRule="auto"/>
        <w:ind w:firstLine="240"/>
        <w:jc w:val="both"/>
        <w:rPr>
          <w:rFonts w:ascii="Times New Roman" w:hAnsi="Times New Roman" w:cs="Times New Roman"/>
          <w:sz w:val="24"/>
          <w:szCs w:val="24"/>
        </w:rPr>
      </w:pPr>
      <w:r w:rsidRPr="00FD11B5">
        <w:rPr>
          <w:rFonts w:ascii="Times New Roman" w:hAnsi="Times New Roman" w:cs="Times New Roman"/>
          <w:sz w:val="24"/>
          <w:szCs w:val="24"/>
        </w:rPr>
        <w:t xml:space="preserve">July 19, 2018 set a </w:t>
      </w:r>
      <w:proofErr w:type="gramStart"/>
      <w:r w:rsidRPr="00FD11B5">
        <w:rPr>
          <w:rFonts w:ascii="Times New Roman" w:hAnsi="Times New Roman" w:cs="Times New Roman"/>
          <w:sz w:val="24"/>
          <w:szCs w:val="24"/>
        </w:rPr>
        <w:t>new record</w:t>
      </w:r>
      <w:proofErr w:type="gramEnd"/>
      <w:r w:rsidRPr="00FD11B5">
        <w:rPr>
          <w:rFonts w:ascii="Times New Roman" w:hAnsi="Times New Roman" w:cs="Times New Roman"/>
          <w:sz w:val="24"/>
          <w:szCs w:val="24"/>
        </w:rPr>
        <w:t xml:space="preserve"> peak load for the ERCOT market at 73,308MW.  The amount of offline reserves in the ORDC determination reached zero for ten SCED intervals around the hour of peak load.  </w:t>
      </w:r>
      <w:r w:rsidR="00167A82" w:rsidRPr="00FD11B5">
        <w:rPr>
          <w:rFonts w:ascii="Times New Roman" w:hAnsi="Times New Roman" w:cs="Times New Roman"/>
          <w:sz w:val="24"/>
          <w:szCs w:val="24"/>
        </w:rPr>
        <w:t>July 19</w:t>
      </w:r>
      <w:r w:rsidR="00167A82" w:rsidRPr="00FD11B5">
        <w:rPr>
          <w:rFonts w:ascii="Times New Roman" w:hAnsi="Times New Roman" w:cs="Times New Roman"/>
          <w:sz w:val="24"/>
          <w:szCs w:val="24"/>
          <w:vertAlign w:val="superscript"/>
        </w:rPr>
        <w:t>th</w:t>
      </w:r>
      <w:r w:rsidR="00167A82" w:rsidRPr="00FD11B5">
        <w:rPr>
          <w:rFonts w:ascii="Times New Roman" w:hAnsi="Times New Roman" w:cs="Times New Roman"/>
          <w:sz w:val="24"/>
          <w:szCs w:val="24"/>
        </w:rPr>
        <w:t xml:space="preserve"> </w:t>
      </w:r>
      <w:r w:rsidR="00D62913" w:rsidRPr="00FD11B5">
        <w:rPr>
          <w:rFonts w:ascii="Times New Roman" w:hAnsi="Times New Roman" w:cs="Times New Roman"/>
          <w:sz w:val="24"/>
          <w:szCs w:val="24"/>
        </w:rPr>
        <w:t xml:space="preserve">also </w:t>
      </w:r>
      <w:r w:rsidR="00167A82" w:rsidRPr="00FD11B5">
        <w:rPr>
          <w:rFonts w:ascii="Times New Roman" w:hAnsi="Times New Roman" w:cs="Times New Roman"/>
          <w:sz w:val="24"/>
          <w:szCs w:val="24"/>
        </w:rPr>
        <w:t xml:space="preserve">experienced a historically low amount of resource outages that may not be repeatable without </w:t>
      </w:r>
      <w:r w:rsidR="008478E0" w:rsidRPr="00FD11B5">
        <w:rPr>
          <w:rFonts w:ascii="Times New Roman" w:hAnsi="Times New Roman" w:cs="Times New Roman"/>
          <w:sz w:val="24"/>
          <w:szCs w:val="24"/>
        </w:rPr>
        <w:t xml:space="preserve">realizing </w:t>
      </w:r>
      <w:r w:rsidR="00167A82" w:rsidRPr="00FD11B5">
        <w:rPr>
          <w:rFonts w:ascii="Times New Roman" w:hAnsi="Times New Roman" w:cs="Times New Roman"/>
          <w:sz w:val="24"/>
          <w:szCs w:val="24"/>
        </w:rPr>
        <w:t xml:space="preserve">higher scarcity prices.  Additionally, imports </w:t>
      </w:r>
      <w:r w:rsidR="00CC7C6E" w:rsidRPr="00FD11B5">
        <w:rPr>
          <w:rFonts w:ascii="Times New Roman" w:hAnsi="Times New Roman" w:cs="Times New Roman"/>
          <w:sz w:val="24"/>
          <w:szCs w:val="24"/>
        </w:rPr>
        <w:t xml:space="preserve">into ERCOT </w:t>
      </w:r>
      <w:r w:rsidR="00167A82" w:rsidRPr="00FD11B5">
        <w:rPr>
          <w:rFonts w:ascii="Times New Roman" w:hAnsi="Times New Roman" w:cs="Times New Roman"/>
          <w:sz w:val="24"/>
          <w:szCs w:val="24"/>
        </w:rPr>
        <w:t>across the DC Ties over</w:t>
      </w:r>
      <w:r w:rsidR="00CC7C6E" w:rsidRPr="00FD11B5">
        <w:rPr>
          <w:rFonts w:ascii="Times New Roman" w:hAnsi="Times New Roman" w:cs="Times New Roman"/>
          <w:sz w:val="24"/>
          <w:szCs w:val="24"/>
        </w:rPr>
        <w:t>-</w:t>
      </w:r>
      <w:r w:rsidR="00167A82" w:rsidRPr="00FD11B5">
        <w:rPr>
          <w:rFonts w:ascii="Times New Roman" w:hAnsi="Times New Roman" w:cs="Times New Roman"/>
          <w:sz w:val="24"/>
          <w:szCs w:val="24"/>
        </w:rPr>
        <w:t xml:space="preserve">performed compared to expectations in the CDR and SARA by </w:t>
      </w:r>
      <w:r w:rsidR="00D62913" w:rsidRPr="00FD11B5">
        <w:rPr>
          <w:rFonts w:ascii="Times New Roman" w:hAnsi="Times New Roman" w:cs="Times New Roman"/>
          <w:sz w:val="24"/>
          <w:szCs w:val="24"/>
        </w:rPr>
        <w:t xml:space="preserve">more than </w:t>
      </w:r>
      <w:r w:rsidR="00167A82" w:rsidRPr="00FD11B5">
        <w:rPr>
          <w:rFonts w:ascii="Times New Roman" w:hAnsi="Times New Roman" w:cs="Times New Roman"/>
          <w:sz w:val="24"/>
          <w:szCs w:val="24"/>
        </w:rPr>
        <w:t>500</w:t>
      </w:r>
      <w:r w:rsidR="00D62913" w:rsidRPr="00FD11B5">
        <w:rPr>
          <w:rFonts w:ascii="Times New Roman" w:hAnsi="Times New Roman" w:cs="Times New Roman"/>
          <w:sz w:val="24"/>
          <w:szCs w:val="24"/>
        </w:rPr>
        <w:t xml:space="preserve"> </w:t>
      </w:r>
      <w:r w:rsidR="00167A82" w:rsidRPr="00FD11B5">
        <w:rPr>
          <w:rFonts w:ascii="Times New Roman" w:hAnsi="Times New Roman" w:cs="Times New Roman"/>
          <w:sz w:val="24"/>
          <w:szCs w:val="24"/>
        </w:rPr>
        <w:t xml:space="preserve">MW.  </w:t>
      </w:r>
      <w:r w:rsidR="00F14E9B" w:rsidRPr="00FD11B5">
        <w:rPr>
          <w:rFonts w:ascii="Times New Roman" w:hAnsi="Times New Roman" w:cs="Times New Roman"/>
          <w:sz w:val="24"/>
          <w:szCs w:val="24"/>
        </w:rPr>
        <w:t>In the morning hours of July 19</w:t>
      </w:r>
      <w:r w:rsidR="00F14E9B" w:rsidRPr="00FD11B5">
        <w:rPr>
          <w:rFonts w:ascii="Times New Roman" w:hAnsi="Times New Roman" w:cs="Times New Roman"/>
          <w:sz w:val="24"/>
          <w:szCs w:val="24"/>
          <w:vertAlign w:val="superscript"/>
        </w:rPr>
        <w:t>th</w:t>
      </w:r>
      <w:r w:rsidR="00F14E9B" w:rsidRPr="00FD11B5">
        <w:rPr>
          <w:rFonts w:ascii="Times New Roman" w:hAnsi="Times New Roman" w:cs="Times New Roman"/>
          <w:sz w:val="24"/>
          <w:szCs w:val="24"/>
        </w:rPr>
        <w:t>, online reserves exceeded 32,000</w:t>
      </w:r>
      <w:r w:rsidR="00D62913" w:rsidRPr="00FD11B5">
        <w:rPr>
          <w:rFonts w:ascii="Times New Roman" w:hAnsi="Times New Roman" w:cs="Times New Roman"/>
          <w:sz w:val="24"/>
          <w:szCs w:val="24"/>
        </w:rPr>
        <w:t xml:space="preserve"> </w:t>
      </w:r>
      <w:r w:rsidR="00F14E9B" w:rsidRPr="00FD11B5">
        <w:rPr>
          <w:rFonts w:ascii="Times New Roman" w:hAnsi="Times New Roman" w:cs="Times New Roman"/>
          <w:sz w:val="24"/>
          <w:szCs w:val="24"/>
        </w:rPr>
        <w:t>MW reflecting the fact that generators kept a record amount of capacity online throughout the night to reduce the risk of forced outages upon startup.</w:t>
      </w:r>
      <w:r w:rsidR="00F14E9B">
        <w:rPr>
          <w:rStyle w:val="FootnoteReference"/>
          <w:rFonts w:ascii="Times New Roman" w:hAnsi="Times New Roman" w:cs="Times New Roman"/>
          <w:sz w:val="24"/>
          <w:szCs w:val="24"/>
        </w:rPr>
        <w:footnoteReference w:id="35"/>
      </w:r>
      <w:r w:rsidR="00F14E9B" w:rsidRPr="00FD11B5">
        <w:rPr>
          <w:rFonts w:ascii="Times New Roman" w:hAnsi="Times New Roman" w:cs="Times New Roman"/>
          <w:sz w:val="24"/>
          <w:szCs w:val="24"/>
        </w:rPr>
        <w:t xml:space="preserve">  </w:t>
      </w:r>
      <w:r w:rsidRPr="00FD11B5">
        <w:rPr>
          <w:rFonts w:ascii="Times New Roman" w:hAnsi="Times New Roman" w:cs="Times New Roman"/>
          <w:sz w:val="24"/>
          <w:szCs w:val="24"/>
        </w:rPr>
        <w:t>As mentioned in the response to Question 2, assuming full availability of Emergency Response Service (ERS), Load Resources providing Responsive Reserve, and TDSP Load Management Programs, the actual operating reserve margin at the time of peak summer demand on July 19</w:t>
      </w:r>
      <w:r w:rsidRPr="00FD11B5">
        <w:rPr>
          <w:rFonts w:ascii="Times New Roman" w:hAnsi="Times New Roman" w:cs="Times New Roman"/>
          <w:sz w:val="24"/>
          <w:szCs w:val="24"/>
          <w:vertAlign w:val="superscript"/>
        </w:rPr>
        <w:t>th</w:t>
      </w:r>
      <w:r w:rsidRPr="00FD11B5">
        <w:rPr>
          <w:rFonts w:ascii="Times New Roman" w:hAnsi="Times New Roman" w:cs="Times New Roman"/>
          <w:sz w:val="24"/>
          <w:szCs w:val="24"/>
        </w:rPr>
        <w:t xml:space="preserve"> was 6%.</w:t>
      </w:r>
      <w:r w:rsidRPr="00573A0C">
        <w:rPr>
          <w:rStyle w:val="FootnoteReference"/>
          <w:rFonts w:ascii="Times New Roman" w:hAnsi="Times New Roman" w:cs="Times New Roman"/>
          <w:sz w:val="24"/>
          <w:szCs w:val="24"/>
        </w:rPr>
        <w:footnoteReference w:id="36"/>
      </w:r>
      <w:r w:rsidRPr="00FD11B5">
        <w:rPr>
          <w:rFonts w:ascii="Times New Roman" w:hAnsi="Times New Roman" w:cs="Times New Roman"/>
          <w:sz w:val="24"/>
          <w:szCs w:val="24"/>
        </w:rPr>
        <w:t xml:space="preserve">  TCPA believes that the pricing results for July 19, 2018, did not reflect the reliability risk on the ERCOT grid and provides justification for the LOLP shift</w:t>
      </w:r>
      <w:r w:rsidR="00D62913" w:rsidRPr="00FD11B5">
        <w:rPr>
          <w:rFonts w:ascii="Times New Roman" w:hAnsi="Times New Roman" w:cs="Times New Roman"/>
          <w:sz w:val="24"/>
          <w:szCs w:val="24"/>
        </w:rPr>
        <w:t xml:space="preserve"> recommended in TCPA’s September 14, 2018 filing in this project</w:t>
      </w:r>
      <w:r w:rsidRPr="00FD11B5">
        <w:rPr>
          <w:rFonts w:ascii="Times New Roman" w:hAnsi="Times New Roman" w:cs="Times New Roman"/>
          <w:sz w:val="24"/>
          <w:szCs w:val="24"/>
        </w:rPr>
        <w:t>.  Informative empirical data for July 19, 2018, includes the following:</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Daily Average System Lambda = $84.45/MWh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Daily Average ORDC Adder = $29.73/MWh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Daily Average North Hub Price = $112.36/MWh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On Peak Average System Lambda = $118.04/MWh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lastRenderedPageBreak/>
        <w:t>On Peak Average ORDC Adder = $44.37/MWh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On Peak Average North Hub Price = $161.17/MWh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Average Wind Output During Peak Load Hour (Hour Ending 17:00</w:t>
      </w:r>
      <w:proofErr w:type="gramStart"/>
      <w:r w:rsidRPr="00573A0C">
        <w:rPr>
          <w:rFonts w:ascii="Times New Roman" w:hAnsi="Times New Roman" w:cs="Times New Roman"/>
          <w:sz w:val="24"/>
          <w:szCs w:val="24"/>
        </w:rPr>
        <w:t>)  =</w:t>
      </w:r>
      <w:proofErr w:type="gramEnd"/>
      <w:r w:rsidRPr="00573A0C">
        <w:rPr>
          <w:rFonts w:ascii="Times New Roman" w:hAnsi="Times New Roman" w:cs="Times New Roman"/>
          <w:sz w:val="24"/>
          <w:szCs w:val="24"/>
        </w:rPr>
        <w:t xml:space="preserve"> 4,229MW</w:t>
      </w:r>
      <w:r w:rsidRPr="00573A0C">
        <w:rPr>
          <w:rStyle w:val="FootnoteReference"/>
          <w:rFonts w:ascii="Times New Roman" w:hAnsi="Times New Roman" w:cs="Times New Roman"/>
          <w:sz w:val="24"/>
          <w:szCs w:val="24"/>
        </w:rPr>
        <w:footnoteReference w:id="37"/>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Average Solar Output During Peak Load Hour (Hour Ending 17:00</w:t>
      </w:r>
      <w:proofErr w:type="gramStart"/>
      <w:r w:rsidRPr="00573A0C">
        <w:rPr>
          <w:rFonts w:ascii="Times New Roman" w:hAnsi="Times New Roman" w:cs="Times New Roman"/>
          <w:sz w:val="24"/>
          <w:szCs w:val="24"/>
        </w:rPr>
        <w:t>)  =</w:t>
      </w:r>
      <w:proofErr w:type="gramEnd"/>
      <w:r w:rsidRPr="00573A0C">
        <w:rPr>
          <w:rFonts w:ascii="Times New Roman" w:hAnsi="Times New Roman" w:cs="Times New Roman"/>
          <w:sz w:val="24"/>
          <w:szCs w:val="24"/>
        </w:rPr>
        <w:t xml:space="preserve"> 1,135MW</w:t>
      </w:r>
      <w:r w:rsidRPr="00573A0C">
        <w:rPr>
          <w:rStyle w:val="FootnoteReference"/>
          <w:rFonts w:ascii="Times New Roman" w:hAnsi="Times New Roman" w:cs="Times New Roman"/>
          <w:sz w:val="24"/>
          <w:szCs w:val="24"/>
        </w:rPr>
        <w:footnoteReference w:id="38"/>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Average System Lambda During Peak Load Hour (Hour Ending 17:00) = $574.60/MWh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Average ORDC Adder During Peak Load Hour (Hour Ending 17:00) = $347.18/MWh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Average North Hub Price During Peak Load Hour (Hour Ending 17:00) = $929.99/MWh</w:t>
      </w:r>
    </w:p>
    <w:p w:rsidR="00190776" w:rsidRPr="00573A0C" w:rsidRDefault="00190776" w:rsidP="00190776">
      <w:pPr>
        <w:pStyle w:val="ListParagraph"/>
        <w:numPr>
          <w:ilvl w:val="0"/>
          <w:numId w:val="15"/>
        </w:numPr>
        <w:spacing w:after="200" w:line="276" w:lineRule="auto"/>
        <w:rPr>
          <w:rFonts w:ascii="Times New Roman" w:hAnsi="Times New Roman" w:cs="Times New Roman"/>
          <w:b/>
          <w:sz w:val="24"/>
          <w:szCs w:val="24"/>
        </w:rPr>
      </w:pPr>
      <w:r w:rsidRPr="00573A0C">
        <w:rPr>
          <w:rFonts w:ascii="Times New Roman" w:hAnsi="Times New Roman" w:cs="Times New Roman"/>
          <w:b/>
          <w:sz w:val="24"/>
          <w:szCs w:val="24"/>
        </w:rPr>
        <w:t xml:space="preserve">Number of Hours the Average North Hub Price </w:t>
      </w:r>
      <w:r w:rsidRPr="00573A0C">
        <w:rPr>
          <w:rFonts w:ascii="Times New Roman" w:hAnsi="Times New Roman" w:cs="Times New Roman"/>
          <w:b/>
          <w:sz w:val="24"/>
          <w:szCs w:val="24"/>
          <w:u w:val="single"/>
        </w:rPr>
        <w:t>During Peak Load Hour</w:t>
      </w:r>
      <w:r w:rsidRPr="00573A0C">
        <w:rPr>
          <w:rFonts w:ascii="Times New Roman" w:hAnsi="Times New Roman" w:cs="Times New Roman"/>
          <w:b/>
          <w:sz w:val="24"/>
          <w:szCs w:val="24"/>
        </w:rPr>
        <w:t xml:space="preserve"> would be needed to achieve CONE for a CCGT</w:t>
      </w:r>
      <w:r w:rsidRPr="00573A0C">
        <w:rPr>
          <w:rStyle w:val="FootnoteReference"/>
          <w:rFonts w:ascii="Times New Roman" w:hAnsi="Times New Roman" w:cs="Times New Roman"/>
          <w:sz w:val="24"/>
          <w:szCs w:val="24"/>
        </w:rPr>
        <w:footnoteReference w:id="39"/>
      </w:r>
      <w:r w:rsidRPr="00573A0C">
        <w:rPr>
          <w:rFonts w:ascii="Times New Roman" w:hAnsi="Times New Roman" w:cs="Times New Roman"/>
          <w:b/>
          <w:sz w:val="24"/>
          <w:szCs w:val="24"/>
        </w:rPr>
        <w:t xml:space="preserve"> = </w:t>
      </w:r>
      <w:r w:rsidRPr="00573A0C">
        <w:rPr>
          <w:rFonts w:ascii="Times New Roman" w:hAnsi="Times New Roman" w:cs="Times New Roman"/>
          <w:b/>
          <w:color w:val="FF0000"/>
          <w:sz w:val="24"/>
          <w:szCs w:val="24"/>
        </w:rPr>
        <w:t>121 hours</w:t>
      </w:r>
    </w:p>
    <w:p w:rsidR="00190776" w:rsidRPr="00573A0C" w:rsidRDefault="00190776" w:rsidP="00190776">
      <w:pPr>
        <w:pStyle w:val="ListParagraph"/>
        <w:rPr>
          <w:rFonts w:ascii="Times New Roman" w:hAnsi="Times New Roman" w:cs="Times New Roman"/>
          <w:b/>
          <w:sz w:val="24"/>
          <w:szCs w:val="24"/>
          <w:u w:val="single"/>
        </w:rPr>
      </w:pPr>
    </w:p>
    <w:p w:rsidR="00190776" w:rsidRPr="00FD11B5" w:rsidRDefault="00190776" w:rsidP="00FD11B5">
      <w:pPr>
        <w:pStyle w:val="ListParagraph"/>
        <w:numPr>
          <w:ilvl w:val="0"/>
          <w:numId w:val="18"/>
        </w:numPr>
        <w:rPr>
          <w:rFonts w:ascii="Times New Roman" w:hAnsi="Times New Roman" w:cs="Times New Roman"/>
          <w:sz w:val="24"/>
          <w:szCs w:val="24"/>
        </w:rPr>
      </w:pPr>
      <w:r w:rsidRPr="00FD11B5">
        <w:rPr>
          <w:rFonts w:ascii="Times New Roman" w:hAnsi="Times New Roman" w:cs="Times New Roman"/>
          <w:sz w:val="24"/>
          <w:szCs w:val="24"/>
        </w:rPr>
        <w:t xml:space="preserve"> July 23, 2018</w:t>
      </w:r>
    </w:p>
    <w:p w:rsidR="00190776" w:rsidRPr="00FD11B5" w:rsidRDefault="00190776" w:rsidP="00FD11B5">
      <w:pPr>
        <w:spacing w:line="360" w:lineRule="auto"/>
        <w:ind w:firstLine="180"/>
        <w:jc w:val="both"/>
        <w:rPr>
          <w:rFonts w:ascii="Times New Roman" w:hAnsi="Times New Roman" w:cs="Times New Roman"/>
          <w:sz w:val="24"/>
          <w:szCs w:val="24"/>
        </w:rPr>
      </w:pPr>
      <w:r w:rsidRPr="00FD11B5">
        <w:rPr>
          <w:rFonts w:ascii="Times New Roman" w:hAnsi="Times New Roman" w:cs="Times New Roman"/>
          <w:sz w:val="24"/>
          <w:szCs w:val="24"/>
        </w:rPr>
        <w:t>July 23, 2018 reached a peak load of 73,061MW making it the second highest peak load ever achieved.  The amount of offline reserves in the ORDC determination declined to 265</w:t>
      </w:r>
      <w:r w:rsidR="00D62913" w:rsidRPr="00FD11B5">
        <w:rPr>
          <w:rFonts w:ascii="Times New Roman" w:hAnsi="Times New Roman" w:cs="Times New Roman"/>
          <w:sz w:val="24"/>
          <w:szCs w:val="24"/>
        </w:rPr>
        <w:t xml:space="preserve"> </w:t>
      </w:r>
      <w:r w:rsidRPr="00FD11B5">
        <w:rPr>
          <w:rFonts w:ascii="Times New Roman" w:hAnsi="Times New Roman" w:cs="Times New Roman"/>
          <w:sz w:val="24"/>
          <w:szCs w:val="24"/>
        </w:rPr>
        <w:t xml:space="preserve">MW for fourteen SCED intervals around the hour of peak load.  The high amount of wind power production strongly influenced pricing results on this day.  </w:t>
      </w:r>
      <w:r w:rsidR="00CC7C6E" w:rsidRPr="00FD11B5">
        <w:rPr>
          <w:rFonts w:ascii="Times New Roman" w:hAnsi="Times New Roman" w:cs="Times New Roman"/>
          <w:sz w:val="24"/>
          <w:szCs w:val="24"/>
        </w:rPr>
        <w:t>In the days leading up to July 23</w:t>
      </w:r>
      <w:r w:rsidR="00CC7C6E" w:rsidRPr="00FD11B5">
        <w:rPr>
          <w:rFonts w:ascii="Times New Roman" w:hAnsi="Times New Roman" w:cs="Times New Roman"/>
          <w:sz w:val="24"/>
          <w:szCs w:val="24"/>
          <w:vertAlign w:val="superscript"/>
        </w:rPr>
        <w:t>rd</w:t>
      </w:r>
      <w:r w:rsidR="00CC7C6E" w:rsidRPr="00FD11B5">
        <w:rPr>
          <w:rFonts w:ascii="Times New Roman" w:hAnsi="Times New Roman" w:cs="Times New Roman"/>
          <w:sz w:val="24"/>
          <w:szCs w:val="24"/>
        </w:rPr>
        <w:t>, the peak load for the day was forecasted to be 73,333</w:t>
      </w:r>
      <w:r w:rsidR="00D62913" w:rsidRPr="00FD11B5">
        <w:rPr>
          <w:rFonts w:ascii="Times New Roman" w:hAnsi="Times New Roman" w:cs="Times New Roman"/>
          <w:sz w:val="24"/>
          <w:szCs w:val="24"/>
        </w:rPr>
        <w:t xml:space="preserve"> </w:t>
      </w:r>
      <w:r w:rsidR="00CC7C6E" w:rsidRPr="00FD11B5">
        <w:rPr>
          <w:rFonts w:ascii="Times New Roman" w:hAnsi="Times New Roman" w:cs="Times New Roman"/>
          <w:sz w:val="24"/>
          <w:szCs w:val="24"/>
        </w:rPr>
        <w:t>MW which would</w:t>
      </w:r>
      <w:r w:rsidR="00D62913" w:rsidRPr="00FD11B5">
        <w:rPr>
          <w:rFonts w:ascii="Times New Roman" w:hAnsi="Times New Roman" w:cs="Times New Roman"/>
          <w:sz w:val="24"/>
          <w:szCs w:val="24"/>
        </w:rPr>
        <w:t xml:space="preserve"> ha</w:t>
      </w:r>
      <w:r w:rsidR="00CC7C6E" w:rsidRPr="00FD11B5">
        <w:rPr>
          <w:rFonts w:ascii="Times New Roman" w:hAnsi="Times New Roman" w:cs="Times New Roman"/>
          <w:sz w:val="24"/>
          <w:szCs w:val="24"/>
        </w:rPr>
        <w:t>ve exceeded the record peak load observed on July 19</w:t>
      </w:r>
      <w:r w:rsidR="00CC7C6E" w:rsidRPr="00FD11B5">
        <w:rPr>
          <w:rFonts w:ascii="Times New Roman" w:hAnsi="Times New Roman" w:cs="Times New Roman"/>
          <w:sz w:val="24"/>
          <w:szCs w:val="24"/>
          <w:vertAlign w:val="superscript"/>
        </w:rPr>
        <w:t>th</w:t>
      </w:r>
      <w:r w:rsidR="00CC7C6E" w:rsidRPr="00FD11B5">
        <w:rPr>
          <w:rFonts w:ascii="Times New Roman" w:hAnsi="Times New Roman" w:cs="Times New Roman"/>
          <w:sz w:val="24"/>
          <w:szCs w:val="24"/>
        </w:rPr>
        <w:t>.</w:t>
      </w:r>
      <w:r w:rsidR="005351A0">
        <w:rPr>
          <w:rStyle w:val="FootnoteReference"/>
          <w:rFonts w:ascii="Times New Roman" w:hAnsi="Times New Roman" w:cs="Times New Roman"/>
          <w:sz w:val="24"/>
          <w:szCs w:val="24"/>
        </w:rPr>
        <w:footnoteReference w:id="40"/>
      </w:r>
      <w:r w:rsidR="00CC7C6E" w:rsidRPr="00FD11B5">
        <w:rPr>
          <w:rFonts w:ascii="Times New Roman" w:hAnsi="Times New Roman" w:cs="Times New Roman"/>
          <w:sz w:val="24"/>
          <w:szCs w:val="24"/>
        </w:rPr>
        <w:t xml:space="preserve">  It is widely </w:t>
      </w:r>
      <w:r w:rsidR="00FE2DFF" w:rsidRPr="00FD11B5">
        <w:rPr>
          <w:rFonts w:ascii="Times New Roman" w:hAnsi="Times New Roman" w:cs="Times New Roman"/>
          <w:sz w:val="24"/>
          <w:szCs w:val="24"/>
        </w:rPr>
        <w:t>believed</w:t>
      </w:r>
      <w:r w:rsidR="00D62913" w:rsidRPr="00FD11B5">
        <w:rPr>
          <w:rFonts w:ascii="Times New Roman" w:hAnsi="Times New Roman" w:cs="Times New Roman"/>
          <w:sz w:val="24"/>
          <w:szCs w:val="24"/>
        </w:rPr>
        <w:t xml:space="preserve"> </w:t>
      </w:r>
      <w:r w:rsidR="00CC7C6E" w:rsidRPr="00FD11B5">
        <w:rPr>
          <w:rFonts w:ascii="Times New Roman" w:hAnsi="Times New Roman" w:cs="Times New Roman"/>
          <w:sz w:val="24"/>
          <w:szCs w:val="24"/>
        </w:rPr>
        <w:t>that 4CP response reduced consumption enough on July 23</w:t>
      </w:r>
      <w:r w:rsidR="00CC7C6E" w:rsidRPr="00FD11B5">
        <w:rPr>
          <w:rFonts w:ascii="Times New Roman" w:hAnsi="Times New Roman" w:cs="Times New Roman"/>
          <w:sz w:val="24"/>
          <w:szCs w:val="24"/>
          <w:vertAlign w:val="superscript"/>
        </w:rPr>
        <w:t>rd</w:t>
      </w:r>
      <w:r w:rsidR="00CC7C6E" w:rsidRPr="00FD11B5">
        <w:rPr>
          <w:rFonts w:ascii="Times New Roman" w:hAnsi="Times New Roman" w:cs="Times New Roman"/>
          <w:sz w:val="24"/>
          <w:szCs w:val="24"/>
        </w:rPr>
        <w:t xml:space="preserve"> to shift the monthly peak back to July 19</w:t>
      </w:r>
      <w:r w:rsidR="00CC7C6E" w:rsidRPr="00FD11B5">
        <w:rPr>
          <w:rFonts w:ascii="Times New Roman" w:hAnsi="Times New Roman" w:cs="Times New Roman"/>
          <w:sz w:val="24"/>
          <w:szCs w:val="24"/>
          <w:vertAlign w:val="superscript"/>
        </w:rPr>
        <w:t>th</w:t>
      </w:r>
      <w:r w:rsidR="00CC7C6E" w:rsidRPr="00FD11B5">
        <w:rPr>
          <w:rFonts w:ascii="Times New Roman" w:hAnsi="Times New Roman" w:cs="Times New Roman"/>
          <w:sz w:val="24"/>
          <w:szCs w:val="24"/>
        </w:rPr>
        <w:t xml:space="preserve">.  </w:t>
      </w:r>
      <w:r w:rsidR="00F14E9B" w:rsidRPr="00FD11B5">
        <w:rPr>
          <w:rFonts w:ascii="Times New Roman" w:hAnsi="Times New Roman" w:cs="Times New Roman"/>
          <w:sz w:val="24"/>
          <w:szCs w:val="24"/>
        </w:rPr>
        <w:t>In the morning hours of July 23</w:t>
      </w:r>
      <w:r w:rsidR="00F14E9B" w:rsidRPr="00FD11B5">
        <w:rPr>
          <w:rFonts w:ascii="Times New Roman" w:hAnsi="Times New Roman" w:cs="Times New Roman"/>
          <w:sz w:val="24"/>
          <w:szCs w:val="24"/>
          <w:vertAlign w:val="superscript"/>
        </w:rPr>
        <w:t>rd</w:t>
      </w:r>
      <w:r w:rsidR="00F14E9B" w:rsidRPr="00FD11B5">
        <w:rPr>
          <w:rFonts w:ascii="Times New Roman" w:hAnsi="Times New Roman" w:cs="Times New Roman"/>
          <w:sz w:val="24"/>
          <w:szCs w:val="24"/>
        </w:rPr>
        <w:t>, online reserves exceeded 30,000</w:t>
      </w:r>
      <w:r w:rsidR="00D62913" w:rsidRPr="00FD11B5">
        <w:rPr>
          <w:rFonts w:ascii="Times New Roman" w:hAnsi="Times New Roman" w:cs="Times New Roman"/>
          <w:sz w:val="24"/>
          <w:szCs w:val="24"/>
        </w:rPr>
        <w:t xml:space="preserve"> </w:t>
      </w:r>
      <w:r w:rsidR="00F14E9B" w:rsidRPr="00FD11B5">
        <w:rPr>
          <w:rFonts w:ascii="Times New Roman" w:hAnsi="Times New Roman" w:cs="Times New Roman"/>
          <w:sz w:val="24"/>
          <w:szCs w:val="24"/>
        </w:rPr>
        <w:t>MW reflecting the fact that generators kept capacity online throughout the night to reduce the risk of forced outages upon startup</w:t>
      </w:r>
      <w:r w:rsidR="00442514" w:rsidRPr="00FD11B5">
        <w:rPr>
          <w:rFonts w:ascii="Times New Roman" w:hAnsi="Times New Roman" w:cs="Times New Roman"/>
          <w:sz w:val="24"/>
          <w:szCs w:val="24"/>
        </w:rPr>
        <w:t xml:space="preserve"> despite </w:t>
      </w:r>
      <w:r w:rsidR="00FE5713" w:rsidRPr="00FD11B5">
        <w:rPr>
          <w:rFonts w:ascii="Times New Roman" w:hAnsi="Times New Roman" w:cs="Times New Roman"/>
          <w:sz w:val="24"/>
          <w:szCs w:val="24"/>
        </w:rPr>
        <w:t xml:space="preserve">North Hub </w:t>
      </w:r>
      <w:r w:rsidR="00442514" w:rsidRPr="00FD11B5">
        <w:rPr>
          <w:rFonts w:ascii="Times New Roman" w:hAnsi="Times New Roman" w:cs="Times New Roman"/>
          <w:sz w:val="24"/>
          <w:szCs w:val="24"/>
        </w:rPr>
        <w:t>off-peak prices averaging only $17.65/MWh</w:t>
      </w:r>
      <w:r w:rsidR="00F14E9B" w:rsidRPr="00FD11B5">
        <w:rPr>
          <w:rFonts w:ascii="Times New Roman" w:hAnsi="Times New Roman" w:cs="Times New Roman"/>
          <w:sz w:val="24"/>
          <w:szCs w:val="24"/>
        </w:rPr>
        <w:t>.</w:t>
      </w:r>
      <w:r w:rsidR="00F14E9B">
        <w:rPr>
          <w:rStyle w:val="FootnoteReference"/>
          <w:rFonts w:ascii="Times New Roman" w:hAnsi="Times New Roman" w:cs="Times New Roman"/>
          <w:sz w:val="24"/>
          <w:szCs w:val="24"/>
        </w:rPr>
        <w:footnoteReference w:id="41"/>
      </w:r>
      <w:r w:rsidR="00F14E9B" w:rsidRPr="00FD11B5">
        <w:rPr>
          <w:rFonts w:ascii="Times New Roman" w:hAnsi="Times New Roman" w:cs="Times New Roman"/>
          <w:sz w:val="24"/>
          <w:szCs w:val="24"/>
        </w:rPr>
        <w:t xml:space="preserve"> </w:t>
      </w:r>
      <w:r w:rsidRPr="00FD11B5">
        <w:rPr>
          <w:rFonts w:ascii="Times New Roman" w:hAnsi="Times New Roman" w:cs="Times New Roman"/>
          <w:sz w:val="24"/>
          <w:szCs w:val="24"/>
        </w:rPr>
        <w:t>Informative empirical data for July 23, 2018, includes the following:</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Daily Average System Lambda = $31.96/MWh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Daily Average ORDC Adder = $0.27/MWh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Daily Average North Hub Price = $28.07/MWh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lastRenderedPageBreak/>
        <w:t>On Peak Average System Lambda = $37.84/MWh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On Peak Average ORDC Adder = $0.41/MWh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On Peak Average North Hub Price = $33.13/MWh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Average Wind Output During Peak Load Hour (Hour Ending 17:00) =</w:t>
      </w:r>
      <w:r>
        <w:rPr>
          <w:rFonts w:ascii="Times New Roman" w:hAnsi="Times New Roman" w:cs="Times New Roman"/>
          <w:sz w:val="24"/>
          <w:szCs w:val="24"/>
        </w:rPr>
        <w:t xml:space="preserve"> </w:t>
      </w:r>
      <w:r w:rsidRPr="00FE5713">
        <w:rPr>
          <w:rFonts w:ascii="Times New Roman" w:hAnsi="Times New Roman" w:cs="Times New Roman"/>
          <w:b/>
          <w:sz w:val="24"/>
          <w:szCs w:val="24"/>
        </w:rPr>
        <w:t>6,892MW</w:t>
      </w:r>
      <w:r w:rsidRPr="00573A0C">
        <w:rPr>
          <w:rStyle w:val="FootnoteReference"/>
          <w:rFonts w:ascii="Times New Roman" w:hAnsi="Times New Roman" w:cs="Times New Roman"/>
          <w:sz w:val="24"/>
          <w:szCs w:val="24"/>
        </w:rPr>
        <w:footnoteReference w:id="42"/>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Average Solar Output During Peak Load Hour (Hour Ending 17:00) =1,056MW</w:t>
      </w:r>
      <w:r w:rsidRPr="00573A0C">
        <w:rPr>
          <w:rStyle w:val="FootnoteReference"/>
          <w:rFonts w:ascii="Times New Roman" w:hAnsi="Times New Roman" w:cs="Times New Roman"/>
          <w:sz w:val="24"/>
          <w:szCs w:val="24"/>
        </w:rPr>
        <w:footnoteReference w:id="43"/>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Average System Lambda During Peak Load Hour (Hour Ending 17:00) = $56.28/MWh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Average ORDC Adder During Peak Load Hour (Hour Ending 17:00) = $0.39/MWh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Average North Hub Price During Peak Load Hour (Hour Ending 17:00) = $48.06/MWh</w:t>
      </w:r>
    </w:p>
    <w:p w:rsidR="00190776" w:rsidRPr="00573A0C" w:rsidRDefault="00190776" w:rsidP="00190776">
      <w:pPr>
        <w:pStyle w:val="ListParagraph"/>
        <w:numPr>
          <w:ilvl w:val="0"/>
          <w:numId w:val="15"/>
        </w:numPr>
        <w:spacing w:after="200" w:line="276" w:lineRule="auto"/>
        <w:rPr>
          <w:rFonts w:ascii="Times New Roman" w:hAnsi="Times New Roman" w:cs="Times New Roman"/>
          <w:b/>
          <w:sz w:val="24"/>
          <w:szCs w:val="24"/>
        </w:rPr>
      </w:pPr>
      <w:r w:rsidRPr="00573A0C">
        <w:rPr>
          <w:rFonts w:ascii="Times New Roman" w:hAnsi="Times New Roman" w:cs="Times New Roman"/>
          <w:b/>
          <w:sz w:val="24"/>
          <w:szCs w:val="24"/>
        </w:rPr>
        <w:t xml:space="preserve">Number of Hours the Average North Hub Price </w:t>
      </w:r>
      <w:r w:rsidRPr="00573A0C">
        <w:rPr>
          <w:rFonts w:ascii="Times New Roman" w:hAnsi="Times New Roman" w:cs="Times New Roman"/>
          <w:b/>
          <w:sz w:val="24"/>
          <w:szCs w:val="24"/>
          <w:u w:val="single"/>
        </w:rPr>
        <w:t>During Peak Load Hour</w:t>
      </w:r>
      <w:r w:rsidRPr="00573A0C">
        <w:rPr>
          <w:rFonts w:ascii="Times New Roman" w:hAnsi="Times New Roman" w:cs="Times New Roman"/>
          <w:b/>
          <w:sz w:val="24"/>
          <w:szCs w:val="24"/>
        </w:rPr>
        <w:t xml:space="preserve"> would be needed to achieve CONE for a CCGT</w:t>
      </w:r>
      <w:r w:rsidRPr="00573A0C">
        <w:rPr>
          <w:rStyle w:val="FootnoteReference"/>
          <w:rFonts w:ascii="Times New Roman" w:hAnsi="Times New Roman" w:cs="Times New Roman"/>
          <w:sz w:val="24"/>
          <w:szCs w:val="24"/>
        </w:rPr>
        <w:footnoteReference w:id="44"/>
      </w:r>
      <w:r w:rsidRPr="00573A0C">
        <w:rPr>
          <w:rFonts w:ascii="Times New Roman" w:hAnsi="Times New Roman" w:cs="Times New Roman"/>
          <w:b/>
          <w:sz w:val="24"/>
          <w:szCs w:val="24"/>
        </w:rPr>
        <w:t xml:space="preserve"> = </w:t>
      </w:r>
      <w:r w:rsidRPr="00573A0C">
        <w:rPr>
          <w:rFonts w:ascii="Times New Roman" w:hAnsi="Times New Roman" w:cs="Times New Roman"/>
          <w:b/>
          <w:color w:val="FF0000"/>
          <w:sz w:val="24"/>
          <w:szCs w:val="24"/>
        </w:rPr>
        <w:t>4,065 hours</w:t>
      </w:r>
    </w:p>
    <w:p w:rsidR="00190776" w:rsidRPr="00573A0C" w:rsidRDefault="00190776" w:rsidP="00190776">
      <w:pPr>
        <w:pStyle w:val="ListParagraph"/>
        <w:rPr>
          <w:rFonts w:ascii="Times New Roman" w:hAnsi="Times New Roman" w:cs="Times New Roman"/>
          <w:b/>
          <w:sz w:val="24"/>
          <w:szCs w:val="24"/>
          <w:u w:val="single"/>
        </w:rPr>
      </w:pPr>
    </w:p>
    <w:p w:rsidR="00190776" w:rsidRPr="00FD11B5" w:rsidRDefault="00190776" w:rsidP="00FD11B5">
      <w:pPr>
        <w:pStyle w:val="ListParagraph"/>
        <w:numPr>
          <w:ilvl w:val="0"/>
          <w:numId w:val="18"/>
        </w:numPr>
        <w:rPr>
          <w:rFonts w:ascii="Times New Roman" w:hAnsi="Times New Roman" w:cs="Times New Roman"/>
          <w:sz w:val="24"/>
          <w:szCs w:val="24"/>
        </w:rPr>
      </w:pPr>
      <w:r w:rsidRPr="00FD11B5">
        <w:rPr>
          <w:rFonts w:ascii="Times New Roman" w:hAnsi="Times New Roman" w:cs="Times New Roman"/>
          <w:sz w:val="24"/>
          <w:szCs w:val="24"/>
        </w:rPr>
        <w:t>August 2, 2018</w:t>
      </w:r>
    </w:p>
    <w:p w:rsidR="00190776" w:rsidRPr="00FD11B5" w:rsidRDefault="00190776" w:rsidP="00FD11B5">
      <w:pPr>
        <w:spacing w:line="360" w:lineRule="auto"/>
        <w:ind w:firstLine="240"/>
        <w:jc w:val="both"/>
        <w:rPr>
          <w:rFonts w:ascii="Times New Roman" w:hAnsi="Times New Roman" w:cs="Times New Roman"/>
          <w:sz w:val="24"/>
          <w:szCs w:val="24"/>
        </w:rPr>
      </w:pPr>
      <w:r w:rsidRPr="00FD11B5">
        <w:rPr>
          <w:rFonts w:ascii="Times New Roman" w:hAnsi="Times New Roman" w:cs="Times New Roman"/>
          <w:sz w:val="24"/>
          <w:szCs w:val="24"/>
        </w:rPr>
        <w:t xml:space="preserve">August 2, 2018 reached a peak load of 66,246MW.  The amount of offline reserves in the ORDC determination declined to 38MW for eighteen SCED intervals around the hour of peak load.  At 9am and 10am on August 2, ERCOT committed a total of 1,711MW of capacity through the RUC process due to a concern that </w:t>
      </w:r>
      <w:proofErr w:type="gramStart"/>
      <w:r w:rsidRPr="00FD11B5">
        <w:rPr>
          <w:rFonts w:ascii="Times New Roman" w:hAnsi="Times New Roman" w:cs="Times New Roman"/>
          <w:sz w:val="24"/>
          <w:szCs w:val="24"/>
        </w:rPr>
        <w:t>sufficient</w:t>
      </w:r>
      <w:proofErr w:type="gramEnd"/>
      <w:r w:rsidRPr="00FD11B5">
        <w:rPr>
          <w:rFonts w:ascii="Times New Roman" w:hAnsi="Times New Roman" w:cs="Times New Roman"/>
          <w:sz w:val="24"/>
          <w:szCs w:val="24"/>
        </w:rPr>
        <w:t xml:space="preserve"> </w:t>
      </w:r>
      <w:r w:rsidR="00FE2DFF" w:rsidRPr="00FD11B5">
        <w:rPr>
          <w:rFonts w:ascii="Times New Roman" w:hAnsi="Times New Roman" w:cs="Times New Roman"/>
          <w:sz w:val="24"/>
          <w:szCs w:val="24"/>
        </w:rPr>
        <w:t xml:space="preserve">generating capacity </w:t>
      </w:r>
      <w:r w:rsidRPr="00FD11B5">
        <w:rPr>
          <w:rFonts w:ascii="Times New Roman" w:hAnsi="Times New Roman" w:cs="Times New Roman"/>
          <w:sz w:val="24"/>
          <w:szCs w:val="24"/>
        </w:rPr>
        <w:t xml:space="preserve">would not self-commit later in the day.  However, market participants self-committed </w:t>
      </w:r>
      <w:r w:rsidR="00FE2DFF" w:rsidRPr="00FD11B5">
        <w:rPr>
          <w:rFonts w:ascii="Times New Roman" w:hAnsi="Times New Roman" w:cs="Times New Roman"/>
          <w:sz w:val="24"/>
          <w:szCs w:val="24"/>
        </w:rPr>
        <w:t xml:space="preserve">more than </w:t>
      </w:r>
      <w:r w:rsidRPr="00FD11B5">
        <w:rPr>
          <w:rFonts w:ascii="Times New Roman" w:hAnsi="Times New Roman" w:cs="Times New Roman"/>
          <w:sz w:val="24"/>
          <w:szCs w:val="24"/>
        </w:rPr>
        <w:t>3,000MW of capacity above the amount projected in the RUC process.</w:t>
      </w:r>
      <w:r w:rsidR="00167A82">
        <w:rPr>
          <w:rStyle w:val="FootnoteReference"/>
          <w:rFonts w:ascii="Times New Roman" w:hAnsi="Times New Roman" w:cs="Times New Roman"/>
          <w:sz w:val="24"/>
          <w:szCs w:val="24"/>
        </w:rPr>
        <w:footnoteReference w:id="45"/>
      </w:r>
      <w:r w:rsidRPr="00FD11B5">
        <w:rPr>
          <w:rFonts w:ascii="Times New Roman" w:hAnsi="Times New Roman" w:cs="Times New Roman"/>
          <w:sz w:val="24"/>
          <w:szCs w:val="24"/>
        </w:rPr>
        <w:t xml:space="preserve">  Informative empirical data for August 2, 2018, includes the following:</w:t>
      </w:r>
    </w:p>
    <w:p w:rsidR="00190776" w:rsidRPr="00573A0C" w:rsidRDefault="00190776" w:rsidP="00FE5713">
      <w:pPr>
        <w:pStyle w:val="ListParagraph"/>
        <w:numPr>
          <w:ilvl w:val="0"/>
          <w:numId w:val="16"/>
        </w:numPr>
        <w:spacing w:after="200" w:line="276" w:lineRule="auto"/>
        <w:ind w:left="1440"/>
        <w:rPr>
          <w:rFonts w:ascii="Times New Roman" w:hAnsi="Times New Roman" w:cs="Times New Roman"/>
          <w:sz w:val="24"/>
          <w:szCs w:val="24"/>
        </w:rPr>
      </w:pPr>
      <w:r w:rsidRPr="00573A0C">
        <w:rPr>
          <w:rFonts w:ascii="Times New Roman" w:hAnsi="Times New Roman" w:cs="Times New Roman"/>
          <w:sz w:val="24"/>
          <w:szCs w:val="24"/>
        </w:rPr>
        <w:t>Daily Average System Lambda = $36.07/MWh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Daily Average ORDC Adder = $1.68/MWh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Daily Average North Hub Price = $37.91/MWh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On Peak Average System Lambda = $2.52/MWh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On Peak Average ORDC Adder = $44.97/MWh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On Peak Average North Hub Price = $47.93/MWh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lastRenderedPageBreak/>
        <w:t>Average Wind Output During Peak Load Hour (Hour Ending 17:00) = 2,531MW</w:t>
      </w:r>
      <w:r w:rsidRPr="00573A0C">
        <w:rPr>
          <w:rStyle w:val="FootnoteReference"/>
          <w:rFonts w:ascii="Times New Roman" w:hAnsi="Times New Roman" w:cs="Times New Roman"/>
          <w:sz w:val="24"/>
          <w:szCs w:val="24"/>
        </w:rPr>
        <w:footnoteReference w:id="46"/>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Average Solar Output During Peak Load Hour (Hour Ending 17:00) = 1,002MW</w:t>
      </w:r>
      <w:r w:rsidRPr="00573A0C">
        <w:rPr>
          <w:rStyle w:val="FootnoteReference"/>
          <w:rFonts w:ascii="Times New Roman" w:hAnsi="Times New Roman" w:cs="Times New Roman"/>
          <w:sz w:val="24"/>
          <w:szCs w:val="24"/>
        </w:rPr>
        <w:footnoteReference w:id="47"/>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Average System Lambda During Peak Load Hour (Hour Ending 17:00) = $71.44/MWh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Average ORDC Adder During Peak Load Hour (Hour Ending 17:00) = $17.87/MWh</w:t>
      </w:r>
    </w:p>
    <w:p w:rsidR="00190776" w:rsidRPr="00573A0C" w:rsidRDefault="00190776" w:rsidP="00190776">
      <w:pPr>
        <w:pStyle w:val="ListParagraph"/>
        <w:numPr>
          <w:ilvl w:val="0"/>
          <w:numId w:val="15"/>
        </w:numPr>
        <w:spacing w:after="200" w:line="276" w:lineRule="auto"/>
        <w:rPr>
          <w:rFonts w:ascii="Times New Roman" w:hAnsi="Times New Roman" w:cs="Times New Roman"/>
          <w:sz w:val="24"/>
          <w:szCs w:val="24"/>
        </w:rPr>
      </w:pPr>
      <w:r w:rsidRPr="00573A0C">
        <w:rPr>
          <w:rFonts w:ascii="Times New Roman" w:hAnsi="Times New Roman" w:cs="Times New Roman"/>
          <w:sz w:val="24"/>
          <w:szCs w:val="24"/>
        </w:rPr>
        <w:t>Average North Hub Price During Peak Load Hour (Hour Ending 17:00) = $91.23/MWh</w:t>
      </w:r>
    </w:p>
    <w:p w:rsidR="00190776" w:rsidRPr="00573A0C" w:rsidRDefault="00190776" w:rsidP="00190776">
      <w:pPr>
        <w:pStyle w:val="ListParagraph"/>
        <w:numPr>
          <w:ilvl w:val="0"/>
          <w:numId w:val="15"/>
        </w:numPr>
        <w:spacing w:after="200" w:line="276" w:lineRule="auto"/>
        <w:rPr>
          <w:rFonts w:ascii="Times New Roman" w:hAnsi="Times New Roman" w:cs="Times New Roman"/>
          <w:b/>
          <w:sz w:val="24"/>
          <w:szCs w:val="24"/>
        </w:rPr>
      </w:pPr>
      <w:r w:rsidRPr="00573A0C">
        <w:rPr>
          <w:rFonts w:ascii="Times New Roman" w:hAnsi="Times New Roman" w:cs="Times New Roman"/>
          <w:b/>
          <w:sz w:val="24"/>
          <w:szCs w:val="24"/>
        </w:rPr>
        <w:t xml:space="preserve">Number of Hours the Average North Hub Price </w:t>
      </w:r>
      <w:r w:rsidRPr="00573A0C">
        <w:rPr>
          <w:rFonts w:ascii="Times New Roman" w:hAnsi="Times New Roman" w:cs="Times New Roman"/>
          <w:b/>
          <w:sz w:val="24"/>
          <w:szCs w:val="24"/>
          <w:u w:val="single"/>
        </w:rPr>
        <w:t>During Peak Load Hour</w:t>
      </w:r>
      <w:r w:rsidRPr="00573A0C">
        <w:rPr>
          <w:rFonts w:ascii="Times New Roman" w:hAnsi="Times New Roman" w:cs="Times New Roman"/>
          <w:b/>
          <w:sz w:val="24"/>
          <w:szCs w:val="24"/>
        </w:rPr>
        <w:t xml:space="preserve"> would be needed to achieve CONE for a CCGT</w:t>
      </w:r>
      <w:r w:rsidRPr="00573A0C">
        <w:rPr>
          <w:rStyle w:val="FootnoteReference"/>
          <w:rFonts w:ascii="Times New Roman" w:hAnsi="Times New Roman" w:cs="Times New Roman"/>
          <w:sz w:val="24"/>
          <w:szCs w:val="24"/>
        </w:rPr>
        <w:footnoteReference w:id="48"/>
      </w:r>
      <w:r w:rsidRPr="00573A0C">
        <w:rPr>
          <w:rFonts w:ascii="Times New Roman" w:hAnsi="Times New Roman" w:cs="Times New Roman"/>
          <w:b/>
          <w:sz w:val="24"/>
          <w:szCs w:val="24"/>
        </w:rPr>
        <w:t xml:space="preserve"> = </w:t>
      </w:r>
      <w:r w:rsidRPr="00573A0C">
        <w:rPr>
          <w:rFonts w:ascii="Times New Roman" w:hAnsi="Times New Roman" w:cs="Times New Roman"/>
          <w:b/>
          <w:color w:val="FF0000"/>
          <w:sz w:val="24"/>
          <w:szCs w:val="24"/>
        </w:rPr>
        <w:t>1,550 hours</w:t>
      </w:r>
    </w:p>
    <w:p w:rsidR="00A923EF" w:rsidRDefault="00A923EF" w:rsidP="00190776">
      <w:pPr>
        <w:pStyle w:val="annettes"/>
        <w:jc w:val="left"/>
        <w:rPr>
          <w:rFonts w:cs="Times New Roman"/>
          <w:b/>
          <w:szCs w:val="24"/>
        </w:rPr>
      </w:pPr>
    </w:p>
    <w:p w:rsidR="00974886" w:rsidRDefault="002B7F45" w:rsidP="0020067B">
      <w:pPr>
        <w:pStyle w:val="annettes"/>
        <w:jc w:val="center"/>
        <w:rPr>
          <w:rFonts w:cs="Times New Roman"/>
          <w:b/>
          <w:szCs w:val="24"/>
        </w:rPr>
      </w:pPr>
      <w:r w:rsidRPr="0048370E">
        <w:rPr>
          <w:rFonts w:cs="Times New Roman"/>
          <w:b/>
          <w:szCs w:val="24"/>
        </w:rPr>
        <w:t xml:space="preserve">III. </w:t>
      </w:r>
      <w:r w:rsidR="005350ED">
        <w:rPr>
          <w:rFonts w:cs="Times New Roman"/>
          <w:b/>
          <w:szCs w:val="24"/>
        </w:rPr>
        <w:t xml:space="preserve"> </w:t>
      </w:r>
      <w:r w:rsidR="00A934BB" w:rsidRPr="0048370E">
        <w:rPr>
          <w:rFonts w:cs="Times New Roman"/>
          <w:b/>
          <w:szCs w:val="24"/>
        </w:rPr>
        <w:t>Conclusion</w:t>
      </w:r>
    </w:p>
    <w:p w:rsidR="00A92660" w:rsidRPr="00DA49BD" w:rsidRDefault="00DA49BD" w:rsidP="00DA49BD">
      <w:pPr>
        <w:pStyle w:val="annettes"/>
        <w:jc w:val="left"/>
        <w:rPr>
          <w:rFonts w:cs="Times New Roman"/>
          <w:szCs w:val="24"/>
        </w:rPr>
      </w:pPr>
      <w:r>
        <w:rPr>
          <w:rFonts w:cs="Times New Roman"/>
          <w:szCs w:val="24"/>
        </w:rPr>
        <w:tab/>
        <w:t xml:space="preserve">The summer 2018 provides some </w:t>
      </w:r>
      <w:r w:rsidR="00C117AB">
        <w:rPr>
          <w:rFonts w:cs="Times New Roman"/>
          <w:szCs w:val="24"/>
        </w:rPr>
        <w:t xml:space="preserve">insight into </w:t>
      </w:r>
      <w:r>
        <w:rPr>
          <w:rFonts w:cs="Times New Roman"/>
          <w:szCs w:val="24"/>
        </w:rPr>
        <w:t xml:space="preserve">areas that </w:t>
      </w:r>
      <w:r w:rsidR="00C117AB">
        <w:rPr>
          <w:rFonts w:cs="Times New Roman"/>
          <w:szCs w:val="24"/>
        </w:rPr>
        <w:t xml:space="preserve">could be </w:t>
      </w:r>
      <w:r>
        <w:rPr>
          <w:rFonts w:cs="Times New Roman"/>
          <w:szCs w:val="24"/>
        </w:rPr>
        <w:t>improve</w:t>
      </w:r>
      <w:r w:rsidR="00C117AB">
        <w:rPr>
          <w:rFonts w:cs="Times New Roman"/>
          <w:szCs w:val="24"/>
        </w:rPr>
        <w:t>d</w:t>
      </w:r>
      <w:r>
        <w:rPr>
          <w:rFonts w:cs="Times New Roman"/>
          <w:szCs w:val="24"/>
        </w:rPr>
        <w:t xml:space="preserve"> to ensure a better functioning market. The pricing seen in summer 2018 </w:t>
      </w:r>
      <w:r w:rsidR="00C117AB">
        <w:rPr>
          <w:rFonts w:cs="Times New Roman"/>
          <w:szCs w:val="24"/>
        </w:rPr>
        <w:t xml:space="preserve">clearly </w:t>
      </w:r>
      <w:r>
        <w:rPr>
          <w:rFonts w:cs="Times New Roman"/>
          <w:szCs w:val="24"/>
        </w:rPr>
        <w:t xml:space="preserve">shows a disconnect between reliability risk and scarcity pricing. While the near-term </w:t>
      </w:r>
      <w:r w:rsidR="00C117AB">
        <w:rPr>
          <w:rFonts w:cs="Times New Roman"/>
          <w:szCs w:val="24"/>
        </w:rPr>
        <w:t xml:space="preserve">results were the outcome of both </w:t>
      </w:r>
      <w:r>
        <w:rPr>
          <w:rFonts w:cs="Times New Roman"/>
          <w:szCs w:val="24"/>
        </w:rPr>
        <w:t>operational</w:t>
      </w:r>
      <w:r w:rsidR="00036921">
        <w:rPr>
          <w:rFonts w:cs="Times New Roman"/>
          <w:szCs w:val="24"/>
        </w:rPr>
        <w:t xml:space="preserve"> </w:t>
      </w:r>
      <w:r w:rsidR="00C117AB">
        <w:rPr>
          <w:rFonts w:cs="Times New Roman"/>
          <w:szCs w:val="24"/>
        </w:rPr>
        <w:t xml:space="preserve">situations </w:t>
      </w:r>
      <w:r w:rsidR="00036921">
        <w:rPr>
          <w:rFonts w:cs="Times New Roman"/>
          <w:szCs w:val="24"/>
        </w:rPr>
        <w:t xml:space="preserve">and </w:t>
      </w:r>
      <w:r>
        <w:rPr>
          <w:rFonts w:cs="Times New Roman"/>
          <w:szCs w:val="24"/>
        </w:rPr>
        <w:t xml:space="preserve">the level of resource commitments made, </w:t>
      </w:r>
      <w:r w:rsidR="00036921">
        <w:rPr>
          <w:rFonts w:cs="Times New Roman"/>
          <w:szCs w:val="24"/>
        </w:rPr>
        <w:t>the long</w:t>
      </w:r>
      <w:r w:rsidR="00046768">
        <w:rPr>
          <w:rFonts w:cs="Times New Roman"/>
          <w:szCs w:val="24"/>
        </w:rPr>
        <w:t>-</w:t>
      </w:r>
      <w:r w:rsidR="00036921">
        <w:rPr>
          <w:rFonts w:cs="Times New Roman"/>
          <w:szCs w:val="24"/>
        </w:rPr>
        <w:t xml:space="preserve">term consequences of </w:t>
      </w:r>
      <w:r w:rsidR="00476493">
        <w:rPr>
          <w:rFonts w:cs="Times New Roman"/>
          <w:szCs w:val="24"/>
        </w:rPr>
        <w:t xml:space="preserve">prices that do not properly reflect scarcity is that </w:t>
      </w:r>
      <w:r w:rsidR="00FE2DFF">
        <w:rPr>
          <w:rFonts w:cs="Times New Roman"/>
          <w:szCs w:val="24"/>
        </w:rPr>
        <w:t xml:space="preserve">new entry </w:t>
      </w:r>
      <w:r w:rsidR="00476493">
        <w:rPr>
          <w:rFonts w:cs="Times New Roman"/>
          <w:szCs w:val="24"/>
        </w:rPr>
        <w:t>will continue to be un</w:t>
      </w:r>
      <w:r w:rsidR="00FE2DFF">
        <w:rPr>
          <w:rFonts w:cs="Times New Roman"/>
          <w:szCs w:val="24"/>
        </w:rPr>
        <w:t>economic</w:t>
      </w:r>
      <w:r w:rsidR="00476493">
        <w:rPr>
          <w:rFonts w:cs="Times New Roman"/>
          <w:szCs w:val="24"/>
        </w:rPr>
        <w:t xml:space="preserve"> in our current market. </w:t>
      </w:r>
      <w:r w:rsidR="00A26DE3">
        <w:rPr>
          <w:rFonts w:cs="Times New Roman"/>
          <w:szCs w:val="24"/>
        </w:rPr>
        <w:t>TCPA appreciates the opportunity to provide these comments and appreciates consideration of them.</w:t>
      </w:r>
    </w:p>
    <w:p w:rsidR="009D303C" w:rsidRDefault="009D303C" w:rsidP="009D30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Dated:  </w:t>
      </w:r>
      <w:r w:rsidR="00554BCF">
        <w:rPr>
          <w:rFonts w:ascii="Times New Roman" w:hAnsi="Times New Roman" w:cs="Times New Roman"/>
          <w:sz w:val="24"/>
          <w:szCs w:val="24"/>
        </w:rPr>
        <w:t xml:space="preserve">October </w:t>
      </w:r>
      <w:r w:rsidR="00A92660">
        <w:rPr>
          <w:rFonts w:ascii="Times New Roman" w:hAnsi="Times New Roman" w:cs="Times New Roman"/>
          <w:sz w:val="24"/>
          <w:szCs w:val="24"/>
        </w:rPr>
        <w:t>1</w:t>
      </w:r>
      <w:r w:rsidR="00554BCF">
        <w:rPr>
          <w:rFonts w:ascii="Times New Roman" w:hAnsi="Times New Roman" w:cs="Times New Roman"/>
          <w:sz w:val="24"/>
          <w:szCs w:val="24"/>
        </w:rPr>
        <w:t>8, 2018</w:t>
      </w:r>
    </w:p>
    <w:p w:rsidR="00FA7269" w:rsidRPr="0048370E" w:rsidRDefault="00FA7269" w:rsidP="009E18D0">
      <w:pPr>
        <w:spacing w:after="0" w:line="480" w:lineRule="auto"/>
        <w:ind w:left="3600" w:firstLine="720"/>
        <w:jc w:val="both"/>
        <w:rPr>
          <w:rFonts w:ascii="Times New Roman" w:eastAsia="Calibri" w:hAnsi="Times New Roman" w:cs="Times New Roman"/>
          <w:sz w:val="24"/>
          <w:szCs w:val="24"/>
        </w:rPr>
      </w:pPr>
      <w:r w:rsidRPr="0048370E">
        <w:rPr>
          <w:rFonts w:ascii="Times New Roman" w:eastAsia="Calibri" w:hAnsi="Times New Roman" w:cs="Times New Roman"/>
          <w:sz w:val="24"/>
          <w:szCs w:val="24"/>
        </w:rPr>
        <w:t>Respectfully submitted,</w:t>
      </w:r>
    </w:p>
    <w:p w:rsidR="00FA7269" w:rsidRPr="0048370E" w:rsidRDefault="00FA7269" w:rsidP="00FA7269">
      <w:pPr>
        <w:spacing w:after="0" w:line="240" w:lineRule="auto"/>
        <w:ind w:left="3600" w:firstLine="720"/>
        <w:jc w:val="both"/>
        <w:rPr>
          <w:rFonts w:ascii="Times New Roman" w:eastAsia="Calibri" w:hAnsi="Times New Roman" w:cs="Times New Roman"/>
          <w:sz w:val="24"/>
          <w:szCs w:val="24"/>
        </w:rPr>
      </w:pPr>
    </w:p>
    <w:p w:rsidR="00121648" w:rsidRPr="0048370E" w:rsidRDefault="00121648" w:rsidP="00FA7269">
      <w:pPr>
        <w:spacing w:after="0" w:line="240" w:lineRule="auto"/>
        <w:ind w:left="3600" w:firstLine="720"/>
        <w:jc w:val="both"/>
        <w:rPr>
          <w:rFonts w:ascii="Times New Roman" w:eastAsia="Calibri" w:hAnsi="Times New Roman" w:cs="Times New Roman"/>
          <w:sz w:val="24"/>
          <w:szCs w:val="24"/>
        </w:rPr>
      </w:pPr>
    </w:p>
    <w:p w:rsidR="00121648" w:rsidRPr="0048370E" w:rsidRDefault="00121648" w:rsidP="00121648">
      <w:pPr>
        <w:tabs>
          <w:tab w:val="left" w:pos="4320"/>
        </w:tabs>
        <w:spacing w:after="0" w:line="240" w:lineRule="auto"/>
        <w:ind w:right="-540"/>
        <w:rPr>
          <w:rFonts w:ascii="Times New Roman" w:eastAsia="Times New Roman" w:hAnsi="Times New Roman" w:cs="Times New Roman"/>
          <w:sz w:val="24"/>
          <w:szCs w:val="24"/>
        </w:rPr>
      </w:pPr>
      <w:r w:rsidRPr="0048370E">
        <w:rPr>
          <w:rFonts w:ascii="Times New Roman" w:eastAsia="Times New Roman" w:hAnsi="Times New Roman" w:cs="Times New Roman"/>
          <w:sz w:val="24"/>
          <w:szCs w:val="24"/>
        </w:rPr>
        <w:tab/>
        <w:t>__________________________________</w:t>
      </w:r>
    </w:p>
    <w:p w:rsidR="00121648" w:rsidRDefault="00121648" w:rsidP="00A923EF">
      <w:pPr>
        <w:spacing w:after="0" w:line="240" w:lineRule="auto"/>
        <w:ind w:firstLine="720"/>
        <w:outlineLvl w:val="0"/>
        <w:rPr>
          <w:rFonts w:ascii="Times New Roman" w:eastAsia="Times New Roman" w:hAnsi="Times New Roman" w:cs="Times New Roman"/>
          <w:sz w:val="24"/>
          <w:szCs w:val="24"/>
        </w:rPr>
      </w:pP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Pr="0048370E">
        <w:rPr>
          <w:rFonts w:ascii="Times New Roman" w:eastAsia="Times New Roman" w:hAnsi="Times New Roman" w:cs="Times New Roman"/>
          <w:sz w:val="24"/>
          <w:szCs w:val="24"/>
        </w:rPr>
        <w:tab/>
      </w:r>
      <w:r w:rsidR="00476493">
        <w:rPr>
          <w:rFonts w:ascii="Times New Roman" w:eastAsia="Times New Roman" w:hAnsi="Times New Roman" w:cs="Times New Roman"/>
          <w:sz w:val="24"/>
          <w:szCs w:val="24"/>
        </w:rPr>
        <w:t>Michele Gregg</w:t>
      </w:r>
    </w:p>
    <w:p w:rsidR="00476493" w:rsidRDefault="00476493" w:rsidP="00A923EF">
      <w:pPr>
        <w:spacing w:after="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Executive Director</w:t>
      </w:r>
    </w:p>
    <w:p w:rsidR="00476493" w:rsidRDefault="00476493" w:rsidP="00A923EF">
      <w:pPr>
        <w:spacing w:after="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Texas Competitive Power Advocates (TCPA)</w:t>
      </w:r>
    </w:p>
    <w:p w:rsidR="00476493" w:rsidRDefault="00476493" w:rsidP="00A923EF">
      <w:pPr>
        <w:spacing w:after="0" w:line="240" w:lineRule="auto"/>
        <w:ind w:firstLine="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(512) 653-7447</w:t>
      </w:r>
    </w:p>
    <w:p w:rsidR="00FA7269" w:rsidRPr="0048370E" w:rsidRDefault="00476493" w:rsidP="00FD11B5">
      <w:pPr>
        <w:spacing w:after="0" w:line="240" w:lineRule="auto"/>
        <w:ind w:firstLine="720"/>
        <w:outlineLvl w:val="0"/>
        <w:rPr>
          <w:rFonts w:ascii="Times New Roman" w:eastAsia="Calibri"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6" w:history="1">
        <w:r w:rsidRPr="005E7290">
          <w:rPr>
            <w:rStyle w:val="Hyperlink"/>
            <w:rFonts w:ascii="Times New Roman" w:eastAsia="Times New Roman" w:hAnsi="Times New Roman" w:cs="Times New Roman"/>
            <w:sz w:val="24"/>
            <w:szCs w:val="24"/>
          </w:rPr>
          <w:t>michele@competitivepower.org</w:t>
        </w:r>
      </w:hyperlink>
      <w:r>
        <w:rPr>
          <w:rFonts w:ascii="Times New Roman" w:eastAsia="Times New Roman" w:hAnsi="Times New Roman" w:cs="Times New Roman"/>
          <w:sz w:val="24"/>
          <w:szCs w:val="24"/>
        </w:rPr>
        <w:t xml:space="preserve"> </w:t>
      </w:r>
      <w:r w:rsidR="00121648" w:rsidRPr="0048370E">
        <w:rPr>
          <w:rFonts w:ascii="Times New Roman" w:eastAsia="Times New Roman" w:hAnsi="Times New Roman" w:cs="Times New Roman"/>
          <w:sz w:val="24"/>
          <w:szCs w:val="24"/>
        </w:rPr>
        <w:tab/>
      </w:r>
      <w:r w:rsidR="00121648" w:rsidRPr="0048370E">
        <w:rPr>
          <w:rFonts w:ascii="Times New Roman" w:eastAsia="Times New Roman" w:hAnsi="Times New Roman" w:cs="Times New Roman"/>
          <w:sz w:val="24"/>
          <w:szCs w:val="24"/>
        </w:rPr>
        <w:tab/>
      </w:r>
      <w:r w:rsidR="00121648" w:rsidRPr="0048370E">
        <w:rPr>
          <w:rFonts w:ascii="Times New Roman" w:eastAsia="Times New Roman" w:hAnsi="Times New Roman" w:cs="Times New Roman"/>
          <w:sz w:val="24"/>
          <w:szCs w:val="24"/>
        </w:rPr>
        <w:tab/>
      </w:r>
    </w:p>
    <w:sectPr w:rsidR="00FA7269" w:rsidRPr="0048370E" w:rsidSect="006E55AF">
      <w:foot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AC6" w:rsidRDefault="003E7AC6" w:rsidP="00F75562">
      <w:pPr>
        <w:spacing w:after="0" w:line="240" w:lineRule="auto"/>
      </w:pPr>
      <w:r>
        <w:separator/>
      </w:r>
    </w:p>
  </w:endnote>
  <w:endnote w:type="continuationSeparator" w:id="0">
    <w:p w:rsidR="003E7AC6" w:rsidRDefault="003E7AC6" w:rsidP="00F7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42659"/>
      <w:docPartObj>
        <w:docPartGallery w:val="Page Numbers (Bottom of Page)"/>
        <w:docPartUnique/>
      </w:docPartObj>
    </w:sdtPr>
    <w:sdtEndPr>
      <w:rPr>
        <w:rFonts w:ascii="Times New Roman" w:hAnsi="Times New Roman" w:cs="Times New Roman"/>
        <w:noProof/>
        <w:sz w:val="24"/>
        <w:szCs w:val="24"/>
      </w:rPr>
    </w:sdtEndPr>
    <w:sdtContent>
      <w:p w:rsidR="00261180" w:rsidRPr="00FA1FB8" w:rsidRDefault="00261180">
        <w:pPr>
          <w:pStyle w:val="Footer"/>
          <w:jc w:val="center"/>
          <w:rPr>
            <w:rFonts w:ascii="Times New Roman" w:hAnsi="Times New Roman" w:cs="Times New Roman"/>
            <w:sz w:val="24"/>
            <w:szCs w:val="24"/>
          </w:rPr>
        </w:pPr>
        <w:r w:rsidRPr="00FA1FB8">
          <w:rPr>
            <w:rFonts w:ascii="Times New Roman" w:hAnsi="Times New Roman" w:cs="Times New Roman"/>
            <w:sz w:val="24"/>
            <w:szCs w:val="24"/>
          </w:rPr>
          <w:fldChar w:fldCharType="begin"/>
        </w:r>
        <w:r w:rsidRPr="00FA1FB8">
          <w:rPr>
            <w:rFonts w:ascii="Times New Roman" w:hAnsi="Times New Roman" w:cs="Times New Roman"/>
            <w:sz w:val="24"/>
            <w:szCs w:val="24"/>
          </w:rPr>
          <w:instrText xml:space="preserve"> PAGE   \* MERGEFORMAT </w:instrText>
        </w:r>
        <w:r w:rsidRPr="00FA1FB8">
          <w:rPr>
            <w:rFonts w:ascii="Times New Roman" w:hAnsi="Times New Roman" w:cs="Times New Roman"/>
            <w:sz w:val="24"/>
            <w:szCs w:val="24"/>
          </w:rPr>
          <w:fldChar w:fldCharType="separate"/>
        </w:r>
        <w:r>
          <w:rPr>
            <w:rFonts w:ascii="Times New Roman" w:hAnsi="Times New Roman" w:cs="Times New Roman"/>
            <w:noProof/>
            <w:sz w:val="24"/>
            <w:szCs w:val="24"/>
          </w:rPr>
          <w:t>12</w:t>
        </w:r>
        <w:r w:rsidRPr="00FA1FB8">
          <w:rPr>
            <w:rFonts w:ascii="Times New Roman" w:hAnsi="Times New Roman" w:cs="Times New Roman"/>
            <w:noProof/>
            <w:sz w:val="24"/>
            <w:szCs w:val="24"/>
          </w:rPr>
          <w:fldChar w:fldCharType="end"/>
        </w:r>
      </w:p>
    </w:sdtContent>
  </w:sdt>
  <w:p w:rsidR="00261180" w:rsidRPr="00DE4A1C" w:rsidRDefault="00261180" w:rsidP="00DE4A1C">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AC6" w:rsidRDefault="003E7AC6" w:rsidP="00F75562">
      <w:pPr>
        <w:spacing w:after="0" w:line="240" w:lineRule="auto"/>
      </w:pPr>
      <w:r>
        <w:separator/>
      </w:r>
    </w:p>
  </w:footnote>
  <w:footnote w:type="continuationSeparator" w:id="0">
    <w:p w:rsidR="003E7AC6" w:rsidRDefault="003E7AC6" w:rsidP="00F75562">
      <w:pPr>
        <w:spacing w:after="0" w:line="240" w:lineRule="auto"/>
      </w:pPr>
      <w:r>
        <w:continuationSeparator/>
      </w:r>
    </w:p>
  </w:footnote>
  <w:footnote w:id="1">
    <w:p w:rsidR="00261180" w:rsidRPr="004736E9" w:rsidRDefault="00261180" w:rsidP="006D4C81">
      <w:pPr>
        <w:pStyle w:val="FootnoteText"/>
        <w:rPr>
          <w:rFonts w:ascii="Times New Roman" w:hAnsi="Times New Roman" w:cs="Times New Roman"/>
        </w:rPr>
      </w:pPr>
      <w:r w:rsidRPr="004736E9">
        <w:rPr>
          <w:rStyle w:val="FootnoteReference"/>
          <w:rFonts w:ascii="Times New Roman" w:hAnsi="Times New Roman" w:cs="Times New Roman"/>
        </w:rPr>
        <w:footnoteRef/>
      </w:r>
      <w:r w:rsidRPr="004736E9">
        <w:rPr>
          <w:rFonts w:ascii="Times New Roman" w:hAnsi="Times New Roman" w:cs="Times New Roman"/>
        </w:rPr>
        <w:t xml:space="preserve"> “Estimation of the Market Equilibrium and Economically Optimal Reserve Margins for the ERCOT Region”, The Brattle Group and </w:t>
      </w:r>
      <w:proofErr w:type="spellStart"/>
      <w:r w:rsidRPr="004736E9">
        <w:rPr>
          <w:rFonts w:ascii="Times New Roman" w:hAnsi="Times New Roman" w:cs="Times New Roman"/>
        </w:rPr>
        <w:t>Astrape</w:t>
      </w:r>
      <w:proofErr w:type="spellEnd"/>
      <w:r w:rsidRPr="004736E9">
        <w:rPr>
          <w:rFonts w:ascii="Times New Roman" w:hAnsi="Times New Roman" w:cs="Times New Roman"/>
        </w:rPr>
        <w:t>, October 12</w:t>
      </w:r>
      <w:r w:rsidR="00AB40AF">
        <w:rPr>
          <w:rFonts w:ascii="Times New Roman" w:hAnsi="Times New Roman" w:cs="Times New Roman"/>
        </w:rPr>
        <w:t>,</w:t>
      </w:r>
      <w:r w:rsidRPr="004736E9">
        <w:rPr>
          <w:rFonts w:ascii="Times New Roman" w:hAnsi="Times New Roman" w:cs="Times New Roman"/>
        </w:rPr>
        <w:t xml:space="preserve"> 2018. Page 38. https://interchange.puc.texas.gov/Search/Documents?controlNumber=42302&amp;itemNumber=45</w:t>
      </w:r>
    </w:p>
  </w:footnote>
  <w:footnote w:id="2">
    <w:p w:rsidR="00261180" w:rsidRDefault="00261180">
      <w:pPr>
        <w:pStyle w:val="FootnoteText"/>
      </w:pPr>
      <w:r w:rsidRPr="0095655C">
        <w:rPr>
          <w:rStyle w:val="FootnoteReference"/>
          <w:rFonts w:ascii="Times New Roman" w:hAnsi="Times New Roman" w:cs="Times New Roman"/>
        </w:rPr>
        <w:footnoteRef/>
      </w:r>
      <w:r w:rsidRPr="0095655C">
        <w:rPr>
          <w:rFonts w:ascii="Times New Roman" w:hAnsi="Times New Roman" w:cs="Times New Roman"/>
        </w:rPr>
        <w:t xml:space="preserve"> </w:t>
      </w:r>
      <w:r w:rsidR="00C32FD5" w:rsidRPr="0095655C">
        <w:rPr>
          <w:rFonts w:ascii="Times New Roman" w:hAnsi="Times New Roman" w:cs="Times New Roman"/>
        </w:rPr>
        <w:t xml:space="preserve"> “Report on the Capacity, Demand, and Reserves (CDR) in the ERCOT Region, 2019-2028”, ERCOT, April 30, 2018. Page 8</w:t>
      </w:r>
      <w:r w:rsidRPr="0095655C">
        <w:rPr>
          <w:rFonts w:ascii="Times New Roman" w:hAnsi="Times New Roman" w:cs="Times New Roman"/>
        </w:rPr>
        <w:t>.</w:t>
      </w:r>
    </w:p>
  </w:footnote>
  <w:footnote w:id="3">
    <w:p w:rsidR="00261180" w:rsidRPr="004736E9" w:rsidRDefault="00261180">
      <w:pPr>
        <w:pStyle w:val="FootnoteText"/>
        <w:rPr>
          <w:rFonts w:ascii="Times New Roman" w:hAnsi="Times New Roman" w:cs="Times New Roman"/>
        </w:rPr>
      </w:pPr>
      <w:r w:rsidRPr="004736E9">
        <w:rPr>
          <w:rStyle w:val="FootnoteReference"/>
          <w:rFonts w:ascii="Times New Roman" w:hAnsi="Times New Roman" w:cs="Times New Roman"/>
        </w:rPr>
        <w:footnoteRef/>
      </w:r>
      <w:r w:rsidRPr="004736E9">
        <w:rPr>
          <w:rFonts w:ascii="Times New Roman" w:hAnsi="Times New Roman" w:cs="Times New Roman"/>
        </w:rPr>
        <w:t xml:space="preserve"> “Estimation of the Market Equilibrium and Economically Optimal Reserve Margins for the ERCOT Region”, The Brattle Group and </w:t>
      </w:r>
      <w:proofErr w:type="spellStart"/>
      <w:r w:rsidRPr="004736E9">
        <w:rPr>
          <w:rFonts w:ascii="Times New Roman" w:hAnsi="Times New Roman" w:cs="Times New Roman"/>
        </w:rPr>
        <w:t>Astrape</w:t>
      </w:r>
      <w:proofErr w:type="spellEnd"/>
      <w:r w:rsidRPr="004736E9">
        <w:rPr>
          <w:rFonts w:ascii="Times New Roman" w:hAnsi="Times New Roman" w:cs="Times New Roman"/>
        </w:rPr>
        <w:t>, October 12</w:t>
      </w:r>
      <w:r w:rsidR="00AB40AF">
        <w:rPr>
          <w:rFonts w:ascii="Times New Roman" w:hAnsi="Times New Roman" w:cs="Times New Roman"/>
        </w:rPr>
        <w:t>,</w:t>
      </w:r>
      <w:bookmarkStart w:id="1" w:name="_GoBack"/>
      <w:bookmarkEnd w:id="1"/>
      <w:r w:rsidRPr="004736E9">
        <w:rPr>
          <w:rFonts w:ascii="Times New Roman" w:hAnsi="Times New Roman" w:cs="Times New Roman"/>
        </w:rPr>
        <w:t xml:space="preserve"> 2018. Page 40, Table 6.</w:t>
      </w:r>
    </w:p>
  </w:footnote>
  <w:footnote w:id="4">
    <w:p w:rsidR="00261180" w:rsidRPr="007D4A0F" w:rsidRDefault="00261180" w:rsidP="00190776">
      <w:pPr>
        <w:pStyle w:val="FootnoteText"/>
        <w:rPr>
          <w:rFonts w:ascii="Times New Roman" w:hAnsi="Times New Roman" w:cs="Times New Roman"/>
        </w:rPr>
      </w:pPr>
      <w:r w:rsidRPr="007D4A0F">
        <w:rPr>
          <w:rStyle w:val="FootnoteReference"/>
          <w:rFonts w:ascii="Times New Roman" w:hAnsi="Times New Roman" w:cs="Times New Roman"/>
        </w:rPr>
        <w:footnoteRef/>
      </w:r>
      <w:bookmarkStart w:id="2" w:name="_Hlk527553315"/>
      <w:r w:rsidR="00213D64" w:rsidRPr="004A7CD7">
        <w:rPr>
          <w:rFonts w:ascii="Times New Roman" w:hAnsi="Times New Roman" w:cs="Times New Roman"/>
        </w:rPr>
        <w:t xml:space="preserve">See ERCOT’s </w:t>
      </w:r>
      <w:r w:rsidR="00213D64" w:rsidRPr="004A7CD7">
        <w:rPr>
          <w:rFonts w:ascii="Times New Roman" w:hAnsi="Times New Roman" w:cs="Times New Roman"/>
          <w:i/>
        </w:rPr>
        <w:t>Review of Summer 2018 (June – August)</w:t>
      </w:r>
      <w:r w:rsidR="00213D64" w:rsidRPr="004A7CD7">
        <w:rPr>
          <w:rFonts w:ascii="Times New Roman" w:hAnsi="Times New Roman" w:cs="Times New Roman"/>
        </w:rPr>
        <w:t xml:space="preserve"> filed in Project No. 48551 (September 24, 2018) at </w:t>
      </w:r>
      <w:r w:rsidR="00213D64">
        <w:rPr>
          <w:rFonts w:ascii="Times New Roman" w:hAnsi="Times New Roman" w:cs="Times New Roman"/>
        </w:rPr>
        <w:t>slide 12.</w:t>
      </w:r>
      <w:bookmarkEnd w:id="2"/>
    </w:p>
  </w:footnote>
  <w:footnote w:id="5">
    <w:p w:rsidR="00261180" w:rsidRPr="007D4A0F" w:rsidRDefault="00261180" w:rsidP="00190776">
      <w:pPr>
        <w:pStyle w:val="FootnoteText"/>
        <w:rPr>
          <w:rFonts w:ascii="Times New Roman" w:hAnsi="Times New Roman" w:cs="Times New Roman"/>
        </w:rPr>
      </w:pPr>
      <w:r w:rsidRPr="007D4A0F">
        <w:rPr>
          <w:rStyle w:val="FootnoteReference"/>
          <w:rFonts w:ascii="Times New Roman" w:hAnsi="Times New Roman" w:cs="Times New Roman"/>
        </w:rPr>
        <w:footnoteRef/>
      </w:r>
      <w:r w:rsidRPr="007D4A0F">
        <w:rPr>
          <w:rFonts w:ascii="Times New Roman" w:hAnsi="Times New Roman" w:cs="Times New Roman"/>
        </w:rPr>
        <w:t xml:space="preserve"> </w:t>
      </w:r>
      <w:r w:rsidR="00213D64" w:rsidRPr="004A7CD7">
        <w:rPr>
          <w:rFonts w:ascii="Times New Roman" w:hAnsi="Times New Roman" w:cs="Times New Roman"/>
        </w:rPr>
        <w:t xml:space="preserve">See ERCOT’s </w:t>
      </w:r>
      <w:r w:rsidR="00213D64" w:rsidRPr="004A7CD7">
        <w:rPr>
          <w:rFonts w:ascii="Times New Roman" w:hAnsi="Times New Roman" w:cs="Times New Roman"/>
          <w:i/>
        </w:rPr>
        <w:t>Review of Summer 2018 (June – August)</w:t>
      </w:r>
      <w:r w:rsidR="00213D64" w:rsidRPr="004A7CD7">
        <w:rPr>
          <w:rFonts w:ascii="Times New Roman" w:hAnsi="Times New Roman" w:cs="Times New Roman"/>
        </w:rPr>
        <w:t xml:space="preserve"> filed in Project No. 48551 (September 24, 2018) at </w:t>
      </w:r>
      <w:r w:rsidR="00213D64">
        <w:rPr>
          <w:rFonts w:ascii="Times New Roman" w:hAnsi="Times New Roman" w:cs="Times New Roman"/>
        </w:rPr>
        <w:t xml:space="preserve">slide 11. </w:t>
      </w:r>
      <w:hyperlink w:history="1"/>
    </w:p>
  </w:footnote>
  <w:footnote w:id="6">
    <w:p w:rsidR="00261180" w:rsidRPr="007D4A0F" w:rsidRDefault="00261180" w:rsidP="00190776">
      <w:pPr>
        <w:pStyle w:val="FootnoteText"/>
        <w:rPr>
          <w:rFonts w:ascii="Times New Roman" w:hAnsi="Times New Roman" w:cs="Times New Roman"/>
        </w:rPr>
      </w:pPr>
      <w:r w:rsidRPr="007D4A0F">
        <w:rPr>
          <w:rStyle w:val="FootnoteReference"/>
          <w:rFonts w:ascii="Times New Roman" w:hAnsi="Times New Roman" w:cs="Times New Roman"/>
        </w:rPr>
        <w:footnoteRef/>
      </w:r>
      <w:r w:rsidRPr="007D4A0F">
        <w:rPr>
          <w:rFonts w:ascii="Times New Roman" w:hAnsi="Times New Roman" w:cs="Times New Roman"/>
        </w:rPr>
        <w:t xml:space="preserve"> </w:t>
      </w:r>
      <w:r w:rsidR="00213D64" w:rsidRPr="004A7CD7">
        <w:rPr>
          <w:rFonts w:ascii="Times New Roman" w:hAnsi="Times New Roman" w:cs="Times New Roman"/>
        </w:rPr>
        <w:t xml:space="preserve">See ERCOT’s </w:t>
      </w:r>
      <w:r w:rsidR="00213D64" w:rsidRPr="004A7CD7">
        <w:rPr>
          <w:rFonts w:ascii="Times New Roman" w:hAnsi="Times New Roman" w:cs="Times New Roman"/>
          <w:i/>
        </w:rPr>
        <w:t>Review of Summer 2018 (June – August)</w:t>
      </w:r>
      <w:r w:rsidR="00213D64" w:rsidRPr="004A7CD7">
        <w:rPr>
          <w:rFonts w:ascii="Times New Roman" w:hAnsi="Times New Roman" w:cs="Times New Roman"/>
        </w:rPr>
        <w:t xml:space="preserve"> filed in Project No. 48551 (September 24, 2018) at </w:t>
      </w:r>
      <w:r w:rsidR="00213D64">
        <w:rPr>
          <w:rFonts w:ascii="Times New Roman" w:hAnsi="Times New Roman" w:cs="Times New Roman"/>
        </w:rPr>
        <w:t>slide 26.</w:t>
      </w:r>
    </w:p>
  </w:footnote>
  <w:footnote w:id="7">
    <w:p w:rsidR="00261180" w:rsidRDefault="00261180">
      <w:pPr>
        <w:pStyle w:val="FootnoteText"/>
      </w:pPr>
      <w:r w:rsidRPr="004736E9">
        <w:rPr>
          <w:rStyle w:val="FootnoteReference"/>
          <w:rFonts w:ascii="Times New Roman" w:hAnsi="Times New Roman" w:cs="Times New Roman"/>
        </w:rPr>
        <w:footnoteRef/>
      </w:r>
      <w:r w:rsidRPr="004736E9">
        <w:rPr>
          <w:rFonts w:ascii="Times New Roman" w:hAnsi="Times New Roman" w:cs="Times New Roman"/>
        </w:rPr>
        <w:t xml:space="preserve"> “Estimation of the Market Equilibrium and Economically Optimal Reserve Margins for the ERCOT Region”, The Brattle Group and </w:t>
      </w:r>
      <w:proofErr w:type="spellStart"/>
      <w:r w:rsidRPr="004736E9">
        <w:rPr>
          <w:rFonts w:ascii="Times New Roman" w:hAnsi="Times New Roman" w:cs="Times New Roman"/>
        </w:rPr>
        <w:t>Astrape</w:t>
      </w:r>
      <w:proofErr w:type="spellEnd"/>
      <w:r w:rsidRPr="004736E9">
        <w:rPr>
          <w:rFonts w:ascii="Times New Roman" w:hAnsi="Times New Roman" w:cs="Times New Roman"/>
        </w:rPr>
        <w:t>, October 12</w:t>
      </w:r>
      <w:r w:rsidR="0095655C">
        <w:rPr>
          <w:rFonts w:ascii="Times New Roman" w:hAnsi="Times New Roman" w:cs="Times New Roman"/>
        </w:rPr>
        <w:t>,</w:t>
      </w:r>
      <w:r w:rsidRPr="004736E9">
        <w:rPr>
          <w:rFonts w:ascii="Times New Roman" w:hAnsi="Times New Roman" w:cs="Times New Roman"/>
        </w:rPr>
        <w:t xml:space="preserve"> 2018. Page 38.</w:t>
      </w:r>
    </w:p>
  </w:footnote>
  <w:footnote w:id="8">
    <w:p w:rsidR="00261180" w:rsidRPr="007D4A0F" w:rsidRDefault="00261180" w:rsidP="00190776">
      <w:pPr>
        <w:pStyle w:val="FootnoteText"/>
        <w:rPr>
          <w:rFonts w:ascii="Times New Roman" w:hAnsi="Times New Roman" w:cs="Times New Roman"/>
        </w:rPr>
      </w:pPr>
      <w:r w:rsidRPr="007D4A0F">
        <w:rPr>
          <w:rStyle w:val="FootnoteReference"/>
          <w:rFonts w:ascii="Times New Roman" w:hAnsi="Times New Roman" w:cs="Times New Roman"/>
        </w:rPr>
        <w:footnoteRef/>
      </w:r>
      <w:r w:rsidRPr="007D4A0F">
        <w:rPr>
          <w:rFonts w:ascii="Times New Roman" w:hAnsi="Times New Roman" w:cs="Times New Roman"/>
        </w:rPr>
        <w:t xml:space="preserve"> ERCOT ORDC data for 7/19/18.</w:t>
      </w:r>
    </w:p>
  </w:footnote>
  <w:footnote w:id="9">
    <w:p w:rsidR="00261180" w:rsidRPr="007D4A0F" w:rsidRDefault="00261180" w:rsidP="00190776">
      <w:pPr>
        <w:pStyle w:val="FootnoteText"/>
        <w:rPr>
          <w:rFonts w:ascii="Times New Roman" w:hAnsi="Times New Roman" w:cs="Times New Roman"/>
        </w:rPr>
      </w:pPr>
      <w:r w:rsidRPr="007D4A0F">
        <w:rPr>
          <w:rStyle w:val="FootnoteReference"/>
          <w:rFonts w:ascii="Times New Roman" w:hAnsi="Times New Roman" w:cs="Times New Roman"/>
        </w:rPr>
        <w:footnoteRef/>
      </w:r>
      <w:r w:rsidRPr="007D4A0F">
        <w:rPr>
          <w:rFonts w:ascii="Times New Roman" w:hAnsi="Times New Roman" w:cs="Times New Roman"/>
        </w:rPr>
        <w:t xml:space="preserve"> ERCOT ORDC data for 7/19/18.</w:t>
      </w:r>
    </w:p>
  </w:footnote>
  <w:footnote w:id="10">
    <w:p w:rsidR="00261180" w:rsidRPr="007D4A0F" w:rsidRDefault="00261180" w:rsidP="00190776">
      <w:pPr>
        <w:pStyle w:val="FootnoteText"/>
        <w:rPr>
          <w:rFonts w:ascii="Times New Roman" w:hAnsi="Times New Roman" w:cs="Times New Roman"/>
        </w:rPr>
      </w:pPr>
      <w:r w:rsidRPr="007D4A0F">
        <w:rPr>
          <w:rStyle w:val="FootnoteReference"/>
          <w:rFonts w:ascii="Times New Roman" w:hAnsi="Times New Roman" w:cs="Times New Roman"/>
        </w:rPr>
        <w:footnoteRef/>
      </w:r>
      <w:r w:rsidRPr="007D4A0F">
        <w:rPr>
          <w:rFonts w:ascii="Times New Roman" w:hAnsi="Times New Roman" w:cs="Times New Roman"/>
        </w:rPr>
        <w:t xml:space="preserve"> </w:t>
      </w:r>
      <w:r w:rsidR="00213D64" w:rsidRPr="004A7CD7">
        <w:rPr>
          <w:rFonts w:ascii="Times New Roman" w:hAnsi="Times New Roman" w:cs="Times New Roman"/>
        </w:rPr>
        <w:t xml:space="preserve">See ERCOT’s </w:t>
      </w:r>
      <w:r w:rsidR="00213D64" w:rsidRPr="004A7CD7">
        <w:rPr>
          <w:rFonts w:ascii="Times New Roman" w:hAnsi="Times New Roman" w:cs="Times New Roman"/>
          <w:i/>
        </w:rPr>
        <w:t>Review of Summer 2018 (June – August)</w:t>
      </w:r>
      <w:r w:rsidR="00213D64" w:rsidRPr="004A7CD7">
        <w:rPr>
          <w:rFonts w:ascii="Times New Roman" w:hAnsi="Times New Roman" w:cs="Times New Roman"/>
        </w:rPr>
        <w:t xml:space="preserve"> filed in Project No. 48551 (September 24, 2018) at </w:t>
      </w:r>
      <w:r w:rsidR="00213D64">
        <w:rPr>
          <w:rFonts w:ascii="Times New Roman" w:hAnsi="Times New Roman" w:cs="Times New Roman"/>
        </w:rPr>
        <w:t>slide 23.</w:t>
      </w:r>
      <w:r w:rsidRPr="007D4A0F">
        <w:rPr>
          <w:rFonts w:ascii="Times New Roman" w:hAnsi="Times New Roman" w:cs="Times New Roman"/>
        </w:rPr>
        <w:t>2018 Hub Ave RTSPPs.</w:t>
      </w:r>
    </w:p>
  </w:footnote>
  <w:footnote w:id="11">
    <w:p w:rsidR="00261180" w:rsidRPr="007D4A0F" w:rsidRDefault="00261180" w:rsidP="00190776">
      <w:pPr>
        <w:pStyle w:val="FootnoteText"/>
        <w:rPr>
          <w:rFonts w:ascii="Times New Roman" w:hAnsi="Times New Roman" w:cs="Times New Roman"/>
        </w:rPr>
      </w:pPr>
      <w:r w:rsidRPr="007D4A0F">
        <w:rPr>
          <w:rStyle w:val="FootnoteReference"/>
          <w:rFonts w:ascii="Times New Roman" w:hAnsi="Times New Roman" w:cs="Times New Roman"/>
        </w:rPr>
        <w:footnoteRef/>
      </w:r>
      <w:r w:rsidRPr="007D4A0F">
        <w:rPr>
          <w:rFonts w:ascii="Times New Roman" w:hAnsi="Times New Roman" w:cs="Times New Roman"/>
        </w:rPr>
        <w:t xml:space="preserve"> </w:t>
      </w:r>
      <w:r w:rsidR="00213D64" w:rsidRPr="004A7CD7">
        <w:rPr>
          <w:rFonts w:ascii="Times New Roman" w:hAnsi="Times New Roman" w:cs="Times New Roman"/>
        </w:rPr>
        <w:t xml:space="preserve">See ERCOT’s </w:t>
      </w:r>
      <w:r w:rsidR="00213D64" w:rsidRPr="004A7CD7">
        <w:rPr>
          <w:rFonts w:ascii="Times New Roman" w:hAnsi="Times New Roman" w:cs="Times New Roman"/>
          <w:i/>
        </w:rPr>
        <w:t>Review of Summer 2018 (June – August)</w:t>
      </w:r>
      <w:r w:rsidR="00213D64" w:rsidRPr="004A7CD7">
        <w:rPr>
          <w:rFonts w:ascii="Times New Roman" w:hAnsi="Times New Roman" w:cs="Times New Roman"/>
        </w:rPr>
        <w:t xml:space="preserve"> filed in Project No. 48551 (September 24, 2018) at </w:t>
      </w:r>
      <w:r w:rsidR="00213D64">
        <w:rPr>
          <w:rFonts w:ascii="Times New Roman" w:hAnsi="Times New Roman" w:cs="Times New Roman"/>
        </w:rPr>
        <w:t>slide 25.</w:t>
      </w:r>
    </w:p>
  </w:footnote>
  <w:footnote w:id="12">
    <w:p w:rsidR="00261180" w:rsidRPr="007D4A0F" w:rsidRDefault="00261180" w:rsidP="00190776">
      <w:pPr>
        <w:pStyle w:val="FootnoteText"/>
        <w:rPr>
          <w:rFonts w:ascii="Times New Roman" w:hAnsi="Times New Roman" w:cs="Times New Roman"/>
        </w:rPr>
      </w:pPr>
      <w:r w:rsidRPr="007D4A0F">
        <w:rPr>
          <w:rStyle w:val="FootnoteReference"/>
          <w:rFonts w:ascii="Times New Roman" w:hAnsi="Times New Roman" w:cs="Times New Roman"/>
        </w:rPr>
        <w:footnoteRef/>
      </w:r>
      <w:r w:rsidRPr="007D4A0F">
        <w:rPr>
          <w:rFonts w:ascii="Times New Roman" w:hAnsi="Times New Roman" w:cs="Times New Roman"/>
        </w:rPr>
        <w:t xml:space="preserve"> Assumes $3 gas price, 7 heat rate, and $110,000/MW-</w:t>
      </w:r>
      <w:proofErr w:type="spellStart"/>
      <w:r w:rsidRPr="007D4A0F">
        <w:rPr>
          <w:rFonts w:ascii="Times New Roman" w:hAnsi="Times New Roman" w:cs="Times New Roman"/>
        </w:rPr>
        <w:t>Yr</w:t>
      </w:r>
      <w:proofErr w:type="spellEnd"/>
      <w:r w:rsidRPr="007D4A0F">
        <w:rPr>
          <w:rFonts w:ascii="Times New Roman" w:hAnsi="Times New Roman" w:cs="Times New Roman"/>
        </w:rPr>
        <w:t xml:space="preserve"> CCGT CONE</w:t>
      </w:r>
      <w:r w:rsidR="00676E78">
        <w:rPr>
          <w:rFonts w:ascii="Times New Roman" w:hAnsi="Times New Roman" w:cs="Times New Roman"/>
        </w:rPr>
        <w:t xml:space="preserve"> calculated over the summer months of June, July, and August</w:t>
      </w:r>
      <w:r w:rsidRPr="007D4A0F">
        <w:rPr>
          <w:rFonts w:ascii="Times New Roman" w:hAnsi="Times New Roman" w:cs="Times New Roman"/>
        </w:rPr>
        <w:t>.</w:t>
      </w:r>
    </w:p>
  </w:footnote>
  <w:footnote w:id="13">
    <w:p w:rsidR="00261180" w:rsidRPr="004736E9" w:rsidRDefault="00261180">
      <w:pPr>
        <w:pStyle w:val="FootnoteText"/>
        <w:rPr>
          <w:rFonts w:ascii="Times New Roman" w:hAnsi="Times New Roman" w:cs="Times New Roman"/>
          <w:highlight w:val="yellow"/>
        </w:rPr>
      </w:pPr>
      <w:r w:rsidRPr="0095655C">
        <w:rPr>
          <w:rStyle w:val="FootnoteReference"/>
          <w:rFonts w:ascii="Times New Roman" w:hAnsi="Times New Roman" w:cs="Times New Roman"/>
        </w:rPr>
        <w:footnoteRef/>
      </w:r>
      <w:r w:rsidRPr="0095655C">
        <w:rPr>
          <w:rFonts w:ascii="Times New Roman" w:hAnsi="Times New Roman" w:cs="Times New Roman"/>
        </w:rPr>
        <w:t xml:space="preserve"> </w:t>
      </w:r>
      <w:r w:rsidR="00213D64">
        <w:rPr>
          <w:rFonts w:ascii="Times New Roman" w:hAnsi="Times New Roman" w:cs="Times New Roman"/>
        </w:rPr>
        <w:t xml:space="preserve"> “</w:t>
      </w:r>
      <w:r w:rsidR="00213D64" w:rsidRPr="0095655C">
        <w:rPr>
          <w:rFonts w:ascii="Times New Roman" w:hAnsi="Times New Roman" w:cs="Times New Roman"/>
        </w:rPr>
        <w:t>Priorities for the Evolution of an Energy-Only Electricity Market Design in ERCOT”, William Hogan and Susan Pope, May 9, 2017. Page 39</w:t>
      </w:r>
      <w:r w:rsidRPr="0095655C">
        <w:rPr>
          <w:rFonts w:ascii="Times New Roman" w:hAnsi="Times New Roman" w:cs="Times New Roman"/>
        </w:rPr>
        <w:t>.</w:t>
      </w:r>
    </w:p>
  </w:footnote>
  <w:footnote w:id="14">
    <w:p w:rsidR="00261180" w:rsidRDefault="00261180">
      <w:pPr>
        <w:pStyle w:val="FootnoteText"/>
      </w:pPr>
      <w:r w:rsidRPr="0095655C">
        <w:rPr>
          <w:rStyle w:val="FootnoteReference"/>
          <w:rFonts w:ascii="Times New Roman" w:hAnsi="Times New Roman" w:cs="Times New Roman"/>
        </w:rPr>
        <w:footnoteRef/>
      </w:r>
      <w:r w:rsidRPr="0095655C">
        <w:rPr>
          <w:rFonts w:ascii="Times New Roman" w:hAnsi="Times New Roman" w:cs="Times New Roman"/>
        </w:rPr>
        <w:t xml:space="preserve"> </w:t>
      </w:r>
      <w:r w:rsidR="00213D64">
        <w:rPr>
          <w:rFonts w:ascii="Times New Roman" w:hAnsi="Times New Roman" w:cs="Times New Roman"/>
        </w:rPr>
        <w:t>“</w:t>
      </w:r>
      <w:r w:rsidR="00213D64" w:rsidRPr="00C118FD">
        <w:rPr>
          <w:rFonts w:ascii="Times New Roman" w:hAnsi="Times New Roman" w:cs="Times New Roman"/>
        </w:rPr>
        <w:t>Priorities for the Evolution of an Energy-Only Electricity Market Design in ERCOT”, William Hogan and Susan Pope, May 9, 2017. Page 39</w:t>
      </w:r>
      <w:r w:rsidR="00213D64">
        <w:rPr>
          <w:rFonts w:ascii="Times New Roman" w:hAnsi="Times New Roman" w:cs="Times New Roman"/>
        </w:rPr>
        <w:t>-40.</w:t>
      </w:r>
    </w:p>
  </w:footnote>
  <w:footnote w:id="15">
    <w:p w:rsidR="00261180" w:rsidRPr="007D4A0F" w:rsidRDefault="00261180" w:rsidP="00190776">
      <w:pPr>
        <w:pStyle w:val="FootnoteText"/>
        <w:rPr>
          <w:rFonts w:ascii="Times New Roman" w:hAnsi="Times New Roman" w:cs="Times New Roman"/>
        </w:rPr>
      </w:pPr>
      <w:r w:rsidRPr="007D4A0F">
        <w:rPr>
          <w:rStyle w:val="FootnoteReference"/>
          <w:rFonts w:ascii="Times New Roman" w:hAnsi="Times New Roman" w:cs="Times New Roman"/>
        </w:rPr>
        <w:footnoteRef/>
      </w:r>
      <w:r w:rsidRPr="007D4A0F">
        <w:rPr>
          <w:rFonts w:ascii="Times New Roman" w:hAnsi="Times New Roman" w:cs="Times New Roman"/>
        </w:rPr>
        <w:t xml:space="preserve"> “2017 State of the Market Report for the ERCOT Electricity Markets.” Page 19. ERCOT IMM. https://www.potomaceconomics.com/wp-content/uploads/2018/05/2017-State-of-the-Market-Report.pdf. </w:t>
      </w:r>
    </w:p>
  </w:footnote>
  <w:footnote w:id="16">
    <w:p w:rsidR="00261180" w:rsidRDefault="00261180" w:rsidP="00190776">
      <w:pPr>
        <w:pStyle w:val="FootnoteText"/>
      </w:pPr>
      <w:r>
        <w:rPr>
          <w:rStyle w:val="FootnoteReference"/>
        </w:rPr>
        <w:footnoteRef/>
      </w:r>
      <w:r>
        <w:t xml:space="preserve"> </w:t>
      </w:r>
      <w:r w:rsidRPr="004A7CD7">
        <w:rPr>
          <w:rFonts w:ascii="Times New Roman" w:hAnsi="Times New Roman" w:cs="Times New Roman"/>
        </w:rPr>
        <w:t xml:space="preserve">See ERCOT’s </w:t>
      </w:r>
      <w:r w:rsidRPr="004A7CD7">
        <w:rPr>
          <w:rFonts w:ascii="Times New Roman" w:hAnsi="Times New Roman" w:cs="Times New Roman"/>
          <w:i/>
        </w:rPr>
        <w:t>Review of Summer 2018 (June – August)</w:t>
      </w:r>
      <w:r w:rsidRPr="004A7CD7">
        <w:rPr>
          <w:rFonts w:ascii="Times New Roman" w:hAnsi="Times New Roman" w:cs="Times New Roman"/>
        </w:rPr>
        <w:t xml:space="preserve"> filed in Project No. 48551 (September 24, 2018) at </w:t>
      </w:r>
      <w:r>
        <w:rPr>
          <w:rFonts w:ascii="Times New Roman" w:hAnsi="Times New Roman" w:cs="Times New Roman"/>
        </w:rPr>
        <w:t>slide 26.</w:t>
      </w:r>
    </w:p>
  </w:footnote>
  <w:footnote w:id="17">
    <w:p w:rsidR="00261180" w:rsidRPr="00641909" w:rsidRDefault="00261180" w:rsidP="00190776">
      <w:pPr>
        <w:pStyle w:val="FootnoteText"/>
        <w:rPr>
          <w:rFonts w:ascii="Times New Roman" w:hAnsi="Times New Roman" w:cs="Times New Roman"/>
          <w:i/>
        </w:rPr>
      </w:pPr>
      <w:r>
        <w:rPr>
          <w:rStyle w:val="FootnoteReference"/>
        </w:rPr>
        <w:footnoteRef/>
      </w:r>
      <w:r>
        <w:t xml:space="preserve"> </w:t>
      </w:r>
      <w:r w:rsidRPr="0095655C">
        <w:rPr>
          <w:rFonts w:ascii="Times New Roman" w:hAnsi="Times New Roman" w:cs="Times New Roman"/>
          <w:i/>
        </w:rPr>
        <w:t>Id</w:t>
      </w:r>
      <w:r>
        <w:rPr>
          <w:i/>
        </w:rPr>
        <w:t>.</w:t>
      </w:r>
    </w:p>
  </w:footnote>
  <w:footnote w:id="18">
    <w:p w:rsidR="00261180" w:rsidRPr="0095655C" w:rsidRDefault="00261180">
      <w:pPr>
        <w:pStyle w:val="FootnoteText"/>
        <w:rPr>
          <w:rFonts w:ascii="Times New Roman" w:hAnsi="Times New Roman" w:cs="Times New Roman"/>
        </w:rPr>
      </w:pPr>
      <w:r w:rsidRPr="0095655C">
        <w:rPr>
          <w:rStyle w:val="FootnoteReference"/>
          <w:rFonts w:ascii="Times New Roman" w:hAnsi="Times New Roman" w:cs="Times New Roman"/>
        </w:rPr>
        <w:footnoteRef/>
      </w:r>
      <w:r w:rsidRPr="0095655C">
        <w:rPr>
          <w:rFonts w:ascii="Times New Roman" w:hAnsi="Times New Roman" w:cs="Times New Roman"/>
        </w:rPr>
        <w:t xml:space="preserve"> </w:t>
      </w:r>
      <w:r w:rsidR="00213D64" w:rsidRPr="0095655C">
        <w:rPr>
          <w:rFonts w:ascii="Times New Roman" w:hAnsi="Times New Roman" w:cs="Times New Roman"/>
        </w:rPr>
        <w:t xml:space="preserve"> “Report on Capacity, Demand and Reserves (CDR) in the ERCOT Region, 2018-2027</w:t>
      </w:r>
      <w:r w:rsidR="00FA6FD7" w:rsidRPr="0095655C">
        <w:rPr>
          <w:rFonts w:ascii="Times New Roman" w:hAnsi="Times New Roman" w:cs="Times New Roman"/>
        </w:rPr>
        <w:t>”, ERCOT, December 18, 2017. Page 9.</w:t>
      </w:r>
    </w:p>
  </w:footnote>
  <w:footnote w:id="19">
    <w:p w:rsidR="00261180" w:rsidRPr="00046768" w:rsidRDefault="00261180" w:rsidP="0095655C">
      <w:pPr>
        <w:autoSpaceDE w:val="0"/>
        <w:autoSpaceDN w:val="0"/>
        <w:adjustRightInd w:val="0"/>
        <w:spacing w:after="0"/>
        <w:jc w:val="both"/>
        <w:rPr>
          <w:rFonts w:ascii="Times New Roman" w:hAnsi="Times New Roman" w:cs="Times New Roman"/>
          <w:sz w:val="20"/>
          <w:szCs w:val="20"/>
        </w:rPr>
      </w:pPr>
      <w:r w:rsidRPr="00046768">
        <w:rPr>
          <w:rStyle w:val="FootnoteReference"/>
          <w:rFonts w:ascii="Times New Roman" w:hAnsi="Times New Roman" w:cs="Times New Roman"/>
          <w:sz w:val="20"/>
          <w:szCs w:val="20"/>
        </w:rPr>
        <w:footnoteRef/>
      </w:r>
      <w:r w:rsidRPr="00046768">
        <w:rPr>
          <w:rFonts w:ascii="Times New Roman" w:hAnsi="Times New Roman" w:cs="Times New Roman"/>
          <w:sz w:val="20"/>
          <w:szCs w:val="20"/>
        </w:rPr>
        <w:t xml:space="preserve"> Based on Dec 2017 Capacity Demand and Reserve Report, </w:t>
      </w:r>
      <w:hyperlink r:id="rId1" w:history="1">
        <w:r w:rsidRPr="00046768">
          <w:rPr>
            <w:rStyle w:val="Hyperlink"/>
            <w:rFonts w:ascii="Times New Roman" w:hAnsi="Times New Roman" w:cs="Times New Roman"/>
            <w:sz w:val="20"/>
            <w:szCs w:val="20"/>
          </w:rPr>
          <w:t>CDR Summer Peak Average Solar Capacity Percentages report from November 2017</w:t>
        </w:r>
      </w:hyperlink>
      <w:r w:rsidRPr="00046768">
        <w:rPr>
          <w:rFonts w:ascii="Times New Roman" w:hAnsi="Times New Roman" w:cs="Times New Roman"/>
          <w:sz w:val="20"/>
          <w:szCs w:val="20"/>
        </w:rPr>
        <w:t xml:space="preserve"> , and </w:t>
      </w:r>
      <w:hyperlink r:id="rId2" w:history="1">
        <w:r w:rsidRPr="00046768">
          <w:rPr>
            <w:rStyle w:val="Hyperlink"/>
            <w:rFonts w:ascii="Times New Roman" w:hAnsi="Times New Roman" w:cs="Times New Roman"/>
            <w:sz w:val="20"/>
            <w:szCs w:val="20"/>
          </w:rPr>
          <w:t>CDR Summer Peak Average Wind Capacity Percentages report from November 2017</w:t>
        </w:r>
      </w:hyperlink>
      <w:r w:rsidR="00FA6FD7">
        <w:rPr>
          <w:rStyle w:val="Hyperlink"/>
          <w:rFonts w:ascii="Times New Roman" w:hAnsi="Times New Roman" w:cs="Times New Roman"/>
          <w:sz w:val="20"/>
          <w:szCs w:val="20"/>
        </w:rPr>
        <w:t>.</w:t>
      </w:r>
    </w:p>
  </w:footnote>
  <w:footnote w:id="20">
    <w:p w:rsidR="00261180" w:rsidRPr="001578F3" w:rsidRDefault="00261180">
      <w:pPr>
        <w:pStyle w:val="FootnoteText"/>
        <w:rPr>
          <w:rFonts w:ascii="Times New Roman" w:hAnsi="Times New Roman" w:cs="Times New Roman"/>
        </w:rPr>
      </w:pPr>
      <w:r w:rsidRPr="001578F3">
        <w:rPr>
          <w:rStyle w:val="FootnoteReference"/>
          <w:rFonts w:ascii="Times New Roman" w:hAnsi="Times New Roman" w:cs="Times New Roman"/>
        </w:rPr>
        <w:footnoteRef/>
      </w:r>
      <w:r w:rsidRPr="001578F3">
        <w:rPr>
          <w:rFonts w:ascii="Times New Roman" w:hAnsi="Times New Roman" w:cs="Times New Roman"/>
        </w:rPr>
        <w:t xml:space="preserve"> Based on 2009 through 2017 CDR Summer Peak Average Wind Capacity Percentages and CDR Summer Peak Average Solar Percentages reports from ERCOT, generally available via </w:t>
      </w:r>
      <w:hyperlink r:id="rId3" w:history="1">
        <w:r w:rsidRPr="001578F3">
          <w:rPr>
            <w:rStyle w:val="Hyperlink"/>
            <w:rFonts w:ascii="Times New Roman" w:hAnsi="Times New Roman" w:cs="Times New Roman"/>
          </w:rPr>
          <w:t>http://www.ercot.com/gridinfo/resource</w:t>
        </w:r>
      </w:hyperlink>
      <w:r w:rsidRPr="001578F3">
        <w:rPr>
          <w:rFonts w:ascii="Times New Roman" w:hAnsi="Times New Roman" w:cs="Times New Roman"/>
        </w:rPr>
        <w:t xml:space="preserve">. </w:t>
      </w:r>
    </w:p>
  </w:footnote>
  <w:footnote w:id="21">
    <w:p w:rsidR="00261180" w:rsidRPr="00302BAE" w:rsidRDefault="00261180" w:rsidP="00D444EE">
      <w:pPr>
        <w:pStyle w:val="FootnoteText"/>
        <w:rPr>
          <w:rFonts w:ascii="Times New Roman" w:hAnsi="Times New Roman" w:cs="Times New Roman"/>
        </w:rPr>
      </w:pPr>
      <w:r w:rsidRPr="00302BAE">
        <w:rPr>
          <w:rStyle w:val="FootnoteReference"/>
          <w:rFonts w:ascii="Times New Roman" w:hAnsi="Times New Roman" w:cs="Times New Roman"/>
        </w:rPr>
        <w:footnoteRef/>
      </w:r>
      <w:r w:rsidR="00FA6FD7">
        <w:rPr>
          <w:rFonts w:ascii="Times New Roman" w:hAnsi="Times New Roman" w:cs="Times New Roman"/>
        </w:rPr>
        <w:t xml:space="preserve"> See</w:t>
      </w:r>
      <w:r w:rsidRPr="00302BAE">
        <w:rPr>
          <w:rFonts w:ascii="Times New Roman" w:hAnsi="Times New Roman" w:cs="Times New Roman"/>
        </w:rPr>
        <w:t xml:space="preserve"> “Estimation of the Market Equilibrium and Economically Optimal Reserve Margins for the ERCOT Region”, The Brattle Group and </w:t>
      </w:r>
      <w:proofErr w:type="spellStart"/>
      <w:r w:rsidRPr="00302BAE">
        <w:rPr>
          <w:rFonts w:ascii="Times New Roman" w:hAnsi="Times New Roman" w:cs="Times New Roman"/>
        </w:rPr>
        <w:t>Astrape</w:t>
      </w:r>
      <w:proofErr w:type="spellEnd"/>
      <w:r w:rsidRPr="00302BAE">
        <w:rPr>
          <w:rFonts w:ascii="Times New Roman" w:hAnsi="Times New Roman" w:cs="Times New Roman"/>
        </w:rPr>
        <w:t>, October 12</w:t>
      </w:r>
      <w:r w:rsidR="0095655C">
        <w:rPr>
          <w:rFonts w:ascii="Times New Roman" w:hAnsi="Times New Roman" w:cs="Times New Roman"/>
        </w:rPr>
        <w:t>,</w:t>
      </w:r>
      <w:r w:rsidRPr="00302BAE">
        <w:rPr>
          <w:rFonts w:ascii="Times New Roman" w:hAnsi="Times New Roman" w:cs="Times New Roman"/>
        </w:rPr>
        <w:t xml:space="preserve"> 2018</w:t>
      </w:r>
      <w:r w:rsidR="00FA6FD7">
        <w:rPr>
          <w:rFonts w:ascii="Times New Roman" w:hAnsi="Times New Roman" w:cs="Times New Roman"/>
        </w:rPr>
        <w:t xml:space="preserve"> filed in PUC Project 42302at</w:t>
      </w:r>
      <w:r w:rsidRPr="00302BAE">
        <w:rPr>
          <w:rFonts w:ascii="Times New Roman" w:hAnsi="Times New Roman" w:cs="Times New Roman"/>
        </w:rPr>
        <w:t xml:space="preserve"> </w:t>
      </w:r>
      <w:r>
        <w:rPr>
          <w:rFonts w:ascii="Times New Roman" w:hAnsi="Times New Roman" w:cs="Times New Roman"/>
        </w:rPr>
        <w:t>Page 10</w:t>
      </w:r>
      <w:r w:rsidRPr="00302BAE">
        <w:rPr>
          <w:rFonts w:ascii="Times New Roman" w:hAnsi="Times New Roman" w:cs="Times New Roman"/>
        </w:rPr>
        <w:t xml:space="preserve">. </w:t>
      </w:r>
    </w:p>
  </w:footnote>
  <w:footnote w:id="22">
    <w:p w:rsidR="00261180" w:rsidRPr="00046768" w:rsidRDefault="00261180" w:rsidP="0095655C">
      <w:pPr>
        <w:pStyle w:val="FootnoteText"/>
        <w:rPr>
          <w:rFonts w:ascii="Times New Roman" w:hAnsi="Times New Roman" w:cs="Times New Roman"/>
        </w:rPr>
      </w:pPr>
      <w:r w:rsidRPr="00046768">
        <w:rPr>
          <w:rStyle w:val="FootnoteReference"/>
          <w:rFonts w:ascii="Times New Roman" w:hAnsi="Times New Roman" w:cs="Times New Roman"/>
        </w:rPr>
        <w:footnoteRef/>
      </w:r>
      <w:r w:rsidRPr="00046768">
        <w:rPr>
          <w:rFonts w:ascii="Times New Roman" w:hAnsi="Times New Roman" w:cs="Times New Roman"/>
        </w:rPr>
        <w:t xml:space="preserve"> </w:t>
      </w:r>
      <w:r w:rsidR="00FA6FD7" w:rsidRPr="004A7CD7">
        <w:rPr>
          <w:rFonts w:ascii="Times New Roman" w:hAnsi="Times New Roman" w:cs="Times New Roman"/>
        </w:rPr>
        <w:t xml:space="preserve">See ERCOT’s </w:t>
      </w:r>
      <w:r w:rsidR="00FA6FD7" w:rsidRPr="004A7CD7">
        <w:rPr>
          <w:rFonts w:ascii="Times New Roman" w:hAnsi="Times New Roman" w:cs="Times New Roman"/>
          <w:i/>
        </w:rPr>
        <w:t>Review of Summer 2018 (June – August)</w:t>
      </w:r>
      <w:r w:rsidR="00FA6FD7" w:rsidRPr="004A7CD7">
        <w:rPr>
          <w:rFonts w:ascii="Times New Roman" w:hAnsi="Times New Roman" w:cs="Times New Roman"/>
        </w:rPr>
        <w:t xml:space="preserve"> filed in Project No. 48551 (September 24, 2018) at </w:t>
      </w:r>
      <w:r w:rsidR="00FA6FD7">
        <w:rPr>
          <w:rFonts w:ascii="Times New Roman" w:hAnsi="Times New Roman" w:cs="Times New Roman"/>
        </w:rPr>
        <w:t>slide 14.</w:t>
      </w:r>
      <w:r w:rsidR="00FA6FD7" w:rsidRPr="00046768" w:rsidDel="00FA6FD7">
        <w:rPr>
          <w:rFonts w:ascii="Times New Roman" w:hAnsi="Times New Roman" w:cs="Times New Roman"/>
        </w:rPr>
        <w:t xml:space="preserve"> </w:t>
      </w:r>
    </w:p>
  </w:footnote>
  <w:footnote w:id="23">
    <w:p w:rsidR="00261180" w:rsidRPr="0095655C" w:rsidRDefault="00261180" w:rsidP="00783E5C">
      <w:pPr>
        <w:autoSpaceDE w:val="0"/>
        <w:autoSpaceDN w:val="0"/>
        <w:adjustRightInd w:val="0"/>
        <w:spacing w:after="0" w:line="240" w:lineRule="auto"/>
        <w:rPr>
          <w:rFonts w:ascii="Times New Roman" w:hAnsi="Times New Roman" w:cs="Times New Roman"/>
          <w:sz w:val="20"/>
          <w:szCs w:val="20"/>
        </w:rPr>
      </w:pPr>
      <w:r w:rsidRPr="0095655C">
        <w:rPr>
          <w:rStyle w:val="FootnoteReference"/>
          <w:rFonts w:ascii="Times New Roman" w:hAnsi="Times New Roman" w:cs="Times New Roman"/>
          <w:sz w:val="20"/>
          <w:szCs w:val="20"/>
        </w:rPr>
        <w:footnoteRef/>
      </w:r>
      <w:r w:rsidRPr="0095655C">
        <w:rPr>
          <w:rFonts w:ascii="Times New Roman" w:hAnsi="Times New Roman" w:cs="Times New Roman"/>
          <w:sz w:val="20"/>
          <w:szCs w:val="20"/>
        </w:rPr>
        <w:t xml:space="preserve"> </w:t>
      </w:r>
      <w:r w:rsidR="00911E21" w:rsidRPr="0095655C">
        <w:rPr>
          <w:rFonts w:ascii="Times New Roman" w:hAnsi="Times New Roman" w:cs="Times New Roman"/>
          <w:sz w:val="20"/>
          <w:szCs w:val="20"/>
        </w:rPr>
        <w:t xml:space="preserve">Generation Interconnection Status Report September 2018, ERCOT. </w:t>
      </w:r>
      <w:hyperlink r:id="rId4" w:history="1">
        <w:r w:rsidR="00783E5C" w:rsidRPr="005E7290">
          <w:rPr>
            <w:rStyle w:val="Hyperlink"/>
            <w:rFonts w:ascii="Times New Roman" w:hAnsi="Times New Roman" w:cs="Times New Roman"/>
            <w:sz w:val="20"/>
            <w:szCs w:val="20"/>
          </w:rPr>
          <w:t>http://www.ercot.com/content/wcm/lists/143978/GIS_Report__September_2018.xlsx</w:t>
        </w:r>
      </w:hyperlink>
      <w:r w:rsidR="00783E5C">
        <w:rPr>
          <w:rFonts w:ascii="Times New Roman" w:hAnsi="Times New Roman" w:cs="Times New Roman"/>
          <w:sz w:val="20"/>
          <w:szCs w:val="20"/>
        </w:rPr>
        <w:t xml:space="preserve"> </w:t>
      </w:r>
    </w:p>
  </w:footnote>
  <w:footnote w:id="24">
    <w:p w:rsidR="00261180" w:rsidRPr="00D444EE" w:rsidRDefault="00261180" w:rsidP="00FA6FD7">
      <w:pPr>
        <w:pStyle w:val="Default"/>
      </w:pPr>
      <w:r w:rsidRPr="0095655C">
        <w:rPr>
          <w:rStyle w:val="FootnoteReference"/>
          <w:rFonts w:ascii="Times New Roman" w:hAnsi="Times New Roman" w:cs="Times New Roman"/>
          <w:sz w:val="20"/>
          <w:szCs w:val="20"/>
        </w:rPr>
        <w:footnoteRef/>
      </w:r>
      <w:r w:rsidRPr="0095655C">
        <w:rPr>
          <w:rFonts w:ascii="Times New Roman" w:hAnsi="Times New Roman" w:cs="Times New Roman"/>
          <w:sz w:val="20"/>
          <w:szCs w:val="20"/>
        </w:rPr>
        <w:t xml:space="preserve"> </w:t>
      </w:r>
      <w:r>
        <w:rPr>
          <w:rFonts w:ascii="Times New Roman" w:hAnsi="Times New Roman" w:cs="Times New Roman"/>
          <w:sz w:val="20"/>
          <w:szCs w:val="20"/>
        </w:rPr>
        <w:t>Based on August 8</w:t>
      </w:r>
      <w:r w:rsidRPr="00D444EE">
        <w:rPr>
          <w:rFonts w:ascii="Times New Roman" w:hAnsi="Times New Roman" w:cs="Times New Roman"/>
          <w:sz w:val="20"/>
          <w:szCs w:val="20"/>
          <w:vertAlign w:val="superscript"/>
        </w:rPr>
        <w:t>th</w:t>
      </w:r>
      <w:r>
        <w:rPr>
          <w:rFonts w:ascii="Times New Roman" w:hAnsi="Times New Roman" w:cs="Times New Roman"/>
          <w:sz w:val="20"/>
          <w:szCs w:val="20"/>
        </w:rPr>
        <w:t xml:space="preserve">, 2017, ERCOT board slides for </w:t>
      </w:r>
      <w:r w:rsidRPr="00D444EE">
        <w:rPr>
          <w:rFonts w:ascii="Times New Roman" w:hAnsi="Times New Roman" w:cs="Times New Roman"/>
          <w:sz w:val="20"/>
          <w:szCs w:val="20"/>
        </w:rPr>
        <w:t xml:space="preserve">Item 4.5.2: Grid Impacts of Natural Gas Price </w:t>
      </w:r>
    </w:p>
    <w:p w:rsidR="00261180" w:rsidRDefault="00261180" w:rsidP="00337FAE">
      <w:pPr>
        <w:pStyle w:val="FootnoteText"/>
        <w:rPr>
          <w:rFonts w:ascii="Times New Roman" w:hAnsi="Times New Roman"/>
        </w:rPr>
      </w:pPr>
    </w:p>
  </w:footnote>
  <w:footnote w:id="25">
    <w:p w:rsidR="00261180" w:rsidRPr="00573A0C" w:rsidRDefault="00261180" w:rsidP="00190776">
      <w:pPr>
        <w:pStyle w:val="FootnoteText"/>
        <w:rPr>
          <w:rFonts w:ascii="Times New Roman" w:hAnsi="Times New Roman" w:cs="Times New Roman"/>
        </w:rPr>
      </w:pPr>
      <w:r w:rsidRPr="00573A0C">
        <w:rPr>
          <w:rStyle w:val="FootnoteReference"/>
          <w:rFonts w:ascii="Times New Roman" w:hAnsi="Times New Roman" w:cs="Times New Roman"/>
        </w:rPr>
        <w:footnoteRef/>
      </w:r>
      <w:r w:rsidRPr="00573A0C">
        <w:rPr>
          <w:rFonts w:ascii="Times New Roman" w:hAnsi="Times New Roman" w:cs="Times New Roman"/>
        </w:rPr>
        <w:t xml:space="preserve"> </w:t>
      </w:r>
      <w:r w:rsidR="00911E21">
        <w:rPr>
          <w:rFonts w:ascii="Times New Roman" w:hAnsi="Times New Roman" w:cs="Times New Roman"/>
        </w:rPr>
        <w:t xml:space="preserve">See TCPA Reply to Request for Comments in Response to Question 1 filed in Project 48551 (September 14, 2018). </w:t>
      </w:r>
      <w:hyperlink w:history="1"/>
    </w:p>
  </w:footnote>
  <w:footnote w:id="26">
    <w:p w:rsidR="00261180" w:rsidRPr="00573A0C" w:rsidRDefault="00261180" w:rsidP="00190776">
      <w:pPr>
        <w:pStyle w:val="FootnoteText"/>
        <w:rPr>
          <w:rFonts w:ascii="Times New Roman" w:hAnsi="Times New Roman" w:cs="Times New Roman"/>
        </w:rPr>
      </w:pPr>
      <w:r w:rsidRPr="00573A0C">
        <w:rPr>
          <w:rStyle w:val="FootnoteReference"/>
          <w:rFonts w:ascii="Times New Roman" w:hAnsi="Times New Roman" w:cs="Times New Roman"/>
        </w:rPr>
        <w:footnoteRef/>
      </w:r>
      <w:r w:rsidRPr="00573A0C">
        <w:rPr>
          <w:rFonts w:ascii="Times New Roman" w:hAnsi="Times New Roman" w:cs="Times New Roman"/>
        </w:rPr>
        <w:t xml:space="preserve"> </w:t>
      </w:r>
      <w:bookmarkStart w:id="3" w:name="_Hlk526962765"/>
      <w:r w:rsidRPr="004A7CD7">
        <w:rPr>
          <w:rFonts w:ascii="Times New Roman" w:hAnsi="Times New Roman" w:cs="Times New Roman"/>
        </w:rPr>
        <w:t xml:space="preserve">See ERCOT’s </w:t>
      </w:r>
      <w:r w:rsidRPr="004A7CD7">
        <w:rPr>
          <w:rFonts w:ascii="Times New Roman" w:hAnsi="Times New Roman" w:cs="Times New Roman"/>
          <w:i/>
        </w:rPr>
        <w:t>Review of Summer 2018 (June – August)</w:t>
      </w:r>
      <w:r w:rsidRPr="004A7CD7">
        <w:rPr>
          <w:rFonts w:ascii="Times New Roman" w:hAnsi="Times New Roman" w:cs="Times New Roman"/>
        </w:rPr>
        <w:t xml:space="preserve"> filed in Project No. 48551 (September 24, 2018) at </w:t>
      </w:r>
      <w:r>
        <w:rPr>
          <w:rFonts w:ascii="Times New Roman" w:hAnsi="Times New Roman" w:cs="Times New Roman"/>
        </w:rPr>
        <w:t>slides 31-32</w:t>
      </w:r>
      <w:r w:rsidRPr="004A7CD7">
        <w:rPr>
          <w:rFonts w:ascii="Times New Roman" w:hAnsi="Times New Roman" w:cs="Times New Roman"/>
        </w:rPr>
        <w:t>.</w:t>
      </w:r>
      <w:bookmarkEnd w:id="3"/>
    </w:p>
  </w:footnote>
  <w:footnote w:id="27">
    <w:p w:rsidR="00261180" w:rsidRPr="004A7CD7" w:rsidRDefault="00261180" w:rsidP="00190776">
      <w:pPr>
        <w:pStyle w:val="FootnoteText"/>
        <w:rPr>
          <w:rFonts w:ascii="Times New Roman" w:hAnsi="Times New Roman" w:cs="Times New Roman"/>
        </w:rPr>
      </w:pPr>
      <w:r w:rsidRPr="004A7CD7">
        <w:rPr>
          <w:rStyle w:val="FootnoteReference"/>
          <w:rFonts w:ascii="Times New Roman" w:hAnsi="Times New Roman" w:cs="Times New Roman"/>
        </w:rPr>
        <w:footnoteRef/>
      </w:r>
      <w:r w:rsidRPr="004A7CD7">
        <w:rPr>
          <w:rFonts w:ascii="Times New Roman" w:hAnsi="Times New Roman" w:cs="Times New Roman"/>
        </w:rPr>
        <w:t xml:space="preserve"> For example, the ERCOT report on the 2017 4CP peak load was published on November 30, 2017 in PUCT Docket No. 47777.</w:t>
      </w:r>
    </w:p>
  </w:footnote>
  <w:footnote w:id="28">
    <w:p w:rsidR="00261180" w:rsidRPr="004A7CD7" w:rsidRDefault="00261180" w:rsidP="00190776">
      <w:pPr>
        <w:pStyle w:val="FootnoteText"/>
        <w:rPr>
          <w:rFonts w:ascii="Times New Roman" w:hAnsi="Times New Roman" w:cs="Times New Roman"/>
        </w:rPr>
      </w:pPr>
      <w:r w:rsidRPr="004A7CD7">
        <w:rPr>
          <w:rStyle w:val="FootnoteReference"/>
          <w:rFonts w:ascii="Times New Roman" w:hAnsi="Times New Roman" w:cs="Times New Roman"/>
        </w:rPr>
        <w:footnoteRef/>
      </w:r>
      <w:r w:rsidRPr="004A7CD7">
        <w:rPr>
          <w:rFonts w:ascii="Times New Roman" w:hAnsi="Times New Roman" w:cs="Times New Roman"/>
        </w:rPr>
        <w:t xml:space="preserve"> For example, the initial presentation to stakeholders of ERCOT’s 2017 4CP, demand response, and price-responsive load estimates was at the April 20, 2018 Demand Side Working Group meeting. The analysis was presented to the Wholesale Market Subcommittee on June 6, 2018.</w:t>
      </w:r>
    </w:p>
  </w:footnote>
  <w:footnote w:id="29">
    <w:p w:rsidR="00261180" w:rsidRPr="004A7CD7" w:rsidRDefault="00261180" w:rsidP="00190776">
      <w:pPr>
        <w:pStyle w:val="FootnoteText"/>
        <w:rPr>
          <w:rFonts w:ascii="Times New Roman" w:hAnsi="Times New Roman" w:cs="Times New Roman"/>
        </w:rPr>
      </w:pPr>
      <w:r w:rsidRPr="004A7CD7">
        <w:rPr>
          <w:rStyle w:val="FootnoteReference"/>
          <w:rFonts w:ascii="Times New Roman" w:hAnsi="Times New Roman" w:cs="Times New Roman"/>
        </w:rPr>
        <w:footnoteRef/>
      </w:r>
      <w:r w:rsidRPr="004A7CD7">
        <w:rPr>
          <w:rFonts w:ascii="Times New Roman" w:hAnsi="Times New Roman" w:cs="Times New Roman"/>
        </w:rPr>
        <w:t xml:space="preserve"> See ERCOT’s </w:t>
      </w:r>
      <w:r w:rsidRPr="004A7CD7">
        <w:rPr>
          <w:rFonts w:ascii="Times New Roman" w:hAnsi="Times New Roman" w:cs="Times New Roman"/>
          <w:i/>
        </w:rPr>
        <w:t>Review of Summer 2018 (June – August)</w:t>
      </w:r>
      <w:r w:rsidRPr="004A7CD7">
        <w:rPr>
          <w:rFonts w:ascii="Times New Roman" w:hAnsi="Times New Roman" w:cs="Times New Roman"/>
        </w:rPr>
        <w:t xml:space="preserve"> filed in Project No. 48551 (September 24, 2018) at </w:t>
      </w:r>
      <w:r w:rsidR="00911E21">
        <w:rPr>
          <w:rFonts w:ascii="Times New Roman" w:hAnsi="Times New Roman" w:cs="Times New Roman"/>
        </w:rPr>
        <w:t xml:space="preserve">slide </w:t>
      </w:r>
      <w:r w:rsidRPr="004A7CD7">
        <w:rPr>
          <w:rFonts w:ascii="Times New Roman" w:hAnsi="Times New Roman" w:cs="Times New Roman"/>
        </w:rPr>
        <w:t>20.</w:t>
      </w:r>
    </w:p>
  </w:footnote>
  <w:footnote w:id="30">
    <w:p w:rsidR="00261180" w:rsidRPr="004A7CD7" w:rsidRDefault="00261180" w:rsidP="00190776">
      <w:pPr>
        <w:pStyle w:val="FootnoteText"/>
        <w:rPr>
          <w:rFonts w:ascii="Times New Roman" w:hAnsi="Times New Roman" w:cs="Times New Roman"/>
        </w:rPr>
      </w:pPr>
      <w:r w:rsidRPr="004A7CD7">
        <w:rPr>
          <w:rStyle w:val="FootnoteReference"/>
          <w:rFonts w:ascii="Times New Roman" w:hAnsi="Times New Roman" w:cs="Times New Roman"/>
        </w:rPr>
        <w:footnoteRef/>
      </w:r>
      <w:r w:rsidRPr="004A7CD7">
        <w:rPr>
          <w:rFonts w:ascii="Times New Roman" w:hAnsi="Times New Roman" w:cs="Times New Roman"/>
        </w:rPr>
        <w:t xml:space="preserve"> “4CP loads” refers to loads that have a direct incentive to reduce their 4CP load due to transmission cost allocation policies. While transmission costs are technically assigned to all distribution service providers (DSPs) based on their 4CP loads, the competitive-area DSPs </w:t>
      </w:r>
      <w:proofErr w:type="gramStart"/>
      <w:r w:rsidRPr="004A7CD7">
        <w:rPr>
          <w:rFonts w:ascii="Times New Roman" w:hAnsi="Times New Roman" w:cs="Times New Roman"/>
        </w:rPr>
        <w:t>are able to</w:t>
      </w:r>
      <w:proofErr w:type="gramEnd"/>
      <w:r w:rsidRPr="004A7CD7">
        <w:rPr>
          <w:rFonts w:ascii="Times New Roman" w:hAnsi="Times New Roman" w:cs="Times New Roman"/>
        </w:rPr>
        <w:t xml:space="preserve"> either directly assess their 4CP-allocated transmission costs to REPs (and in turn, end-use customers) through the use of Transmission Cost Recovery Factors (TCRFs). Large </w:t>
      </w:r>
      <w:r w:rsidRPr="004A7CD7">
        <w:rPr>
          <w:rFonts w:ascii="Times New Roman" w:eastAsia="Times New Roman" w:hAnsi="Times New Roman" w:cs="Times New Roman"/>
        </w:rPr>
        <w:t xml:space="preserve">commercial and industrial loads served at transmission-level voltages and with peak demands of ≥700 kW, however, are assessed their TCRFs based on their individual 4CP loads, and as such are incentivized to reduce their peak load during the four summer peaks </w:t>
      </w:r>
      <w:proofErr w:type="gramStart"/>
      <w:r w:rsidRPr="004A7CD7">
        <w:rPr>
          <w:rFonts w:ascii="Times New Roman" w:eastAsia="Times New Roman" w:hAnsi="Times New Roman" w:cs="Times New Roman"/>
        </w:rPr>
        <w:t>in order to</w:t>
      </w:r>
      <w:proofErr w:type="gramEnd"/>
      <w:r w:rsidRPr="004A7CD7">
        <w:rPr>
          <w:rFonts w:ascii="Times New Roman" w:eastAsia="Times New Roman" w:hAnsi="Times New Roman" w:cs="Times New Roman"/>
        </w:rPr>
        <w:t xml:space="preserve"> reduce their assessment of transmission costs throughout the year. Similarly, the non-competitive boundary-metered non-opt-in entity (NOIE) DSPs may be able to leverage their captive customer base to engage in 4CP load reductions to shift transmission costs to other loads in ERCOT.</w:t>
      </w:r>
    </w:p>
  </w:footnote>
  <w:footnote w:id="31">
    <w:p w:rsidR="00261180" w:rsidRPr="004A7CD7" w:rsidRDefault="00261180" w:rsidP="00190776">
      <w:pPr>
        <w:pStyle w:val="FootnoteText"/>
        <w:rPr>
          <w:rFonts w:ascii="Times New Roman" w:hAnsi="Times New Roman" w:cs="Times New Roman"/>
        </w:rPr>
      </w:pPr>
      <w:r w:rsidRPr="004A7CD7">
        <w:rPr>
          <w:rStyle w:val="FootnoteReference"/>
          <w:rFonts w:ascii="Times New Roman" w:hAnsi="Times New Roman" w:cs="Times New Roman"/>
        </w:rPr>
        <w:footnoteRef/>
      </w:r>
      <w:r w:rsidRPr="004A7CD7">
        <w:rPr>
          <w:rFonts w:ascii="Times New Roman" w:hAnsi="Times New Roman" w:cs="Times New Roman"/>
        </w:rPr>
        <w:t xml:space="preserve"> Hourly loads pulled from ERCOT’s Hourly Load Data Archives, available at </w:t>
      </w:r>
      <w:hyperlink r:id="rId5" w:history="1">
        <w:r w:rsidRPr="004A7CD7">
          <w:rPr>
            <w:rStyle w:val="Hyperlink"/>
            <w:rFonts w:ascii="Times New Roman" w:hAnsi="Times New Roman" w:cs="Times New Roman"/>
          </w:rPr>
          <w:t>http://www.ercot.com/gridinfo/load/load_hist/</w:t>
        </w:r>
      </w:hyperlink>
      <w:r w:rsidRPr="004A7CD7">
        <w:rPr>
          <w:rFonts w:ascii="Times New Roman" w:hAnsi="Times New Roman" w:cs="Times New Roman"/>
        </w:rPr>
        <w:t xml:space="preserve">. Interval data taken from TCPA member company archives of ERCOT System Wide Demand reports for the identified peak load hours (ERCOT Report # 12340, available here: </w:t>
      </w:r>
      <w:hyperlink r:id="rId6" w:history="1">
        <w:r w:rsidRPr="004A7CD7">
          <w:rPr>
            <w:rStyle w:val="Hyperlink"/>
            <w:rFonts w:ascii="Times New Roman" w:hAnsi="Times New Roman" w:cs="Times New Roman"/>
          </w:rPr>
          <w:t>http://mis.ercot.com/misapp/GetReports.do?reportTypeId=12340</w:t>
        </w:r>
      </w:hyperlink>
      <w:r w:rsidRPr="004A7CD7">
        <w:rPr>
          <w:rFonts w:ascii="Times New Roman" w:hAnsi="Times New Roman" w:cs="Times New Roman"/>
        </w:rPr>
        <w:t xml:space="preserve">). </w:t>
      </w:r>
    </w:p>
  </w:footnote>
  <w:footnote w:id="32">
    <w:p w:rsidR="00261180" w:rsidRPr="004A7CD7" w:rsidRDefault="00261180" w:rsidP="00190776">
      <w:pPr>
        <w:pStyle w:val="FootnoteText"/>
        <w:rPr>
          <w:rFonts w:ascii="Times New Roman" w:hAnsi="Times New Roman" w:cs="Times New Roman"/>
        </w:rPr>
      </w:pPr>
      <w:r w:rsidRPr="004A7CD7">
        <w:rPr>
          <w:rStyle w:val="FootnoteReference"/>
          <w:rFonts w:ascii="Times New Roman" w:hAnsi="Times New Roman" w:cs="Times New Roman"/>
        </w:rPr>
        <w:footnoteRef/>
      </w:r>
      <w:r w:rsidRPr="004A7CD7">
        <w:rPr>
          <w:rFonts w:ascii="Times New Roman" w:hAnsi="Times New Roman" w:cs="Times New Roman"/>
        </w:rPr>
        <w:t xml:space="preserve"> Historical ORDC data (ERCOT Report # 13231) is available at </w:t>
      </w:r>
      <w:hyperlink r:id="rId7" w:history="1">
        <w:r w:rsidRPr="004A7CD7">
          <w:rPr>
            <w:rStyle w:val="Hyperlink"/>
            <w:rFonts w:ascii="Times New Roman" w:hAnsi="Times New Roman" w:cs="Times New Roman"/>
          </w:rPr>
          <w:t>http://mis.ercot.com/misapp/GetReports.do?reportTypeId=13231&amp;reportTitle=Historical%20Real-Time%20ORDC%20and%20Reliability%20Deployment%20Price%20Adders%20and%20Reserves&amp;showHTMLView=&amp;mimicKey</w:t>
        </w:r>
      </w:hyperlink>
      <w:r w:rsidRPr="004A7CD7">
        <w:rPr>
          <w:rFonts w:ascii="Times New Roman" w:hAnsi="Times New Roman" w:cs="Times New Roman"/>
        </w:rPr>
        <w:t xml:space="preserve">. </w:t>
      </w:r>
    </w:p>
  </w:footnote>
  <w:footnote w:id="33">
    <w:p w:rsidR="00261180" w:rsidRPr="004A7CD7" w:rsidRDefault="00261180" w:rsidP="00190776">
      <w:pPr>
        <w:pStyle w:val="FootnoteText"/>
        <w:rPr>
          <w:rFonts w:ascii="Times New Roman" w:hAnsi="Times New Roman" w:cs="Times New Roman"/>
        </w:rPr>
      </w:pPr>
      <w:r w:rsidRPr="004A7CD7">
        <w:rPr>
          <w:rStyle w:val="FootnoteReference"/>
          <w:rFonts w:ascii="Times New Roman" w:hAnsi="Times New Roman" w:cs="Times New Roman"/>
        </w:rPr>
        <w:footnoteRef/>
      </w:r>
      <w:r w:rsidRPr="004A7CD7">
        <w:rPr>
          <w:rFonts w:ascii="Times New Roman" w:hAnsi="Times New Roman" w:cs="Times New Roman"/>
        </w:rPr>
        <w:t xml:space="preserve"> This is a simplifying step – actual settlement intervals are load-weighted averages of the individual SCED runs within that settlement interval.</w:t>
      </w:r>
    </w:p>
  </w:footnote>
  <w:footnote w:id="34">
    <w:p w:rsidR="00261180" w:rsidRPr="004A7CD7" w:rsidRDefault="00261180" w:rsidP="00190776">
      <w:pPr>
        <w:pStyle w:val="FootnoteText"/>
        <w:rPr>
          <w:rFonts w:ascii="Times New Roman" w:hAnsi="Times New Roman" w:cs="Times New Roman"/>
        </w:rPr>
      </w:pPr>
      <w:r w:rsidRPr="004A7CD7">
        <w:rPr>
          <w:rStyle w:val="FootnoteReference"/>
          <w:rFonts w:ascii="Times New Roman" w:hAnsi="Times New Roman" w:cs="Times New Roman"/>
        </w:rPr>
        <w:footnoteRef/>
      </w:r>
      <w:r w:rsidRPr="004A7CD7">
        <w:rPr>
          <w:rFonts w:ascii="Times New Roman" w:hAnsi="Times New Roman" w:cs="Times New Roman"/>
        </w:rPr>
        <w:t xml:space="preserve"> For example, see </w:t>
      </w:r>
      <w:r w:rsidRPr="004A7CD7">
        <w:rPr>
          <w:rFonts w:ascii="Times New Roman" w:hAnsi="Times New Roman" w:cs="Times New Roman"/>
          <w:i/>
        </w:rPr>
        <w:t>Analysis of Load Reductions Associated with 4-CP Transmission Charges and Price Responsive Load/Retail DR</w:t>
      </w:r>
      <w:r w:rsidRPr="004A7CD7">
        <w:rPr>
          <w:rFonts w:ascii="Times New Roman" w:hAnsi="Times New Roman" w:cs="Times New Roman"/>
        </w:rPr>
        <w:t>, presented at the June 6, 2018 WMS meeting.</w:t>
      </w:r>
    </w:p>
  </w:footnote>
  <w:footnote w:id="35">
    <w:p w:rsidR="00261180" w:rsidRPr="00FE5713" w:rsidRDefault="00261180">
      <w:pPr>
        <w:pStyle w:val="FootnoteText"/>
        <w:rPr>
          <w:rFonts w:ascii="Times New Roman" w:hAnsi="Times New Roman" w:cs="Times New Roman"/>
        </w:rPr>
      </w:pPr>
      <w:r w:rsidRPr="00FE5713">
        <w:rPr>
          <w:rStyle w:val="FootnoteReference"/>
          <w:rFonts w:ascii="Times New Roman" w:hAnsi="Times New Roman" w:cs="Times New Roman"/>
        </w:rPr>
        <w:footnoteRef/>
      </w:r>
      <w:r w:rsidRPr="00FE5713">
        <w:rPr>
          <w:rFonts w:ascii="Times New Roman" w:hAnsi="Times New Roman" w:cs="Times New Roman"/>
        </w:rPr>
        <w:t xml:space="preserve"> Real-Time ORDC and Reliability Deployment Price Adders and Reserves by SCED Interval, ERCOT MIS.</w:t>
      </w:r>
    </w:p>
  </w:footnote>
  <w:footnote w:id="36">
    <w:p w:rsidR="00261180" w:rsidRDefault="00261180" w:rsidP="00190776">
      <w:pPr>
        <w:pStyle w:val="FootnoteText"/>
      </w:pPr>
      <w:r>
        <w:rPr>
          <w:rStyle w:val="FootnoteReference"/>
        </w:rPr>
        <w:footnoteRef/>
      </w:r>
      <w:r>
        <w:t xml:space="preserve"> </w:t>
      </w:r>
      <w:r w:rsidR="0095655C" w:rsidRPr="004A7CD7">
        <w:rPr>
          <w:rFonts w:ascii="Times New Roman" w:hAnsi="Times New Roman" w:cs="Times New Roman"/>
        </w:rPr>
        <w:t xml:space="preserve">See ERCOT’s </w:t>
      </w:r>
      <w:r w:rsidR="0095655C" w:rsidRPr="004A7CD7">
        <w:rPr>
          <w:rFonts w:ascii="Times New Roman" w:hAnsi="Times New Roman" w:cs="Times New Roman"/>
          <w:i/>
        </w:rPr>
        <w:t>Review of Summer 2018 (June – August)</w:t>
      </w:r>
      <w:r w:rsidR="0095655C" w:rsidRPr="004A7CD7">
        <w:rPr>
          <w:rFonts w:ascii="Times New Roman" w:hAnsi="Times New Roman" w:cs="Times New Roman"/>
        </w:rPr>
        <w:t xml:space="preserve"> filed in Project No. 48551 (September 24, 2018) at </w:t>
      </w:r>
      <w:r w:rsidR="0095655C">
        <w:rPr>
          <w:rFonts w:ascii="Times New Roman" w:hAnsi="Times New Roman" w:cs="Times New Roman"/>
        </w:rPr>
        <w:t>slide 26.</w:t>
      </w:r>
      <w:hyperlink w:history="1"/>
    </w:p>
  </w:footnote>
  <w:footnote w:id="37">
    <w:p w:rsidR="00261180" w:rsidRPr="00573A0C" w:rsidRDefault="00261180" w:rsidP="00190776">
      <w:pPr>
        <w:pStyle w:val="FootnoteText"/>
        <w:rPr>
          <w:rFonts w:ascii="Times New Roman" w:hAnsi="Times New Roman" w:cs="Times New Roman"/>
        </w:rPr>
      </w:pPr>
      <w:r w:rsidRPr="00573A0C">
        <w:rPr>
          <w:rStyle w:val="FootnoteReference"/>
          <w:rFonts w:ascii="Times New Roman" w:hAnsi="Times New Roman" w:cs="Times New Roman"/>
        </w:rPr>
        <w:footnoteRef/>
      </w:r>
      <w:r w:rsidRPr="00573A0C">
        <w:rPr>
          <w:rFonts w:ascii="Times New Roman" w:hAnsi="Times New Roman" w:cs="Times New Roman"/>
        </w:rPr>
        <w:t xml:space="preserve"> ERCOT MIS.</w:t>
      </w:r>
    </w:p>
  </w:footnote>
  <w:footnote w:id="38">
    <w:p w:rsidR="00261180" w:rsidRPr="00573A0C" w:rsidRDefault="00261180" w:rsidP="00190776">
      <w:pPr>
        <w:pStyle w:val="FootnoteText"/>
        <w:rPr>
          <w:rFonts w:ascii="Times New Roman" w:hAnsi="Times New Roman" w:cs="Times New Roman"/>
        </w:rPr>
      </w:pPr>
      <w:r w:rsidRPr="00573A0C">
        <w:rPr>
          <w:rStyle w:val="FootnoteReference"/>
          <w:rFonts w:ascii="Times New Roman" w:hAnsi="Times New Roman" w:cs="Times New Roman"/>
        </w:rPr>
        <w:footnoteRef/>
      </w:r>
      <w:r w:rsidRPr="00573A0C">
        <w:rPr>
          <w:rFonts w:ascii="Times New Roman" w:hAnsi="Times New Roman" w:cs="Times New Roman"/>
        </w:rPr>
        <w:t xml:space="preserve"> </w:t>
      </w:r>
      <w:r w:rsidRPr="00573A0C">
        <w:rPr>
          <w:rFonts w:ascii="Times New Roman" w:hAnsi="Times New Roman" w:cs="Times New Roman"/>
          <w:i/>
        </w:rPr>
        <w:t>Id.</w:t>
      </w:r>
    </w:p>
  </w:footnote>
  <w:footnote w:id="39">
    <w:p w:rsidR="00261180" w:rsidRPr="00573A0C" w:rsidRDefault="00261180" w:rsidP="00190776">
      <w:pPr>
        <w:pStyle w:val="FootnoteText"/>
        <w:rPr>
          <w:rFonts w:ascii="Times New Roman" w:hAnsi="Times New Roman" w:cs="Times New Roman"/>
        </w:rPr>
      </w:pPr>
      <w:r w:rsidRPr="00573A0C">
        <w:rPr>
          <w:rStyle w:val="FootnoteReference"/>
          <w:rFonts w:ascii="Times New Roman" w:hAnsi="Times New Roman" w:cs="Times New Roman"/>
        </w:rPr>
        <w:footnoteRef/>
      </w:r>
      <w:r w:rsidRPr="00573A0C">
        <w:rPr>
          <w:rFonts w:ascii="Times New Roman" w:hAnsi="Times New Roman" w:cs="Times New Roman"/>
        </w:rPr>
        <w:t xml:space="preserve"> Assumes $3 gas price, 7 heat rate, and $110,000/MW-</w:t>
      </w:r>
      <w:proofErr w:type="spellStart"/>
      <w:r w:rsidRPr="00573A0C">
        <w:rPr>
          <w:rFonts w:ascii="Times New Roman" w:hAnsi="Times New Roman" w:cs="Times New Roman"/>
        </w:rPr>
        <w:t>Yr</w:t>
      </w:r>
      <w:proofErr w:type="spellEnd"/>
      <w:r w:rsidRPr="00573A0C">
        <w:rPr>
          <w:rFonts w:ascii="Times New Roman" w:hAnsi="Times New Roman" w:cs="Times New Roman"/>
        </w:rPr>
        <w:t xml:space="preserve"> CCGT CONE.</w:t>
      </w:r>
    </w:p>
  </w:footnote>
  <w:footnote w:id="40">
    <w:p w:rsidR="00261180" w:rsidRPr="00FE5713" w:rsidRDefault="00261180">
      <w:pPr>
        <w:pStyle w:val="FootnoteText"/>
        <w:rPr>
          <w:rFonts w:ascii="Times New Roman" w:hAnsi="Times New Roman" w:cs="Times New Roman"/>
        </w:rPr>
      </w:pPr>
      <w:r w:rsidRPr="00FE5713">
        <w:rPr>
          <w:rStyle w:val="FootnoteReference"/>
          <w:rFonts w:ascii="Times New Roman" w:hAnsi="Times New Roman" w:cs="Times New Roman"/>
        </w:rPr>
        <w:footnoteRef/>
      </w:r>
      <w:r w:rsidRPr="00FE5713">
        <w:rPr>
          <w:rFonts w:ascii="Times New Roman" w:hAnsi="Times New Roman" w:cs="Times New Roman"/>
        </w:rPr>
        <w:t xml:space="preserve"> ERCOT 7 Day Load Forecast from the MIS.</w:t>
      </w:r>
    </w:p>
  </w:footnote>
  <w:footnote w:id="41">
    <w:p w:rsidR="00261180" w:rsidRPr="00FE5713" w:rsidRDefault="00261180" w:rsidP="00F14E9B">
      <w:pPr>
        <w:pStyle w:val="FootnoteText"/>
        <w:rPr>
          <w:rFonts w:ascii="Times New Roman" w:hAnsi="Times New Roman" w:cs="Times New Roman"/>
        </w:rPr>
      </w:pPr>
      <w:r w:rsidRPr="00FE5713">
        <w:rPr>
          <w:rStyle w:val="FootnoteReference"/>
          <w:rFonts w:ascii="Times New Roman" w:hAnsi="Times New Roman" w:cs="Times New Roman"/>
        </w:rPr>
        <w:footnoteRef/>
      </w:r>
      <w:r w:rsidRPr="00FE5713">
        <w:rPr>
          <w:rFonts w:ascii="Times New Roman" w:hAnsi="Times New Roman" w:cs="Times New Roman"/>
        </w:rPr>
        <w:t xml:space="preserve"> Real-Time ORDC and Reliability Deployment Price Adders and Reserves by SCED Interval, ERCOT MIS.</w:t>
      </w:r>
    </w:p>
  </w:footnote>
  <w:footnote w:id="42">
    <w:p w:rsidR="00261180" w:rsidRPr="00D62913" w:rsidRDefault="00261180" w:rsidP="00190776">
      <w:pPr>
        <w:pStyle w:val="FootnoteText"/>
        <w:rPr>
          <w:rFonts w:ascii="Times New Roman" w:hAnsi="Times New Roman" w:cs="Times New Roman"/>
        </w:rPr>
      </w:pPr>
      <w:r w:rsidRPr="00D62913">
        <w:rPr>
          <w:rStyle w:val="FootnoteReference"/>
          <w:rFonts w:ascii="Times New Roman" w:hAnsi="Times New Roman" w:cs="Times New Roman"/>
        </w:rPr>
        <w:footnoteRef/>
      </w:r>
      <w:r w:rsidRPr="00D62913">
        <w:rPr>
          <w:rFonts w:ascii="Times New Roman" w:hAnsi="Times New Roman" w:cs="Times New Roman"/>
        </w:rPr>
        <w:t xml:space="preserve"> ERCOT MIS.</w:t>
      </w:r>
    </w:p>
  </w:footnote>
  <w:footnote w:id="43">
    <w:p w:rsidR="00261180" w:rsidRPr="00D62913" w:rsidRDefault="00261180" w:rsidP="00190776">
      <w:pPr>
        <w:pStyle w:val="FootnoteText"/>
        <w:rPr>
          <w:rFonts w:ascii="Times New Roman" w:hAnsi="Times New Roman" w:cs="Times New Roman"/>
        </w:rPr>
      </w:pPr>
      <w:r w:rsidRPr="00D62913">
        <w:rPr>
          <w:rStyle w:val="FootnoteReference"/>
          <w:rFonts w:ascii="Times New Roman" w:hAnsi="Times New Roman" w:cs="Times New Roman"/>
        </w:rPr>
        <w:footnoteRef/>
      </w:r>
      <w:r w:rsidRPr="00D62913">
        <w:rPr>
          <w:rFonts w:ascii="Times New Roman" w:hAnsi="Times New Roman" w:cs="Times New Roman"/>
        </w:rPr>
        <w:t xml:space="preserve"> </w:t>
      </w:r>
      <w:r w:rsidRPr="00D62913">
        <w:rPr>
          <w:rFonts w:ascii="Times New Roman" w:hAnsi="Times New Roman" w:cs="Times New Roman"/>
          <w:i/>
        </w:rPr>
        <w:t>Id.</w:t>
      </w:r>
    </w:p>
  </w:footnote>
  <w:footnote w:id="44">
    <w:p w:rsidR="00261180" w:rsidRPr="00573A0C" w:rsidRDefault="00261180" w:rsidP="00190776">
      <w:pPr>
        <w:pStyle w:val="FootnoteText"/>
        <w:rPr>
          <w:rFonts w:ascii="Times New Roman" w:hAnsi="Times New Roman" w:cs="Times New Roman"/>
        </w:rPr>
      </w:pPr>
      <w:r w:rsidRPr="00573A0C">
        <w:rPr>
          <w:rStyle w:val="FootnoteReference"/>
          <w:rFonts w:ascii="Times New Roman" w:hAnsi="Times New Roman" w:cs="Times New Roman"/>
        </w:rPr>
        <w:footnoteRef/>
      </w:r>
      <w:r w:rsidRPr="00573A0C">
        <w:rPr>
          <w:rFonts w:ascii="Times New Roman" w:hAnsi="Times New Roman" w:cs="Times New Roman"/>
        </w:rPr>
        <w:t xml:space="preserve"> Assumes $3 gas price, 7 heat rate, and $110,000/MW-</w:t>
      </w:r>
      <w:proofErr w:type="spellStart"/>
      <w:r w:rsidRPr="00573A0C">
        <w:rPr>
          <w:rFonts w:ascii="Times New Roman" w:hAnsi="Times New Roman" w:cs="Times New Roman"/>
        </w:rPr>
        <w:t>Yr</w:t>
      </w:r>
      <w:proofErr w:type="spellEnd"/>
      <w:r w:rsidRPr="00573A0C">
        <w:rPr>
          <w:rFonts w:ascii="Times New Roman" w:hAnsi="Times New Roman" w:cs="Times New Roman"/>
        </w:rPr>
        <w:t xml:space="preserve"> CCGT CONE.</w:t>
      </w:r>
    </w:p>
  </w:footnote>
  <w:footnote w:id="45">
    <w:p w:rsidR="00261180" w:rsidRPr="00FE5713" w:rsidRDefault="00261180">
      <w:pPr>
        <w:pStyle w:val="FootnoteText"/>
        <w:rPr>
          <w:rFonts w:ascii="Times New Roman" w:hAnsi="Times New Roman" w:cs="Times New Roman"/>
        </w:rPr>
      </w:pPr>
      <w:r w:rsidRPr="00FE5713">
        <w:rPr>
          <w:rStyle w:val="FootnoteReference"/>
          <w:rFonts w:ascii="Times New Roman" w:hAnsi="Times New Roman" w:cs="Times New Roman"/>
        </w:rPr>
        <w:footnoteRef/>
      </w:r>
      <w:hyperlink r:id="rId8" w:history="1">
        <w:r w:rsidR="00A31D2E" w:rsidRPr="005E7290">
          <w:rPr>
            <w:rStyle w:val="Hyperlink"/>
            <w:rFonts w:ascii="Times New Roman" w:hAnsi="Times New Roman" w:cs="Times New Roman"/>
          </w:rPr>
          <w:t>http://www.ercot.com/content/wcm/key_documents_lists/138551/05.__2018_Discussion_on_July_and_August_RUC_Activity_updated.pdf</w:t>
        </w:r>
      </w:hyperlink>
      <w:r w:rsidRPr="00FE5713">
        <w:rPr>
          <w:rFonts w:ascii="Times New Roman" w:hAnsi="Times New Roman" w:cs="Times New Roman"/>
        </w:rPr>
        <w:t>. Slide</w:t>
      </w:r>
      <w:r w:rsidR="00A31D2E">
        <w:rPr>
          <w:rFonts w:ascii="Times New Roman" w:hAnsi="Times New Roman" w:cs="Times New Roman"/>
        </w:rPr>
        <w:t>s</w:t>
      </w:r>
      <w:r w:rsidRPr="00FE5713">
        <w:rPr>
          <w:rFonts w:ascii="Times New Roman" w:hAnsi="Times New Roman" w:cs="Times New Roman"/>
        </w:rPr>
        <w:t xml:space="preserve"> 10 and 11.</w:t>
      </w:r>
    </w:p>
  </w:footnote>
  <w:footnote w:id="46">
    <w:p w:rsidR="00261180" w:rsidRPr="00573A0C" w:rsidRDefault="00261180" w:rsidP="00190776">
      <w:pPr>
        <w:pStyle w:val="FootnoteText"/>
        <w:rPr>
          <w:rFonts w:ascii="Times New Roman" w:hAnsi="Times New Roman" w:cs="Times New Roman"/>
        </w:rPr>
      </w:pPr>
      <w:r w:rsidRPr="00573A0C">
        <w:rPr>
          <w:rStyle w:val="FootnoteReference"/>
          <w:rFonts w:ascii="Times New Roman" w:hAnsi="Times New Roman" w:cs="Times New Roman"/>
        </w:rPr>
        <w:footnoteRef/>
      </w:r>
      <w:r w:rsidRPr="00573A0C">
        <w:rPr>
          <w:rFonts w:ascii="Times New Roman" w:hAnsi="Times New Roman" w:cs="Times New Roman"/>
        </w:rPr>
        <w:t xml:space="preserve"> ERCOT MIS.</w:t>
      </w:r>
    </w:p>
  </w:footnote>
  <w:footnote w:id="47">
    <w:p w:rsidR="00261180" w:rsidRPr="00573A0C" w:rsidRDefault="00261180" w:rsidP="00190776">
      <w:pPr>
        <w:pStyle w:val="FootnoteText"/>
        <w:rPr>
          <w:rFonts w:ascii="Times New Roman" w:hAnsi="Times New Roman" w:cs="Times New Roman"/>
        </w:rPr>
      </w:pPr>
      <w:r w:rsidRPr="00573A0C">
        <w:rPr>
          <w:rStyle w:val="FootnoteReference"/>
          <w:rFonts w:ascii="Times New Roman" w:hAnsi="Times New Roman" w:cs="Times New Roman"/>
        </w:rPr>
        <w:footnoteRef/>
      </w:r>
      <w:r w:rsidRPr="00573A0C">
        <w:rPr>
          <w:rFonts w:ascii="Times New Roman" w:hAnsi="Times New Roman" w:cs="Times New Roman"/>
        </w:rPr>
        <w:t xml:space="preserve"> </w:t>
      </w:r>
      <w:r w:rsidRPr="00573A0C">
        <w:rPr>
          <w:rFonts w:ascii="Times New Roman" w:hAnsi="Times New Roman" w:cs="Times New Roman"/>
          <w:i/>
        </w:rPr>
        <w:t>Id.</w:t>
      </w:r>
    </w:p>
  </w:footnote>
  <w:footnote w:id="48">
    <w:p w:rsidR="00261180" w:rsidRPr="00FE5713" w:rsidRDefault="00261180" w:rsidP="00190776">
      <w:pPr>
        <w:pStyle w:val="FootnoteText"/>
        <w:rPr>
          <w:rFonts w:ascii="Times New Roman" w:hAnsi="Times New Roman" w:cs="Times New Roman"/>
        </w:rPr>
      </w:pPr>
      <w:r w:rsidRPr="00FE5713">
        <w:rPr>
          <w:rStyle w:val="FootnoteReference"/>
          <w:rFonts w:ascii="Times New Roman" w:hAnsi="Times New Roman" w:cs="Times New Roman"/>
        </w:rPr>
        <w:footnoteRef/>
      </w:r>
      <w:r w:rsidRPr="00FE5713">
        <w:rPr>
          <w:rFonts w:ascii="Times New Roman" w:hAnsi="Times New Roman" w:cs="Times New Roman"/>
        </w:rPr>
        <w:t xml:space="preserve"> Assumes $3 gas price, 7 heat rate, and $110,000/MW-</w:t>
      </w:r>
      <w:proofErr w:type="spellStart"/>
      <w:r w:rsidRPr="00FE5713">
        <w:rPr>
          <w:rFonts w:ascii="Times New Roman" w:hAnsi="Times New Roman" w:cs="Times New Roman"/>
        </w:rPr>
        <w:t>Yr</w:t>
      </w:r>
      <w:proofErr w:type="spellEnd"/>
      <w:r w:rsidRPr="00FE5713">
        <w:rPr>
          <w:rFonts w:ascii="Times New Roman" w:hAnsi="Times New Roman" w:cs="Times New Roman"/>
        </w:rPr>
        <w:t xml:space="preserve"> CCGT CONE.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8EA"/>
    <w:multiLevelType w:val="hybridMultilevel"/>
    <w:tmpl w:val="033422C0"/>
    <w:lvl w:ilvl="0" w:tplc="5BE0F34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3200AC2"/>
    <w:multiLevelType w:val="hybridMultilevel"/>
    <w:tmpl w:val="7D8C0A08"/>
    <w:lvl w:ilvl="0" w:tplc="D6FE6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90803"/>
    <w:multiLevelType w:val="hybridMultilevel"/>
    <w:tmpl w:val="628C0E78"/>
    <w:lvl w:ilvl="0" w:tplc="A4003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E0168"/>
    <w:multiLevelType w:val="hybridMultilevel"/>
    <w:tmpl w:val="415A6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FB76AC7"/>
    <w:multiLevelType w:val="hybridMultilevel"/>
    <w:tmpl w:val="93D0106E"/>
    <w:lvl w:ilvl="0" w:tplc="4FD0633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CE1A5B"/>
    <w:multiLevelType w:val="hybridMultilevel"/>
    <w:tmpl w:val="8048F12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6" w15:restartNumberingAfterBreak="0">
    <w:nsid w:val="2BBB6680"/>
    <w:multiLevelType w:val="hybridMultilevel"/>
    <w:tmpl w:val="75A24EC2"/>
    <w:lvl w:ilvl="0" w:tplc="92FEA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2A583A"/>
    <w:multiLevelType w:val="hybridMultilevel"/>
    <w:tmpl w:val="0BCC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75261"/>
    <w:multiLevelType w:val="hybridMultilevel"/>
    <w:tmpl w:val="481248AE"/>
    <w:lvl w:ilvl="0" w:tplc="B7EA3C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BB1F64"/>
    <w:multiLevelType w:val="hybridMultilevel"/>
    <w:tmpl w:val="019E5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AAD1816"/>
    <w:multiLevelType w:val="multilevel"/>
    <w:tmpl w:val="D6EC9E3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2E6D39"/>
    <w:multiLevelType w:val="hybridMultilevel"/>
    <w:tmpl w:val="CB109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D5C19"/>
    <w:multiLevelType w:val="hybridMultilevel"/>
    <w:tmpl w:val="502E4DBE"/>
    <w:lvl w:ilvl="0" w:tplc="622A3C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FB4EFC"/>
    <w:multiLevelType w:val="hybridMultilevel"/>
    <w:tmpl w:val="47341BFA"/>
    <w:lvl w:ilvl="0" w:tplc="9288012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B1F4B17"/>
    <w:multiLevelType w:val="hybridMultilevel"/>
    <w:tmpl w:val="45065150"/>
    <w:lvl w:ilvl="0" w:tplc="0409000F">
      <w:start w:val="1"/>
      <w:numFmt w:val="decimal"/>
      <w:pStyle w:val="bullet4level1"/>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2725188"/>
    <w:multiLevelType w:val="hybridMultilevel"/>
    <w:tmpl w:val="103A042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6" w15:restartNumberingAfterBreak="0">
    <w:nsid w:val="77D87DBF"/>
    <w:multiLevelType w:val="hybridMultilevel"/>
    <w:tmpl w:val="0AE8A47C"/>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5"/>
  </w:num>
  <w:num w:numId="4">
    <w:abstractNumId w:val="12"/>
  </w:num>
  <w:num w:numId="5">
    <w:abstractNumId w:val="16"/>
  </w:num>
  <w:num w:numId="6">
    <w:abstractNumId w:val="11"/>
  </w:num>
  <w:num w:numId="7">
    <w:abstractNumId w:val="8"/>
  </w:num>
  <w:num w:numId="8">
    <w:abstractNumId w:val="1"/>
  </w:num>
  <w:num w:numId="9">
    <w:abstractNumId w:val="14"/>
  </w:num>
  <w:num w:numId="10">
    <w:abstractNumId w:val="14"/>
    <w:lvlOverride w:ilvl="0">
      <w:startOverride w:val="9"/>
    </w:lvlOverride>
  </w:num>
  <w:num w:numId="11">
    <w:abstractNumId w:val="7"/>
  </w:num>
  <w:num w:numId="12">
    <w:abstractNumId w:val="14"/>
  </w:num>
  <w:num w:numId="13">
    <w:abstractNumId w:val="4"/>
  </w:num>
  <w:num w:numId="14">
    <w:abstractNumId w:val="3"/>
  </w:num>
  <w:num w:numId="15">
    <w:abstractNumId w:val="9"/>
  </w:num>
  <w:num w:numId="16">
    <w:abstractNumId w:val="5"/>
  </w:num>
  <w:num w:numId="17">
    <w:abstractNumId w:val="6"/>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2A"/>
    <w:rsid w:val="00010075"/>
    <w:rsid w:val="00014944"/>
    <w:rsid w:val="0002240E"/>
    <w:rsid w:val="000307CD"/>
    <w:rsid w:val="00031251"/>
    <w:rsid w:val="0003371E"/>
    <w:rsid w:val="0003477C"/>
    <w:rsid w:val="00036921"/>
    <w:rsid w:val="00042EF0"/>
    <w:rsid w:val="00045229"/>
    <w:rsid w:val="00046768"/>
    <w:rsid w:val="00054347"/>
    <w:rsid w:val="000571E2"/>
    <w:rsid w:val="00061659"/>
    <w:rsid w:val="0006777B"/>
    <w:rsid w:val="00071F62"/>
    <w:rsid w:val="000732E0"/>
    <w:rsid w:val="00075B12"/>
    <w:rsid w:val="000955AD"/>
    <w:rsid w:val="00096E26"/>
    <w:rsid w:val="00097506"/>
    <w:rsid w:val="000A37D9"/>
    <w:rsid w:val="000A5731"/>
    <w:rsid w:val="000B51B5"/>
    <w:rsid w:val="000B5DE9"/>
    <w:rsid w:val="000C0D48"/>
    <w:rsid w:val="000C36D3"/>
    <w:rsid w:val="000C3B7E"/>
    <w:rsid w:val="000C5978"/>
    <w:rsid w:val="000D06A7"/>
    <w:rsid w:val="000D21B1"/>
    <w:rsid w:val="000E0524"/>
    <w:rsid w:val="000E2B2D"/>
    <w:rsid w:val="000E7B5F"/>
    <w:rsid w:val="000F46BC"/>
    <w:rsid w:val="00103F50"/>
    <w:rsid w:val="001105F6"/>
    <w:rsid w:val="00121648"/>
    <w:rsid w:val="00123CBB"/>
    <w:rsid w:val="0012447A"/>
    <w:rsid w:val="001304BD"/>
    <w:rsid w:val="00137E19"/>
    <w:rsid w:val="00154015"/>
    <w:rsid w:val="001572FC"/>
    <w:rsid w:val="001578F3"/>
    <w:rsid w:val="001628CB"/>
    <w:rsid w:val="00163B6B"/>
    <w:rsid w:val="00166969"/>
    <w:rsid w:val="00167A82"/>
    <w:rsid w:val="00170117"/>
    <w:rsid w:val="001702F0"/>
    <w:rsid w:val="00190776"/>
    <w:rsid w:val="00192C6E"/>
    <w:rsid w:val="00192CC8"/>
    <w:rsid w:val="001935D1"/>
    <w:rsid w:val="00193720"/>
    <w:rsid w:val="001938E2"/>
    <w:rsid w:val="00194B40"/>
    <w:rsid w:val="00195B5A"/>
    <w:rsid w:val="001962FF"/>
    <w:rsid w:val="001D07D6"/>
    <w:rsid w:val="001D4FA4"/>
    <w:rsid w:val="001D6158"/>
    <w:rsid w:val="001E0E5C"/>
    <w:rsid w:val="001E2AAB"/>
    <w:rsid w:val="001F4BDD"/>
    <w:rsid w:val="001F4EBD"/>
    <w:rsid w:val="00200305"/>
    <w:rsid w:val="0020067B"/>
    <w:rsid w:val="00205243"/>
    <w:rsid w:val="00205D0C"/>
    <w:rsid w:val="002067AC"/>
    <w:rsid w:val="00207B19"/>
    <w:rsid w:val="00213D64"/>
    <w:rsid w:val="00216C26"/>
    <w:rsid w:val="00227A7D"/>
    <w:rsid w:val="00232B97"/>
    <w:rsid w:val="00242FD3"/>
    <w:rsid w:val="002512D8"/>
    <w:rsid w:val="00251B7C"/>
    <w:rsid w:val="00252014"/>
    <w:rsid w:val="00253B79"/>
    <w:rsid w:val="00255E09"/>
    <w:rsid w:val="0026067E"/>
    <w:rsid w:val="00261180"/>
    <w:rsid w:val="00262B70"/>
    <w:rsid w:val="00266E3F"/>
    <w:rsid w:val="00273648"/>
    <w:rsid w:val="00273E67"/>
    <w:rsid w:val="0027450E"/>
    <w:rsid w:val="002745DE"/>
    <w:rsid w:val="00287E68"/>
    <w:rsid w:val="00291D2C"/>
    <w:rsid w:val="00294D9C"/>
    <w:rsid w:val="002A4D83"/>
    <w:rsid w:val="002A614C"/>
    <w:rsid w:val="002B3775"/>
    <w:rsid w:val="002B5E28"/>
    <w:rsid w:val="002B7F45"/>
    <w:rsid w:val="002C12ED"/>
    <w:rsid w:val="002C1DCB"/>
    <w:rsid w:val="002C3B37"/>
    <w:rsid w:val="002C3FDB"/>
    <w:rsid w:val="002C5749"/>
    <w:rsid w:val="002C74F9"/>
    <w:rsid w:val="002D474F"/>
    <w:rsid w:val="002D47C2"/>
    <w:rsid w:val="002D5EF1"/>
    <w:rsid w:val="002D7408"/>
    <w:rsid w:val="002D7A15"/>
    <w:rsid w:val="002E06D4"/>
    <w:rsid w:val="002E6058"/>
    <w:rsid w:val="002F3373"/>
    <w:rsid w:val="00302EA6"/>
    <w:rsid w:val="003045BD"/>
    <w:rsid w:val="00310577"/>
    <w:rsid w:val="003168C1"/>
    <w:rsid w:val="00322636"/>
    <w:rsid w:val="003271A1"/>
    <w:rsid w:val="0033473A"/>
    <w:rsid w:val="00334F49"/>
    <w:rsid w:val="00337FAE"/>
    <w:rsid w:val="00342F37"/>
    <w:rsid w:val="003436BD"/>
    <w:rsid w:val="0034686C"/>
    <w:rsid w:val="003505C9"/>
    <w:rsid w:val="00351721"/>
    <w:rsid w:val="003518D2"/>
    <w:rsid w:val="00351DD7"/>
    <w:rsid w:val="0035291C"/>
    <w:rsid w:val="00357097"/>
    <w:rsid w:val="00360BC4"/>
    <w:rsid w:val="00367BF2"/>
    <w:rsid w:val="0037172E"/>
    <w:rsid w:val="00375AF6"/>
    <w:rsid w:val="00386473"/>
    <w:rsid w:val="00386622"/>
    <w:rsid w:val="00393354"/>
    <w:rsid w:val="003946A4"/>
    <w:rsid w:val="003A2492"/>
    <w:rsid w:val="003A2A12"/>
    <w:rsid w:val="003B73E3"/>
    <w:rsid w:val="003C0381"/>
    <w:rsid w:val="003C32F3"/>
    <w:rsid w:val="003C37A3"/>
    <w:rsid w:val="003C7AF6"/>
    <w:rsid w:val="003D7037"/>
    <w:rsid w:val="003D71A1"/>
    <w:rsid w:val="003D72B3"/>
    <w:rsid w:val="003D7DB6"/>
    <w:rsid w:val="003E0E39"/>
    <w:rsid w:val="003E15AD"/>
    <w:rsid w:val="003E24DE"/>
    <w:rsid w:val="003E3484"/>
    <w:rsid w:val="003E6C93"/>
    <w:rsid w:val="003E7AC6"/>
    <w:rsid w:val="003E7BF5"/>
    <w:rsid w:val="003F1018"/>
    <w:rsid w:val="003F3017"/>
    <w:rsid w:val="003F4465"/>
    <w:rsid w:val="00401872"/>
    <w:rsid w:val="00402512"/>
    <w:rsid w:val="00403061"/>
    <w:rsid w:val="004112F6"/>
    <w:rsid w:val="00416537"/>
    <w:rsid w:val="004202E4"/>
    <w:rsid w:val="00420657"/>
    <w:rsid w:val="00421971"/>
    <w:rsid w:val="00422B62"/>
    <w:rsid w:val="00422FFD"/>
    <w:rsid w:val="00442514"/>
    <w:rsid w:val="00442CD2"/>
    <w:rsid w:val="004453EB"/>
    <w:rsid w:val="00453DFA"/>
    <w:rsid w:val="00456605"/>
    <w:rsid w:val="00456B28"/>
    <w:rsid w:val="00460964"/>
    <w:rsid w:val="004659AC"/>
    <w:rsid w:val="004736E9"/>
    <w:rsid w:val="00476493"/>
    <w:rsid w:val="00480DCE"/>
    <w:rsid w:val="00481573"/>
    <w:rsid w:val="0048370E"/>
    <w:rsid w:val="0048570C"/>
    <w:rsid w:val="00486B34"/>
    <w:rsid w:val="0049069F"/>
    <w:rsid w:val="004944DB"/>
    <w:rsid w:val="0049726E"/>
    <w:rsid w:val="004A48CE"/>
    <w:rsid w:val="004A6051"/>
    <w:rsid w:val="004B005F"/>
    <w:rsid w:val="004B05C4"/>
    <w:rsid w:val="004B15F8"/>
    <w:rsid w:val="004B3900"/>
    <w:rsid w:val="004B4D3C"/>
    <w:rsid w:val="004B63FA"/>
    <w:rsid w:val="004C28BC"/>
    <w:rsid w:val="004C4619"/>
    <w:rsid w:val="004D1B6D"/>
    <w:rsid w:val="004D545E"/>
    <w:rsid w:val="004D69B9"/>
    <w:rsid w:val="004E67C6"/>
    <w:rsid w:val="004E73ED"/>
    <w:rsid w:val="004F06DF"/>
    <w:rsid w:val="004F458F"/>
    <w:rsid w:val="004F7A4B"/>
    <w:rsid w:val="0050125D"/>
    <w:rsid w:val="00501EDE"/>
    <w:rsid w:val="00507614"/>
    <w:rsid w:val="00512CAA"/>
    <w:rsid w:val="005138FF"/>
    <w:rsid w:val="00516B2C"/>
    <w:rsid w:val="00523240"/>
    <w:rsid w:val="00523920"/>
    <w:rsid w:val="0053147F"/>
    <w:rsid w:val="0053303B"/>
    <w:rsid w:val="00533362"/>
    <w:rsid w:val="0053412A"/>
    <w:rsid w:val="00534C97"/>
    <w:rsid w:val="005350ED"/>
    <w:rsid w:val="005351A0"/>
    <w:rsid w:val="00535AFB"/>
    <w:rsid w:val="0054069F"/>
    <w:rsid w:val="00543962"/>
    <w:rsid w:val="00543EF0"/>
    <w:rsid w:val="0054482C"/>
    <w:rsid w:val="00550B6E"/>
    <w:rsid w:val="00554BCF"/>
    <w:rsid w:val="00563AB2"/>
    <w:rsid w:val="00563D57"/>
    <w:rsid w:val="005726D7"/>
    <w:rsid w:val="0057376B"/>
    <w:rsid w:val="0057664E"/>
    <w:rsid w:val="00577402"/>
    <w:rsid w:val="00577953"/>
    <w:rsid w:val="00580056"/>
    <w:rsid w:val="005810FF"/>
    <w:rsid w:val="0058232C"/>
    <w:rsid w:val="005837D7"/>
    <w:rsid w:val="00583852"/>
    <w:rsid w:val="00585B1C"/>
    <w:rsid w:val="0059488D"/>
    <w:rsid w:val="005A06B8"/>
    <w:rsid w:val="005A0BFF"/>
    <w:rsid w:val="005A3128"/>
    <w:rsid w:val="005A4476"/>
    <w:rsid w:val="005A590A"/>
    <w:rsid w:val="005A7447"/>
    <w:rsid w:val="005B4EF8"/>
    <w:rsid w:val="005B7F26"/>
    <w:rsid w:val="005C0660"/>
    <w:rsid w:val="005C5B1D"/>
    <w:rsid w:val="005C6ED9"/>
    <w:rsid w:val="005C7A60"/>
    <w:rsid w:val="005D2045"/>
    <w:rsid w:val="005D5BF5"/>
    <w:rsid w:val="005D6220"/>
    <w:rsid w:val="005D6D79"/>
    <w:rsid w:val="005E3915"/>
    <w:rsid w:val="005E3DA5"/>
    <w:rsid w:val="005E4ABB"/>
    <w:rsid w:val="005E7C8B"/>
    <w:rsid w:val="005F2475"/>
    <w:rsid w:val="005F3E8A"/>
    <w:rsid w:val="005F4A22"/>
    <w:rsid w:val="005F4EF4"/>
    <w:rsid w:val="005F7E12"/>
    <w:rsid w:val="00601243"/>
    <w:rsid w:val="00601D3C"/>
    <w:rsid w:val="006023FA"/>
    <w:rsid w:val="006036B6"/>
    <w:rsid w:val="0060436A"/>
    <w:rsid w:val="006051C0"/>
    <w:rsid w:val="00615790"/>
    <w:rsid w:val="00621084"/>
    <w:rsid w:val="00630B3E"/>
    <w:rsid w:val="0063287F"/>
    <w:rsid w:val="00634846"/>
    <w:rsid w:val="00642F78"/>
    <w:rsid w:val="00644382"/>
    <w:rsid w:val="00647A5D"/>
    <w:rsid w:val="00653171"/>
    <w:rsid w:val="006631FD"/>
    <w:rsid w:val="00665A5E"/>
    <w:rsid w:val="00673E53"/>
    <w:rsid w:val="00676E78"/>
    <w:rsid w:val="0068212D"/>
    <w:rsid w:val="00682353"/>
    <w:rsid w:val="006865B5"/>
    <w:rsid w:val="00691BC3"/>
    <w:rsid w:val="0069392E"/>
    <w:rsid w:val="006963EB"/>
    <w:rsid w:val="006A69E1"/>
    <w:rsid w:val="006B0E5A"/>
    <w:rsid w:val="006B4FB1"/>
    <w:rsid w:val="006C1654"/>
    <w:rsid w:val="006C6A40"/>
    <w:rsid w:val="006C7B8C"/>
    <w:rsid w:val="006D337D"/>
    <w:rsid w:val="006D4C81"/>
    <w:rsid w:val="006D687A"/>
    <w:rsid w:val="006E16AD"/>
    <w:rsid w:val="006E1D14"/>
    <w:rsid w:val="006E346F"/>
    <w:rsid w:val="006E43F5"/>
    <w:rsid w:val="006E55AF"/>
    <w:rsid w:val="006F189D"/>
    <w:rsid w:val="006F20D6"/>
    <w:rsid w:val="006F2AE8"/>
    <w:rsid w:val="006F42C9"/>
    <w:rsid w:val="006F4967"/>
    <w:rsid w:val="007015A7"/>
    <w:rsid w:val="00702CAC"/>
    <w:rsid w:val="00704061"/>
    <w:rsid w:val="00707AF0"/>
    <w:rsid w:val="0071048C"/>
    <w:rsid w:val="0071256C"/>
    <w:rsid w:val="00720814"/>
    <w:rsid w:val="00726973"/>
    <w:rsid w:val="007275B4"/>
    <w:rsid w:val="00727686"/>
    <w:rsid w:val="00743CA6"/>
    <w:rsid w:val="007518FE"/>
    <w:rsid w:val="0076364F"/>
    <w:rsid w:val="0077413E"/>
    <w:rsid w:val="00776784"/>
    <w:rsid w:val="00783E5C"/>
    <w:rsid w:val="007855A7"/>
    <w:rsid w:val="00793A0E"/>
    <w:rsid w:val="00793FA7"/>
    <w:rsid w:val="00794CDC"/>
    <w:rsid w:val="00797C3B"/>
    <w:rsid w:val="007A05F6"/>
    <w:rsid w:val="007A069A"/>
    <w:rsid w:val="007A3AE4"/>
    <w:rsid w:val="007A51B5"/>
    <w:rsid w:val="007A65EB"/>
    <w:rsid w:val="007A7F89"/>
    <w:rsid w:val="007B09F9"/>
    <w:rsid w:val="007B59D1"/>
    <w:rsid w:val="007B5A31"/>
    <w:rsid w:val="007B5B7E"/>
    <w:rsid w:val="007B74F7"/>
    <w:rsid w:val="007C45C7"/>
    <w:rsid w:val="007D0A8E"/>
    <w:rsid w:val="007D315C"/>
    <w:rsid w:val="007E475B"/>
    <w:rsid w:val="007E64D4"/>
    <w:rsid w:val="007F1B6D"/>
    <w:rsid w:val="007F6352"/>
    <w:rsid w:val="007F68E4"/>
    <w:rsid w:val="00801380"/>
    <w:rsid w:val="0080470A"/>
    <w:rsid w:val="00810997"/>
    <w:rsid w:val="00811303"/>
    <w:rsid w:val="00812A5E"/>
    <w:rsid w:val="008130DD"/>
    <w:rsid w:val="00813C18"/>
    <w:rsid w:val="00814F19"/>
    <w:rsid w:val="008152B7"/>
    <w:rsid w:val="00821BB7"/>
    <w:rsid w:val="008228CD"/>
    <w:rsid w:val="00831625"/>
    <w:rsid w:val="00834006"/>
    <w:rsid w:val="008361EF"/>
    <w:rsid w:val="008429DC"/>
    <w:rsid w:val="00843778"/>
    <w:rsid w:val="008478E0"/>
    <w:rsid w:val="00854E6C"/>
    <w:rsid w:val="00857D57"/>
    <w:rsid w:val="008614FE"/>
    <w:rsid w:val="00864A38"/>
    <w:rsid w:val="00867684"/>
    <w:rsid w:val="00870F2B"/>
    <w:rsid w:val="008715FB"/>
    <w:rsid w:val="00874B17"/>
    <w:rsid w:val="00874DCA"/>
    <w:rsid w:val="00877424"/>
    <w:rsid w:val="008916F0"/>
    <w:rsid w:val="00892B9E"/>
    <w:rsid w:val="00895D51"/>
    <w:rsid w:val="008A06EE"/>
    <w:rsid w:val="008A28EC"/>
    <w:rsid w:val="008B2C47"/>
    <w:rsid w:val="008C278E"/>
    <w:rsid w:val="008C3D7D"/>
    <w:rsid w:val="008C47C3"/>
    <w:rsid w:val="008D2297"/>
    <w:rsid w:val="008D38FE"/>
    <w:rsid w:val="008D3FCD"/>
    <w:rsid w:val="008D6CF1"/>
    <w:rsid w:val="008E58EF"/>
    <w:rsid w:val="008F05D3"/>
    <w:rsid w:val="008F11D2"/>
    <w:rsid w:val="008F471B"/>
    <w:rsid w:val="008F5947"/>
    <w:rsid w:val="008F72C1"/>
    <w:rsid w:val="00900FB7"/>
    <w:rsid w:val="009040B4"/>
    <w:rsid w:val="00906CBB"/>
    <w:rsid w:val="0090787E"/>
    <w:rsid w:val="00910C19"/>
    <w:rsid w:val="00911E21"/>
    <w:rsid w:val="00915628"/>
    <w:rsid w:val="009160B1"/>
    <w:rsid w:val="00916206"/>
    <w:rsid w:val="0091767B"/>
    <w:rsid w:val="00920A4E"/>
    <w:rsid w:val="0092368C"/>
    <w:rsid w:val="0092379C"/>
    <w:rsid w:val="0093425C"/>
    <w:rsid w:val="00934977"/>
    <w:rsid w:val="00941960"/>
    <w:rsid w:val="009537D0"/>
    <w:rsid w:val="0095655C"/>
    <w:rsid w:val="009606AB"/>
    <w:rsid w:val="00962E4F"/>
    <w:rsid w:val="0096334C"/>
    <w:rsid w:val="00965CAF"/>
    <w:rsid w:val="00971A1F"/>
    <w:rsid w:val="00974886"/>
    <w:rsid w:val="00976844"/>
    <w:rsid w:val="00983F69"/>
    <w:rsid w:val="00985D40"/>
    <w:rsid w:val="0098614D"/>
    <w:rsid w:val="009979A1"/>
    <w:rsid w:val="009A2315"/>
    <w:rsid w:val="009A27EB"/>
    <w:rsid w:val="009A39DF"/>
    <w:rsid w:val="009A44C3"/>
    <w:rsid w:val="009A50F2"/>
    <w:rsid w:val="009A7140"/>
    <w:rsid w:val="009B571F"/>
    <w:rsid w:val="009C7640"/>
    <w:rsid w:val="009C7B1E"/>
    <w:rsid w:val="009D303C"/>
    <w:rsid w:val="009D6C12"/>
    <w:rsid w:val="009E014E"/>
    <w:rsid w:val="009E18D0"/>
    <w:rsid w:val="009E4220"/>
    <w:rsid w:val="009E569C"/>
    <w:rsid w:val="009F1AC8"/>
    <w:rsid w:val="009F63CA"/>
    <w:rsid w:val="009F68AF"/>
    <w:rsid w:val="00A02864"/>
    <w:rsid w:val="00A04721"/>
    <w:rsid w:val="00A05E85"/>
    <w:rsid w:val="00A0782E"/>
    <w:rsid w:val="00A11D6F"/>
    <w:rsid w:val="00A166A1"/>
    <w:rsid w:val="00A21A90"/>
    <w:rsid w:val="00A24866"/>
    <w:rsid w:val="00A26DE3"/>
    <w:rsid w:val="00A274ED"/>
    <w:rsid w:val="00A31A3A"/>
    <w:rsid w:val="00A31D2E"/>
    <w:rsid w:val="00A36DF0"/>
    <w:rsid w:val="00A46914"/>
    <w:rsid w:val="00A50CD8"/>
    <w:rsid w:val="00A5116B"/>
    <w:rsid w:val="00A5433F"/>
    <w:rsid w:val="00A55A34"/>
    <w:rsid w:val="00A56D0B"/>
    <w:rsid w:val="00A5720F"/>
    <w:rsid w:val="00A5764B"/>
    <w:rsid w:val="00A57F29"/>
    <w:rsid w:val="00A64EFD"/>
    <w:rsid w:val="00A6592C"/>
    <w:rsid w:val="00A66D55"/>
    <w:rsid w:val="00A711BD"/>
    <w:rsid w:val="00A7326E"/>
    <w:rsid w:val="00A7479A"/>
    <w:rsid w:val="00A82564"/>
    <w:rsid w:val="00A867B1"/>
    <w:rsid w:val="00A87B1A"/>
    <w:rsid w:val="00A910DC"/>
    <w:rsid w:val="00A91A13"/>
    <w:rsid w:val="00A91B01"/>
    <w:rsid w:val="00A923EF"/>
    <w:rsid w:val="00A92660"/>
    <w:rsid w:val="00A934BB"/>
    <w:rsid w:val="00A96898"/>
    <w:rsid w:val="00A96E53"/>
    <w:rsid w:val="00AA21DA"/>
    <w:rsid w:val="00AA61DE"/>
    <w:rsid w:val="00AB14A5"/>
    <w:rsid w:val="00AB40AF"/>
    <w:rsid w:val="00AB549D"/>
    <w:rsid w:val="00AC49A9"/>
    <w:rsid w:val="00AC5141"/>
    <w:rsid w:val="00AD1628"/>
    <w:rsid w:val="00AD3527"/>
    <w:rsid w:val="00AD43D1"/>
    <w:rsid w:val="00AD7AD3"/>
    <w:rsid w:val="00AD7E75"/>
    <w:rsid w:val="00AE3021"/>
    <w:rsid w:val="00AE4AE7"/>
    <w:rsid w:val="00AF0DBB"/>
    <w:rsid w:val="00AF7F6F"/>
    <w:rsid w:val="00B038D0"/>
    <w:rsid w:val="00B04561"/>
    <w:rsid w:val="00B05E4B"/>
    <w:rsid w:val="00B12DCF"/>
    <w:rsid w:val="00B16421"/>
    <w:rsid w:val="00B21A2A"/>
    <w:rsid w:val="00B2318C"/>
    <w:rsid w:val="00B31EF6"/>
    <w:rsid w:val="00B34687"/>
    <w:rsid w:val="00B34F7E"/>
    <w:rsid w:val="00B40FE0"/>
    <w:rsid w:val="00B47E43"/>
    <w:rsid w:val="00B50566"/>
    <w:rsid w:val="00B514D3"/>
    <w:rsid w:val="00B526DE"/>
    <w:rsid w:val="00B552A5"/>
    <w:rsid w:val="00B62AC8"/>
    <w:rsid w:val="00B6309A"/>
    <w:rsid w:val="00B71B3C"/>
    <w:rsid w:val="00B72B5D"/>
    <w:rsid w:val="00B75B5C"/>
    <w:rsid w:val="00B87F52"/>
    <w:rsid w:val="00B91293"/>
    <w:rsid w:val="00B9225D"/>
    <w:rsid w:val="00B958AF"/>
    <w:rsid w:val="00BA2304"/>
    <w:rsid w:val="00BA7433"/>
    <w:rsid w:val="00BB6335"/>
    <w:rsid w:val="00BC51FC"/>
    <w:rsid w:val="00BE4090"/>
    <w:rsid w:val="00BF7557"/>
    <w:rsid w:val="00BF7E67"/>
    <w:rsid w:val="00C0255A"/>
    <w:rsid w:val="00C03ED5"/>
    <w:rsid w:val="00C0423A"/>
    <w:rsid w:val="00C04743"/>
    <w:rsid w:val="00C117AB"/>
    <w:rsid w:val="00C12459"/>
    <w:rsid w:val="00C1362F"/>
    <w:rsid w:val="00C16EC2"/>
    <w:rsid w:val="00C214B9"/>
    <w:rsid w:val="00C217B2"/>
    <w:rsid w:val="00C32FD5"/>
    <w:rsid w:val="00C46392"/>
    <w:rsid w:val="00C46A33"/>
    <w:rsid w:val="00C63075"/>
    <w:rsid w:val="00C63668"/>
    <w:rsid w:val="00C63965"/>
    <w:rsid w:val="00C657D5"/>
    <w:rsid w:val="00C67E19"/>
    <w:rsid w:val="00C7246E"/>
    <w:rsid w:val="00C83641"/>
    <w:rsid w:val="00C83B4F"/>
    <w:rsid w:val="00C83FF3"/>
    <w:rsid w:val="00C87E04"/>
    <w:rsid w:val="00C87E4D"/>
    <w:rsid w:val="00C90CEF"/>
    <w:rsid w:val="00C9107F"/>
    <w:rsid w:val="00C92B10"/>
    <w:rsid w:val="00C94D91"/>
    <w:rsid w:val="00CA15E4"/>
    <w:rsid w:val="00CA1AB6"/>
    <w:rsid w:val="00CA4762"/>
    <w:rsid w:val="00CA739D"/>
    <w:rsid w:val="00CA7A66"/>
    <w:rsid w:val="00CB370B"/>
    <w:rsid w:val="00CB5475"/>
    <w:rsid w:val="00CC160D"/>
    <w:rsid w:val="00CC4016"/>
    <w:rsid w:val="00CC4081"/>
    <w:rsid w:val="00CC525B"/>
    <w:rsid w:val="00CC7C6E"/>
    <w:rsid w:val="00CD0118"/>
    <w:rsid w:val="00CD5002"/>
    <w:rsid w:val="00CD62CC"/>
    <w:rsid w:val="00CE359C"/>
    <w:rsid w:val="00CE4896"/>
    <w:rsid w:val="00CE4FE6"/>
    <w:rsid w:val="00CE5233"/>
    <w:rsid w:val="00CE5D61"/>
    <w:rsid w:val="00CE7736"/>
    <w:rsid w:val="00CF29B5"/>
    <w:rsid w:val="00CF3239"/>
    <w:rsid w:val="00CF4743"/>
    <w:rsid w:val="00CF55FF"/>
    <w:rsid w:val="00D01054"/>
    <w:rsid w:val="00D016A0"/>
    <w:rsid w:val="00D04111"/>
    <w:rsid w:val="00D06B51"/>
    <w:rsid w:val="00D07317"/>
    <w:rsid w:val="00D1211C"/>
    <w:rsid w:val="00D12AB9"/>
    <w:rsid w:val="00D15E3F"/>
    <w:rsid w:val="00D16364"/>
    <w:rsid w:val="00D2140B"/>
    <w:rsid w:val="00D22634"/>
    <w:rsid w:val="00D23516"/>
    <w:rsid w:val="00D3197F"/>
    <w:rsid w:val="00D32ED6"/>
    <w:rsid w:val="00D34D27"/>
    <w:rsid w:val="00D43326"/>
    <w:rsid w:val="00D43756"/>
    <w:rsid w:val="00D444EE"/>
    <w:rsid w:val="00D44601"/>
    <w:rsid w:val="00D47A7D"/>
    <w:rsid w:val="00D517AE"/>
    <w:rsid w:val="00D53B62"/>
    <w:rsid w:val="00D55B68"/>
    <w:rsid w:val="00D62913"/>
    <w:rsid w:val="00D65371"/>
    <w:rsid w:val="00D6576E"/>
    <w:rsid w:val="00D72990"/>
    <w:rsid w:val="00D76C64"/>
    <w:rsid w:val="00D772B0"/>
    <w:rsid w:val="00D82789"/>
    <w:rsid w:val="00D850DA"/>
    <w:rsid w:val="00D87348"/>
    <w:rsid w:val="00D8782E"/>
    <w:rsid w:val="00D90BC0"/>
    <w:rsid w:val="00D90F66"/>
    <w:rsid w:val="00D926AA"/>
    <w:rsid w:val="00D952B5"/>
    <w:rsid w:val="00D977E6"/>
    <w:rsid w:val="00DA407F"/>
    <w:rsid w:val="00DA49BD"/>
    <w:rsid w:val="00DB26C5"/>
    <w:rsid w:val="00DB3ED7"/>
    <w:rsid w:val="00DB4446"/>
    <w:rsid w:val="00DB646F"/>
    <w:rsid w:val="00DC1770"/>
    <w:rsid w:val="00DC2AF1"/>
    <w:rsid w:val="00DC320E"/>
    <w:rsid w:val="00DC6A09"/>
    <w:rsid w:val="00DC6AF3"/>
    <w:rsid w:val="00DD3CB5"/>
    <w:rsid w:val="00DD6D86"/>
    <w:rsid w:val="00DD76AD"/>
    <w:rsid w:val="00DE1BA1"/>
    <w:rsid w:val="00DE2AE9"/>
    <w:rsid w:val="00DE4A1C"/>
    <w:rsid w:val="00DE6557"/>
    <w:rsid w:val="00DF0C8A"/>
    <w:rsid w:val="00E02E67"/>
    <w:rsid w:val="00E03753"/>
    <w:rsid w:val="00E0417F"/>
    <w:rsid w:val="00E10373"/>
    <w:rsid w:val="00E1269C"/>
    <w:rsid w:val="00E13A27"/>
    <w:rsid w:val="00E15263"/>
    <w:rsid w:val="00E15AE7"/>
    <w:rsid w:val="00E20D63"/>
    <w:rsid w:val="00E210A1"/>
    <w:rsid w:val="00E226F9"/>
    <w:rsid w:val="00E231E5"/>
    <w:rsid w:val="00E30238"/>
    <w:rsid w:val="00E3512B"/>
    <w:rsid w:val="00E4329C"/>
    <w:rsid w:val="00E455E7"/>
    <w:rsid w:val="00E50D0A"/>
    <w:rsid w:val="00E56096"/>
    <w:rsid w:val="00E57DF1"/>
    <w:rsid w:val="00E60C0F"/>
    <w:rsid w:val="00E60F84"/>
    <w:rsid w:val="00E64DF8"/>
    <w:rsid w:val="00E6664D"/>
    <w:rsid w:val="00E72046"/>
    <w:rsid w:val="00E842E7"/>
    <w:rsid w:val="00E873F4"/>
    <w:rsid w:val="00E90EC7"/>
    <w:rsid w:val="00E90FA6"/>
    <w:rsid w:val="00E92A4C"/>
    <w:rsid w:val="00E95FD3"/>
    <w:rsid w:val="00EB3CD8"/>
    <w:rsid w:val="00EB480C"/>
    <w:rsid w:val="00EB63C1"/>
    <w:rsid w:val="00EB7F72"/>
    <w:rsid w:val="00EC1A00"/>
    <w:rsid w:val="00EC2147"/>
    <w:rsid w:val="00EC3B68"/>
    <w:rsid w:val="00EC5AEF"/>
    <w:rsid w:val="00ED0C77"/>
    <w:rsid w:val="00ED1662"/>
    <w:rsid w:val="00ED3241"/>
    <w:rsid w:val="00ED5769"/>
    <w:rsid w:val="00EE4124"/>
    <w:rsid w:val="00EF4CA6"/>
    <w:rsid w:val="00F01803"/>
    <w:rsid w:val="00F07C65"/>
    <w:rsid w:val="00F12100"/>
    <w:rsid w:val="00F14E9B"/>
    <w:rsid w:val="00F169EC"/>
    <w:rsid w:val="00F312C6"/>
    <w:rsid w:val="00F32A01"/>
    <w:rsid w:val="00F42998"/>
    <w:rsid w:val="00F4663B"/>
    <w:rsid w:val="00F50D4C"/>
    <w:rsid w:val="00F56215"/>
    <w:rsid w:val="00F604E6"/>
    <w:rsid w:val="00F62CF8"/>
    <w:rsid w:val="00F63A09"/>
    <w:rsid w:val="00F666F7"/>
    <w:rsid w:val="00F678CB"/>
    <w:rsid w:val="00F72635"/>
    <w:rsid w:val="00F75562"/>
    <w:rsid w:val="00F779C8"/>
    <w:rsid w:val="00F80475"/>
    <w:rsid w:val="00F8155D"/>
    <w:rsid w:val="00F840FE"/>
    <w:rsid w:val="00F90019"/>
    <w:rsid w:val="00F91575"/>
    <w:rsid w:val="00F9273F"/>
    <w:rsid w:val="00FA1FB8"/>
    <w:rsid w:val="00FA6A94"/>
    <w:rsid w:val="00FA6FD7"/>
    <w:rsid w:val="00FA7269"/>
    <w:rsid w:val="00FB59DA"/>
    <w:rsid w:val="00FB5F4E"/>
    <w:rsid w:val="00FC013D"/>
    <w:rsid w:val="00FC14F2"/>
    <w:rsid w:val="00FC6BEB"/>
    <w:rsid w:val="00FD0D6A"/>
    <w:rsid w:val="00FD11B5"/>
    <w:rsid w:val="00FD1C6E"/>
    <w:rsid w:val="00FE0E24"/>
    <w:rsid w:val="00FE2D29"/>
    <w:rsid w:val="00FE2DFF"/>
    <w:rsid w:val="00FE5713"/>
    <w:rsid w:val="00FE7A6A"/>
    <w:rsid w:val="00FF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8629"/>
  <w15:docId w15:val="{24CC153F-9E59-4C35-B310-4BADDC0A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ttes">
    <w:name w:val="annette's"/>
    <w:basedOn w:val="Normal"/>
    <w:qFormat/>
    <w:rsid w:val="00A96E53"/>
    <w:pPr>
      <w:spacing w:line="360" w:lineRule="auto"/>
      <w:jc w:val="both"/>
    </w:pPr>
    <w:rPr>
      <w:rFonts w:ascii="Times New Roman" w:hAnsi="Times New Roman"/>
      <w:sz w:val="24"/>
    </w:rPr>
  </w:style>
  <w:style w:type="paragraph" w:styleId="ListParagraph">
    <w:name w:val="List Paragraph"/>
    <w:basedOn w:val="Normal"/>
    <w:uiPriority w:val="34"/>
    <w:qFormat/>
    <w:rsid w:val="00E13A27"/>
    <w:pPr>
      <w:spacing w:after="0" w:line="480" w:lineRule="auto"/>
      <w:ind w:left="720"/>
      <w:contextualSpacing/>
    </w:pPr>
  </w:style>
  <w:style w:type="paragraph" w:styleId="FootnoteText">
    <w:name w:val="footnote text"/>
    <w:basedOn w:val="Normal"/>
    <w:link w:val="FootnoteTextChar"/>
    <w:uiPriority w:val="99"/>
    <w:unhideWhenUsed/>
    <w:rsid w:val="00F75562"/>
    <w:pPr>
      <w:spacing w:after="0" w:line="240" w:lineRule="auto"/>
    </w:pPr>
    <w:rPr>
      <w:sz w:val="20"/>
      <w:szCs w:val="20"/>
    </w:rPr>
  </w:style>
  <w:style w:type="character" w:customStyle="1" w:styleId="FootnoteTextChar">
    <w:name w:val="Footnote Text Char"/>
    <w:basedOn w:val="DefaultParagraphFont"/>
    <w:link w:val="FootnoteText"/>
    <w:uiPriority w:val="99"/>
    <w:rsid w:val="00F75562"/>
    <w:rPr>
      <w:sz w:val="20"/>
      <w:szCs w:val="20"/>
    </w:rPr>
  </w:style>
  <w:style w:type="character" w:styleId="FootnoteReference">
    <w:name w:val="footnote reference"/>
    <w:basedOn w:val="DefaultParagraphFont"/>
    <w:uiPriority w:val="99"/>
    <w:unhideWhenUsed/>
    <w:rsid w:val="00F75562"/>
    <w:rPr>
      <w:vertAlign w:val="superscript"/>
    </w:rPr>
  </w:style>
  <w:style w:type="table" w:styleId="TableGrid">
    <w:name w:val="Table Grid"/>
    <w:basedOn w:val="TableNormal"/>
    <w:uiPriority w:val="59"/>
    <w:rsid w:val="00FA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A1C"/>
  </w:style>
  <w:style w:type="paragraph" w:styleId="Footer">
    <w:name w:val="footer"/>
    <w:basedOn w:val="Normal"/>
    <w:link w:val="FooterChar"/>
    <w:uiPriority w:val="99"/>
    <w:unhideWhenUsed/>
    <w:rsid w:val="00DE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A1C"/>
  </w:style>
  <w:style w:type="paragraph" w:styleId="BalloonText">
    <w:name w:val="Balloon Text"/>
    <w:basedOn w:val="Normal"/>
    <w:link w:val="BalloonTextChar"/>
    <w:uiPriority w:val="99"/>
    <w:semiHidden/>
    <w:unhideWhenUsed/>
    <w:rsid w:val="0085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57"/>
    <w:rPr>
      <w:rFonts w:ascii="Tahoma" w:hAnsi="Tahoma" w:cs="Tahoma"/>
      <w:sz w:val="16"/>
      <w:szCs w:val="16"/>
    </w:rPr>
  </w:style>
  <w:style w:type="character" w:styleId="Hyperlink">
    <w:name w:val="Hyperlink"/>
    <w:basedOn w:val="DefaultParagraphFont"/>
    <w:uiPriority w:val="99"/>
    <w:unhideWhenUsed/>
    <w:rsid w:val="00DA407F"/>
    <w:rPr>
      <w:color w:val="0000FF" w:themeColor="hyperlink"/>
      <w:u w:val="single"/>
    </w:rPr>
  </w:style>
  <w:style w:type="character" w:styleId="CommentReference">
    <w:name w:val="annotation reference"/>
    <w:basedOn w:val="DefaultParagraphFont"/>
    <w:uiPriority w:val="99"/>
    <w:semiHidden/>
    <w:unhideWhenUsed/>
    <w:rsid w:val="009B571F"/>
    <w:rPr>
      <w:sz w:val="16"/>
      <w:szCs w:val="16"/>
    </w:rPr>
  </w:style>
  <w:style w:type="paragraph" w:styleId="CommentText">
    <w:name w:val="annotation text"/>
    <w:basedOn w:val="Normal"/>
    <w:link w:val="CommentTextChar"/>
    <w:uiPriority w:val="99"/>
    <w:semiHidden/>
    <w:unhideWhenUsed/>
    <w:rsid w:val="009B571F"/>
    <w:pPr>
      <w:spacing w:line="240" w:lineRule="auto"/>
    </w:pPr>
    <w:rPr>
      <w:sz w:val="20"/>
      <w:szCs w:val="20"/>
    </w:rPr>
  </w:style>
  <w:style w:type="character" w:customStyle="1" w:styleId="CommentTextChar">
    <w:name w:val="Comment Text Char"/>
    <w:basedOn w:val="DefaultParagraphFont"/>
    <w:link w:val="CommentText"/>
    <w:uiPriority w:val="99"/>
    <w:semiHidden/>
    <w:rsid w:val="009B571F"/>
    <w:rPr>
      <w:sz w:val="20"/>
      <w:szCs w:val="20"/>
    </w:rPr>
  </w:style>
  <w:style w:type="paragraph" w:styleId="CommentSubject">
    <w:name w:val="annotation subject"/>
    <w:basedOn w:val="CommentText"/>
    <w:next w:val="CommentText"/>
    <w:link w:val="CommentSubjectChar"/>
    <w:uiPriority w:val="99"/>
    <w:semiHidden/>
    <w:unhideWhenUsed/>
    <w:rsid w:val="009B571F"/>
    <w:rPr>
      <w:b/>
      <w:bCs/>
    </w:rPr>
  </w:style>
  <w:style w:type="character" w:customStyle="1" w:styleId="CommentSubjectChar">
    <w:name w:val="Comment Subject Char"/>
    <w:basedOn w:val="CommentTextChar"/>
    <w:link w:val="CommentSubject"/>
    <w:uiPriority w:val="99"/>
    <w:semiHidden/>
    <w:rsid w:val="009B571F"/>
    <w:rPr>
      <w:b/>
      <w:bCs/>
      <w:sz w:val="20"/>
      <w:szCs w:val="20"/>
    </w:rPr>
  </w:style>
  <w:style w:type="paragraph" w:styleId="EndnoteText">
    <w:name w:val="endnote text"/>
    <w:basedOn w:val="Normal"/>
    <w:link w:val="EndnoteTextChar"/>
    <w:uiPriority w:val="99"/>
    <w:semiHidden/>
    <w:unhideWhenUsed/>
    <w:rsid w:val="00906C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6CBB"/>
    <w:rPr>
      <w:sz w:val="20"/>
      <w:szCs w:val="20"/>
    </w:rPr>
  </w:style>
  <w:style w:type="character" w:styleId="EndnoteReference">
    <w:name w:val="endnote reference"/>
    <w:basedOn w:val="DefaultParagraphFont"/>
    <w:uiPriority w:val="99"/>
    <w:semiHidden/>
    <w:unhideWhenUsed/>
    <w:rsid w:val="00906CBB"/>
    <w:rPr>
      <w:vertAlign w:val="superscript"/>
    </w:rPr>
  </w:style>
  <w:style w:type="character" w:customStyle="1" w:styleId="label1">
    <w:name w:val="label1"/>
    <w:basedOn w:val="DefaultParagraphFont"/>
    <w:rsid w:val="006B4FB1"/>
    <w:rPr>
      <w:sz w:val="20"/>
      <w:szCs w:val="20"/>
    </w:rPr>
  </w:style>
  <w:style w:type="paragraph" w:customStyle="1" w:styleId="bullet4level1">
    <w:name w:val="bullet4 level1"/>
    <w:basedOn w:val="Normal"/>
    <w:rsid w:val="00192C6E"/>
    <w:pPr>
      <w:numPr>
        <w:numId w:val="9"/>
      </w:numPr>
      <w:tabs>
        <w:tab w:val="left" w:pos="3060"/>
      </w:tabs>
      <w:spacing w:after="120" w:line="260" w:lineRule="exact"/>
    </w:pPr>
    <w:rPr>
      <w:rFonts w:ascii="Arial" w:eastAsia="Times New Roman" w:hAnsi="Arial" w:cs="Times New Roman"/>
      <w:color w:val="1F497D" w:themeColor="text2"/>
      <w:sz w:val="21"/>
      <w:szCs w:val="24"/>
    </w:rPr>
  </w:style>
  <w:style w:type="paragraph" w:customStyle="1" w:styleId="m-8885962025766907527msolistparagraph">
    <w:name w:val="m_-8885962025766907527msolistparagraph"/>
    <w:basedOn w:val="Normal"/>
    <w:rsid w:val="00190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190776"/>
  </w:style>
  <w:style w:type="character" w:customStyle="1" w:styleId="UnresolvedMention1">
    <w:name w:val="Unresolved Mention1"/>
    <w:basedOn w:val="DefaultParagraphFont"/>
    <w:uiPriority w:val="99"/>
    <w:semiHidden/>
    <w:unhideWhenUsed/>
    <w:rsid w:val="00476493"/>
    <w:rPr>
      <w:color w:val="605E5C"/>
      <w:shd w:val="clear" w:color="auto" w:fill="E1DFDD"/>
    </w:rPr>
  </w:style>
  <w:style w:type="character" w:styleId="FollowedHyperlink">
    <w:name w:val="FollowedHyperlink"/>
    <w:basedOn w:val="DefaultParagraphFont"/>
    <w:uiPriority w:val="99"/>
    <w:semiHidden/>
    <w:unhideWhenUsed/>
    <w:rsid w:val="00D44601"/>
    <w:rPr>
      <w:color w:val="800080" w:themeColor="followedHyperlink"/>
      <w:u w:val="single"/>
    </w:rPr>
  </w:style>
  <w:style w:type="character" w:customStyle="1" w:styleId="UnresolvedMention2">
    <w:name w:val="Unresolved Mention2"/>
    <w:basedOn w:val="DefaultParagraphFont"/>
    <w:uiPriority w:val="99"/>
    <w:semiHidden/>
    <w:unhideWhenUsed/>
    <w:rsid w:val="00FE2DFF"/>
    <w:rPr>
      <w:color w:val="808080"/>
      <w:shd w:val="clear" w:color="auto" w:fill="E6E6E6"/>
    </w:rPr>
  </w:style>
  <w:style w:type="paragraph" w:styleId="Revision">
    <w:name w:val="Revision"/>
    <w:hidden/>
    <w:uiPriority w:val="99"/>
    <w:semiHidden/>
    <w:rsid w:val="00FE2D29"/>
    <w:pPr>
      <w:spacing w:after="0" w:line="240" w:lineRule="auto"/>
    </w:pPr>
  </w:style>
  <w:style w:type="paragraph" w:customStyle="1" w:styleId="Default">
    <w:name w:val="Default"/>
    <w:rsid w:val="00337FA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32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301">
      <w:bodyDiv w:val="1"/>
      <w:marLeft w:val="75"/>
      <w:marRight w:val="75"/>
      <w:marTop w:val="0"/>
      <w:marBottom w:val="0"/>
      <w:divBdr>
        <w:top w:val="none" w:sz="0" w:space="0" w:color="auto"/>
        <w:left w:val="none" w:sz="0" w:space="0" w:color="auto"/>
        <w:bottom w:val="none" w:sz="0" w:space="0" w:color="auto"/>
        <w:right w:val="none" w:sz="0" w:space="0" w:color="auto"/>
      </w:divBdr>
    </w:div>
    <w:div w:id="105973432">
      <w:bodyDiv w:val="1"/>
      <w:marLeft w:val="0"/>
      <w:marRight w:val="0"/>
      <w:marTop w:val="0"/>
      <w:marBottom w:val="0"/>
      <w:divBdr>
        <w:top w:val="none" w:sz="0" w:space="0" w:color="auto"/>
        <w:left w:val="none" w:sz="0" w:space="0" w:color="auto"/>
        <w:bottom w:val="none" w:sz="0" w:space="0" w:color="auto"/>
        <w:right w:val="none" w:sz="0" w:space="0" w:color="auto"/>
      </w:divBdr>
    </w:div>
    <w:div w:id="717900606">
      <w:bodyDiv w:val="1"/>
      <w:marLeft w:val="0"/>
      <w:marRight w:val="0"/>
      <w:marTop w:val="0"/>
      <w:marBottom w:val="0"/>
      <w:divBdr>
        <w:top w:val="none" w:sz="0" w:space="0" w:color="auto"/>
        <w:left w:val="none" w:sz="0" w:space="0" w:color="auto"/>
        <w:bottom w:val="none" w:sz="0" w:space="0" w:color="auto"/>
        <w:right w:val="none" w:sz="0" w:space="0" w:color="auto"/>
      </w:divBdr>
    </w:div>
    <w:div w:id="976453460">
      <w:bodyDiv w:val="1"/>
      <w:marLeft w:val="0"/>
      <w:marRight w:val="0"/>
      <w:marTop w:val="0"/>
      <w:marBottom w:val="0"/>
      <w:divBdr>
        <w:top w:val="none" w:sz="0" w:space="0" w:color="auto"/>
        <w:left w:val="none" w:sz="0" w:space="0" w:color="auto"/>
        <w:bottom w:val="none" w:sz="0" w:space="0" w:color="auto"/>
        <w:right w:val="none" w:sz="0" w:space="0" w:color="auto"/>
      </w:divBdr>
    </w:div>
    <w:div w:id="1166167299">
      <w:bodyDiv w:val="1"/>
      <w:marLeft w:val="0"/>
      <w:marRight w:val="0"/>
      <w:marTop w:val="0"/>
      <w:marBottom w:val="0"/>
      <w:divBdr>
        <w:top w:val="none" w:sz="0" w:space="0" w:color="auto"/>
        <w:left w:val="none" w:sz="0" w:space="0" w:color="auto"/>
        <w:bottom w:val="none" w:sz="0" w:space="0" w:color="auto"/>
        <w:right w:val="none" w:sz="0" w:space="0" w:color="auto"/>
      </w:divBdr>
    </w:div>
    <w:div w:id="126723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chele@competitivepow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www.ercot.com/content/wcm/key_documents_lists/138551/05.__2018_Discussion_on_July_and_August_RUC_Activity_updated.pdf" TargetMode="External"/><Relationship Id="rId3" Type="http://schemas.openxmlformats.org/officeDocument/2006/relationships/hyperlink" Target="http://www.ercot.com/gridinfo/resource" TargetMode="External"/><Relationship Id="rId7" Type="http://schemas.openxmlformats.org/officeDocument/2006/relationships/hyperlink" Target="http://mis.ercot.com/misapp/GetReports.do?reportTypeId=13231&amp;reportTitle=Historical%20Real-Time%20ORDC%20and%20Reliability%20Deployment%20Price%20Adders%20and%20Reserves&amp;showHTMLView=&amp;mimicKey" TargetMode="External"/><Relationship Id="rId2" Type="http://schemas.openxmlformats.org/officeDocument/2006/relationships/hyperlink" Target="http://www.ercot.com/content/wcm/lists/114800/CDR_Summer_PeakAveWindCapacityPercentages_11-20-2017.xlsx" TargetMode="External"/><Relationship Id="rId1" Type="http://schemas.openxmlformats.org/officeDocument/2006/relationships/hyperlink" Target="http://www.ercot.com/content/wcm/lists/114800/CDR_Summer_PeakAveSolarCapacityPercentages_11-20-2017.xlsx" TargetMode="External"/><Relationship Id="rId6" Type="http://schemas.openxmlformats.org/officeDocument/2006/relationships/hyperlink" Target="http://mis.ercot.com/misapp/GetReports.do?reportTypeId=12340" TargetMode="External"/><Relationship Id="rId5" Type="http://schemas.openxmlformats.org/officeDocument/2006/relationships/hyperlink" Target="http://www.ercot.com/gridinfo/load/load_hist/" TargetMode="External"/><Relationship Id="rId4" Type="http://schemas.openxmlformats.org/officeDocument/2006/relationships/hyperlink" Target="http://www.ercot.com/content/wcm/lists/143978/GIS_Report__September_2018.xls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xbwq\Documents\Active%20Projects\48551%20(2018%20Summer%20Review)\ERCOT%20Data\ERCOT%20Hourly%20Load%202014-2018YT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Apparent 4CP MW Reductions (2014-2017,</a:t>
            </a:r>
            <a:r>
              <a:rPr lang="en-US" b="1" baseline="0"/>
              <a:t> 2018 </a:t>
            </a:r>
            <a:r>
              <a:rPr lang="en-US" b="1"/>
              <a:t>Trend)</a:t>
            </a:r>
          </a:p>
        </c:rich>
      </c:tx>
      <c:overlay val="0"/>
      <c:spPr>
        <a:noFill/>
        <a:ln>
          <a:noFill/>
        </a:ln>
        <a:effectLst/>
      </c:spPr>
    </c:title>
    <c:autoTitleDeleted val="0"/>
    <c:plotArea>
      <c:layout>
        <c:manualLayout>
          <c:layoutTarget val="inner"/>
          <c:xMode val="edge"/>
          <c:yMode val="edge"/>
          <c:x val="0.11745983108715403"/>
          <c:y val="0.16595078299776286"/>
          <c:w val="0.82246266786831845"/>
          <c:h val="0.78483221476510068"/>
        </c:manualLayout>
      </c:layout>
      <c:stockChart>
        <c:ser>
          <c:idx val="0"/>
          <c:order val="0"/>
          <c:tx>
            <c:strRef>
              <c:f>'ERCOT 4CP Chart Estimates'!$A$2</c:f>
              <c:strCache>
                <c:ptCount val="1"/>
                <c:pt idx="0">
                  <c:v>Apparent 4CP MW Reduction</c:v>
                </c:pt>
              </c:strCache>
            </c:strRef>
          </c:tx>
          <c:spPr>
            <a:ln w="25400" cap="rnd">
              <a:no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'ERCOT 4CP Chart Estimates'!$B$1:$U$1</c:f>
              <c:strCache>
                <c:ptCount val="20"/>
                <c:pt idx="0">
                  <c:v>Jun-14</c:v>
                </c:pt>
                <c:pt idx="1">
                  <c:v>Jul-14</c:v>
                </c:pt>
                <c:pt idx="2">
                  <c:v>Aug-14</c:v>
                </c:pt>
                <c:pt idx="3">
                  <c:v>Sep-14</c:v>
                </c:pt>
                <c:pt idx="4">
                  <c:v>Jun-15</c:v>
                </c:pt>
                <c:pt idx="5">
                  <c:v>Jul-15</c:v>
                </c:pt>
                <c:pt idx="6">
                  <c:v>Aug-15</c:v>
                </c:pt>
                <c:pt idx="7">
                  <c:v>Sep-15</c:v>
                </c:pt>
                <c:pt idx="8">
                  <c:v>Jun-16</c:v>
                </c:pt>
                <c:pt idx="9">
                  <c:v>Jul-16</c:v>
                </c:pt>
                <c:pt idx="10">
                  <c:v>Aug-16</c:v>
                </c:pt>
                <c:pt idx="11">
                  <c:v>Sep-16</c:v>
                </c:pt>
                <c:pt idx="12">
                  <c:v>Jun-17</c:v>
                </c:pt>
                <c:pt idx="13">
                  <c:v>Jul-17</c:v>
                </c:pt>
                <c:pt idx="14">
                  <c:v>Aug-17</c:v>
                </c:pt>
                <c:pt idx="15">
                  <c:v>Sep-17</c:v>
                </c:pt>
                <c:pt idx="16">
                  <c:v>Jun-18</c:v>
                </c:pt>
                <c:pt idx="17">
                  <c:v>Jul-18</c:v>
                </c:pt>
                <c:pt idx="18">
                  <c:v>Aug-18</c:v>
                </c:pt>
                <c:pt idx="19">
                  <c:v>Sep-18</c:v>
                </c:pt>
              </c:strCache>
            </c:strRef>
          </c:cat>
          <c:val>
            <c:numRef>
              <c:f>'ERCOT 4CP Chart Estimates'!$B$2:$U$2</c:f>
              <c:numCache>
                <c:formatCode>_(* #,##0_);_(* \(#,##0\);_(* "-"??_);_(@_)</c:formatCode>
                <c:ptCount val="20"/>
                <c:pt idx="0">
                  <c:v>900</c:v>
                </c:pt>
                <c:pt idx="1">
                  <c:v>450</c:v>
                </c:pt>
                <c:pt idx="2">
                  <c:v>1600</c:v>
                </c:pt>
                <c:pt idx="3">
                  <c:v>1400</c:v>
                </c:pt>
                <c:pt idx="4">
                  <c:v>1000</c:v>
                </c:pt>
                <c:pt idx="5">
                  <c:v>1550</c:v>
                </c:pt>
                <c:pt idx="6">
                  <c:v>1750</c:v>
                </c:pt>
                <c:pt idx="7">
                  <c:v>1250</c:v>
                </c:pt>
                <c:pt idx="8">
                  <c:v>800</c:v>
                </c:pt>
                <c:pt idx="9">
                  <c:v>1050</c:v>
                </c:pt>
                <c:pt idx="10">
                  <c:v>1800</c:v>
                </c:pt>
                <c:pt idx="11">
                  <c:v>1550</c:v>
                </c:pt>
                <c:pt idx="12">
                  <c:v>2100</c:v>
                </c:pt>
                <c:pt idx="13">
                  <c:v>1900</c:v>
                </c:pt>
                <c:pt idx="14">
                  <c:v>750</c:v>
                </c:pt>
                <c:pt idx="15">
                  <c:v>1400</c:v>
                </c:pt>
              </c:numCache>
            </c:numRef>
          </c:val>
          <c:smooth val="0"/>
          <c:extLst>
            <c:ext xmlns:c16="http://schemas.microsoft.com/office/drawing/2014/chart" uri="{C3380CC4-5D6E-409C-BE32-E72D297353CC}">
              <c16:uniqueId val="{00000001-135A-4E36-BC85-E062BD593894}"/>
            </c:ext>
          </c:extLst>
        </c:ser>
        <c:ser>
          <c:idx val="1"/>
          <c:order val="1"/>
          <c:tx>
            <c:strRef>
              <c:f>'ERCOT 4CP Chart Estimates'!$A$3</c:f>
              <c:strCache>
                <c:ptCount val="1"/>
                <c:pt idx="0">
                  <c:v>Trendline Extrapolation</c:v>
                </c:pt>
              </c:strCache>
            </c:strRef>
          </c:tx>
          <c:spPr>
            <a:ln w="25400" cap="rnd">
              <a:noFill/>
              <a:round/>
            </a:ln>
            <a:effectLst/>
          </c:spPr>
          <c:marker>
            <c:symbol val="none"/>
          </c:marker>
          <c:dLbls>
            <c:dLbl>
              <c:idx val="16"/>
              <c:delete val="1"/>
              <c:extLst>
                <c:ext xmlns:c15="http://schemas.microsoft.com/office/drawing/2012/chart" uri="{CE6537A1-D6FC-4f65-9D91-7224C49458BB}"/>
                <c:ext xmlns:c16="http://schemas.microsoft.com/office/drawing/2014/chart" uri="{C3380CC4-5D6E-409C-BE32-E72D297353CC}">
                  <c16:uniqueId val="{00000002-135A-4E36-BC85-E062BD593894}"/>
                </c:ext>
              </c:extLst>
            </c:dLbl>
            <c:dLbl>
              <c:idx val="17"/>
              <c:delete val="1"/>
              <c:extLst>
                <c:ext xmlns:c15="http://schemas.microsoft.com/office/drawing/2012/chart" uri="{CE6537A1-D6FC-4f65-9D91-7224C49458BB}"/>
                <c:ext xmlns:c16="http://schemas.microsoft.com/office/drawing/2014/chart" uri="{C3380CC4-5D6E-409C-BE32-E72D297353CC}">
                  <c16:uniqueId val="{00000003-135A-4E36-BC85-E062BD593894}"/>
                </c:ext>
              </c:extLst>
            </c:dLbl>
            <c:dLbl>
              <c:idx val="18"/>
              <c:delete val="1"/>
              <c:extLst>
                <c:ext xmlns:c15="http://schemas.microsoft.com/office/drawing/2012/chart" uri="{CE6537A1-D6FC-4f65-9D91-7224C49458BB}"/>
                <c:ext xmlns:c16="http://schemas.microsoft.com/office/drawing/2014/chart" uri="{C3380CC4-5D6E-409C-BE32-E72D297353CC}">
                  <c16:uniqueId val="{00000004-135A-4E36-BC85-E062BD593894}"/>
                </c:ext>
              </c:extLst>
            </c:dLbl>
            <c:dLbl>
              <c:idx val="19"/>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5A-4E36-BC85-E062BD5938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'ERCOT 4CP Chart Estimates'!$B$1:$U$1</c:f>
              <c:strCache>
                <c:ptCount val="20"/>
                <c:pt idx="0">
                  <c:v>Jun-14</c:v>
                </c:pt>
                <c:pt idx="1">
                  <c:v>Jul-14</c:v>
                </c:pt>
                <c:pt idx="2">
                  <c:v>Aug-14</c:v>
                </c:pt>
                <c:pt idx="3">
                  <c:v>Sep-14</c:v>
                </c:pt>
                <c:pt idx="4">
                  <c:v>Jun-15</c:v>
                </c:pt>
                <c:pt idx="5">
                  <c:v>Jul-15</c:v>
                </c:pt>
                <c:pt idx="6">
                  <c:v>Aug-15</c:v>
                </c:pt>
                <c:pt idx="7">
                  <c:v>Sep-15</c:v>
                </c:pt>
                <c:pt idx="8">
                  <c:v>Jun-16</c:v>
                </c:pt>
                <c:pt idx="9">
                  <c:v>Jul-16</c:v>
                </c:pt>
                <c:pt idx="10">
                  <c:v>Aug-16</c:v>
                </c:pt>
                <c:pt idx="11">
                  <c:v>Sep-16</c:v>
                </c:pt>
                <c:pt idx="12">
                  <c:v>Jun-17</c:v>
                </c:pt>
                <c:pt idx="13">
                  <c:v>Jul-17</c:v>
                </c:pt>
                <c:pt idx="14">
                  <c:v>Aug-17</c:v>
                </c:pt>
                <c:pt idx="15">
                  <c:v>Sep-17</c:v>
                </c:pt>
                <c:pt idx="16">
                  <c:v>Jun-18</c:v>
                </c:pt>
                <c:pt idx="17">
                  <c:v>Jul-18</c:v>
                </c:pt>
                <c:pt idx="18">
                  <c:v>Aug-18</c:v>
                </c:pt>
                <c:pt idx="19">
                  <c:v>Sep-18</c:v>
                </c:pt>
              </c:strCache>
            </c:strRef>
          </c:cat>
          <c:val>
            <c:numRef>
              <c:f>'ERCOT 4CP Chart Estimates'!$B$3:$U$3</c:f>
              <c:numCache>
                <c:formatCode>General</c:formatCode>
                <c:ptCount val="20"/>
                <c:pt idx="16" formatCode="_(* #,##0_);_(* \(#,##0\);_(* &quot;-&quot;??_);_(@_)">
                  <c:v>1630</c:v>
                </c:pt>
                <c:pt idx="17" formatCode="_(* #,##0_);_(* \(#,##0\);_(* &quot;-&quot;??_);_(@_)">
                  <c:v>1660</c:v>
                </c:pt>
                <c:pt idx="18" formatCode="_(* #,##0_);_(* \(#,##0\);_(* &quot;-&quot;??_);_(@_)">
                  <c:v>1695</c:v>
                </c:pt>
                <c:pt idx="19" formatCode="_(* #,##0_);_(* \(#,##0\);_(* &quot;-&quot;??_);_(@_)">
                  <c:v>1730</c:v>
                </c:pt>
              </c:numCache>
            </c:numRef>
          </c:val>
          <c:smooth val="0"/>
          <c:extLst>
            <c:ext xmlns:c16="http://schemas.microsoft.com/office/drawing/2014/chart" uri="{C3380CC4-5D6E-409C-BE32-E72D297353CC}">
              <c16:uniqueId val="{00000006-135A-4E36-BC85-E062BD593894}"/>
            </c:ext>
          </c:extLst>
        </c:ser>
        <c:ser>
          <c:idx val="2"/>
          <c:order val="2"/>
          <c:tx>
            <c:strRef>
              <c:f>'ERCOT 4CP Chart Estimates'!$A$4</c:f>
              <c:strCache>
                <c:ptCount val="1"/>
                <c:pt idx="0">
                  <c:v>High</c:v>
                </c:pt>
              </c:strCache>
            </c:strRef>
          </c:tx>
          <c:spPr>
            <a:ln w="25400" cap="rnd">
              <a:noFill/>
              <a:round/>
            </a:ln>
            <a:effectLst/>
          </c:spPr>
          <c:marker>
            <c:symbol val="none"/>
          </c:marker>
          <c:dLbls>
            <c:dLbl>
              <c:idx val="16"/>
              <c:delete val="1"/>
              <c:extLst>
                <c:ext xmlns:c15="http://schemas.microsoft.com/office/drawing/2012/chart" uri="{CE6537A1-D6FC-4f65-9D91-7224C49458BB}"/>
                <c:ext xmlns:c16="http://schemas.microsoft.com/office/drawing/2014/chart" uri="{C3380CC4-5D6E-409C-BE32-E72D297353CC}">
                  <c16:uniqueId val="{00000007-135A-4E36-BC85-E062BD593894}"/>
                </c:ext>
              </c:extLst>
            </c:dLbl>
            <c:dLbl>
              <c:idx val="17"/>
              <c:delete val="1"/>
              <c:extLst>
                <c:ext xmlns:c15="http://schemas.microsoft.com/office/drawing/2012/chart" uri="{CE6537A1-D6FC-4f65-9D91-7224C49458BB}"/>
                <c:ext xmlns:c16="http://schemas.microsoft.com/office/drawing/2014/chart" uri="{C3380CC4-5D6E-409C-BE32-E72D297353CC}">
                  <c16:uniqueId val="{00000008-135A-4E36-BC85-E062BD593894}"/>
                </c:ext>
              </c:extLst>
            </c:dLbl>
            <c:dLbl>
              <c:idx val="18"/>
              <c:delete val="1"/>
              <c:extLst>
                <c:ext xmlns:c15="http://schemas.microsoft.com/office/drawing/2012/chart" uri="{CE6537A1-D6FC-4f65-9D91-7224C49458BB}"/>
                <c:ext xmlns:c16="http://schemas.microsoft.com/office/drawing/2014/chart" uri="{C3380CC4-5D6E-409C-BE32-E72D297353CC}">
                  <c16:uniqueId val="{00000009-135A-4E36-BC85-E062BD5938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'ERCOT 4CP Chart Estimates'!$B$1:$U$1</c:f>
              <c:strCache>
                <c:ptCount val="20"/>
                <c:pt idx="0">
                  <c:v>Jun-14</c:v>
                </c:pt>
                <c:pt idx="1">
                  <c:v>Jul-14</c:v>
                </c:pt>
                <c:pt idx="2">
                  <c:v>Aug-14</c:v>
                </c:pt>
                <c:pt idx="3">
                  <c:v>Sep-14</c:v>
                </c:pt>
                <c:pt idx="4">
                  <c:v>Jun-15</c:v>
                </c:pt>
                <c:pt idx="5">
                  <c:v>Jul-15</c:v>
                </c:pt>
                <c:pt idx="6">
                  <c:v>Aug-15</c:v>
                </c:pt>
                <c:pt idx="7">
                  <c:v>Sep-15</c:v>
                </c:pt>
                <c:pt idx="8">
                  <c:v>Jun-16</c:v>
                </c:pt>
                <c:pt idx="9">
                  <c:v>Jul-16</c:v>
                </c:pt>
                <c:pt idx="10">
                  <c:v>Aug-16</c:v>
                </c:pt>
                <c:pt idx="11">
                  <c:v>Sep-16</c:v>
                </c:pt>
                <c:pt idx="12">
                  <c:v>Jun-17</c:v>
                </c:pt>
                <c:pt idx="13">
                  <c:v>Jul-17</c:v>
                </c:pt>
                <c:pt idx="14">
                  <c:v>Aug-17</c:v>
                </c:pt>
                <c:pt idx="15">
                  <c:v>Sep-17</c:v>
                </c:pt>
                <c:pt idx="16">
                  <c:v>Jun-18</c:v>
                </c:pt>
                <c:pt idx="17">
                  <c:v>Jul-18</c:v>
                </c:pt>
                <c:pt idx="18">
                  <c:v>Aug-18</c:v>
                </c:pt>
                <c:pt idx="19">
                  <c:v>Sep-18</c:v>
                </c:pt>
              </c:strCache>
            </c:strRef>
          </c:cat>
          <c:val>
            <c:numRef>
              <c:f>'ERCOT 4CP Chart Estimates'!$B$4:$U$4</c:f>
              <c:numCache>
                <c:formatCode>General</c:formatCode>
                <c:ptCount val="20"/>
                <c:pt idx="16" formatCode="_(* #,##0_);_(* \(#,##0\);_(* &quot;-&quot;??_);_(@_)">
                  <c:v>2096.5364401630382</c:v>
                </c:pt>
                <c:pt idx="17" formatCode="_(* #,##0_);_(* \(#,##0\);_(* &quot;-&quot;??_);_(@_)">
                  <c:v>2126.5364401630382</c:v>
                </c:pt>
                <c:pt idx="18" formatCode="_(* #,##0_);_(* \(#,##0\);_(* &quot;-&quot;??_);_(@_)">
                  <c:v>2161.5364401630382</c:v>
                </c:pt>
                <c:pt idx="19" formatCode="_(* #,##0_);_(* \(#,##0\);_(* &quot;-&quot;??_);_(@_)">
                  <c:v>2196.5364401630382</c:v>
                </c:pt>
              </c:numCache>
            </c:numRef>
          </c:val>
          <c:smooth val="0"/>
          <c:extLst>
            <c:ext xmlns:c16="http://schemas.microsoft.com/office/drawing/2014/chart" uri="{C3380CC4-5D6E-409C-BE32-E72D297353CC}">
              <c16:uniqueId val="{0000000A-135A-4E36-BC85-E062BD593894}"/>
            </c:ext>
          </c:extLst>
        </c:ser>
        <c:ser>
          <c:idx val="3"/>
          <c:order val="3"/>
          <c:tx>
            <c:strRef>
              <c:f>'ERCOT 4CP Chart Estimates'!$A$5</c:f>
              <c:strCache>
                <c:ptCount val="1"/>
                <c:pt idx="0">
                  <c:v>Low</c:v>
                </c:pt>
              </c:strCache>
            </c:strRef>
          </c:tx>
          <c:spPr>
            <a:ln w="25400" cap="rnd">
              <a:noFill/>
              <a:round/>
            </a:ln>
            <a:effectLst/>
          </c:spPr>
          <c:marker>
            <c:symbol val="none"/>
          </c:marker>
          <c:dLbls>
            <c:dLbl>
              <c:idx val="16"/>
              <c:delete val="1"/>
              <c:extLst>
                <c:ext xmlns:c15="http://schemas.microsoft.com/office/drawing/2012/chart" uri="{CE6537A1-D6FC-4f65-9D91-7224C49458BB}"/>
                <c:ext xmlns:c16="http://schemas.microsoft.com/office/drawing/2014/chart" uri="{C3380CC4-5D6E-409C-BE32-E72D297353CC}">
                  <c16:uniqueId val="{0000000B-135A-4E36-BC85-E062BD593894}"/>
                </c:ext>
              </c:extLst>
            </c:dLbl>
            <c:dLbl>
              <c:idx val="17"/>
              <c:delete val="1"/>
              <c:extLst>
                <c:ext xmlns:c15="http://schemas.microsoft.com/office/drawing/2012/chart" uri="{CE6537A1-D6FC-4f65-9D91-7224C49458BB}"/>
                <c:ext xmlns:c16="http://schemas.microsoft.com/office/drawing/2014/chart" uri="{C3380CC4-5D6E-409C-BE32-E72D297353CC}">
                  <c16:uniqueId val="{0000000C-135A-4E36-BC85-E062BD593894}"/>
                </c:ext>
              </c:extLst>
            </c:dLbl>
            <c:dLbl>
              <c:idx val="18"/>
              <c:delete val="1"/>
              <c:extLst>
                <c:ext xmlns:c15="http://schemas.microsoft.com/office/drawing/2012/chart" uri="{CE6537A1-D6FC-4f65-9D91-7224C49458BB}"/>
                <c:ext xmlns:c16="http://schemas.microsoft.com/office/drawing/2014/chart" uri="{C3380CC4-5D6E-409C-BE32-E72D297353CC}">
                  <c16:uniqueId val="{0000000D-135A-4E36-BC85-E062BD5938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'ERCOT 4CP Chart Estimates'!$B$1:$U$1</c:f>
              <c:strCache>
                <c:ptCount val="20"/>
                <c:pt idx="0">
                  <c:v>Jun-14</c:v>
                </c:pt>
                <c:pt idx="1">
                  <c:v>Jul-14</c:v>
                </c:pt>
                <c:pt idx="2">
                  <c:v>Aug-14</c:v>
                </c:pt>
                <c:pt idx="3">
                  <c:v>Sep-14</c:v>
                </c:pt>
                <c:pt idx="4">
                  <c:v>Jun-15</c:v>
                </c:pt>
                <c:pt idx="5">
                  <c:v>Jul-15</c:v>
                </c:pt>
                <c:pt idx="6">
                  <c:v>Aug-15</c:v>
                </c:pt>
                <c:pt idx="7">
                  <c:v>Sep-15</c:v>
                </c:pt>
                <c:pt idx="8">
                  <c:v>Jun-16</c:v>
                </c:pt>
                <c:pt idx="9">
                  <c:v>Jul-16</c:v>
                </c:pt>
                <c:pt idx="10">
                  <c:v>Aug-16</c:v>
                </c:pt>
                <c:pt idx="11">
                  <c:v>Sep-16</c:v>
                </c:pt>
                <c:pt idx="12">
                  <c:v>Jun-17</c:v>
                </c:pt>
                <c:pt idx="13">
                  <c:v>Jul-17</c:v>
                </c:pt>
                <c:pt idx="14">
                  <c:v>Aug-17</c:v>
                </c:pt>
                <c:pt idx="15">
                  <c:v>Sep-17</c:v>
                </c:pt>
                <c:pt idx="16">
                  <c:v>Jun-18</c:v>
                </c:pt>
                <c:pt idx="17">
                  <c:v>Jul-18</c:v>
                </c:pt>
                <c:pt idx="18">
                  <c:v>Aug-18</c:v>
                </c:pt>
                <c:pt idx="19">
                  <c:v>Sep-18</c:v>
                </c:pt>
              </c:strCache>
            </c:strRef>
          </c:cat>
          <c:val>
            <c:numRef>
              <c:f>'ERCOT 4CP Chart Estimates'!$B$5:$U$5</c:f>
              <c:numCache>
                <c:formatCode>General</c:formatCode>
                <c:ptCount val="20"/>
                <c:pt idx="16" formatCode="_(* #,##0_);_(* \(#,##0\);_(* &quot;-&quot;??_);_(@_)">
                  <c:v>1163.4635598369618</c:v>
                </c:pt>
                <c:pt idx="17" formatCode="_(* #,##0_);_(* \(#,##0\);_(* &quot;-&quot;??_);_(@_)">
                  <c:v>1193.4635598369618</c:v>
                </c:pt>
                <c:pt idx="18" formatCode="_(* #,##0_);_(* \(#,##0\);_(* &quot;-&quot;??_);_(@_)">
                  <c:v>1228.4635598369618</c:v>
                </c:pt>
                <c:pt idx="19" formatCode="_(* #,##0_);_(* \(#,##0\);_(* &quot;-&quot;??_);_(@_)">
                  <c:v>1263.4635598369618</c:v>
                </c:pt>
              </c:numCache>
            </c:numRef>
          </c:val>
          <c:smooth val="0"/>
          <c:extLst>
            <c:ext xmlns:c16="http://schemas.microsoft.com/office/drawing/2014/chart" uri="{C3380CC4-5D6E-409C-BE32-E72D297353CC}">
              <c16:uniqueId val="{0000000E-135A-4E36-BC85-E062BD593894}"/>
            </c:ext>
          </c:extLst>
        </c:ser>
        <c:dLbls>
          <c:showLegendKey val="0"/>
          <c:showVal val="0"/>
          <c:showCatName val="0"/>
          <c:showSerName val="0"/>
          <c:showPercent val="0"/>
          <c:showBubbleSize val="0"/>
        </c:dLbls>
        <c:hiLowLines>
          <c:spPr>
            <a:ln w="15875" cap="flat" cmpd="sng" algn="ctr">
              <a:solidFill>
                <a:schemeClr val="tx1">
                  <a:lumMod val="50000"/>
                  <a:lumOff val="50000"/>
                </a:schemeClr>
              </a:solidFill>
              <a:round/>
              <a:headEnd type="oval"/>
              <a:tailEnd type="oval"/>
            </a:ln>
            <a:effectLst/>
          </c:spPr>
        </c:hiLowLines>
        <c:upDownBars>
          <c:gapWidth val="150"/>
          <c:upBars>
            <c:spPr>
              <a:solidFill>
                <a:schemeClr val="lt1"/>
              </a:solidFill>
              <a:ln w="9525" cap="flat" cmpd="sng" algn="ctr">
                <a:solidFill>
                  <a:schemeClr val="tx1">
                    <a:lumMod val="65000"/>
                    <a:lumOff val="35000"/>
                  </a:schemeClr>
                </a:solidFill>
                <a:round/>
              </a:ln>
              <a:effectLst/>
            </c:spPr>
          </c:upBars>
          <c:downBars>
            <c:spPr>
              <a:solidFill>
                <a:schemeClr val="dk1">
                  <a:lumMod val="75000"/>
                  <a:lumOff val="25000"/>
                </a:schemeClr>
              </a:solidFill>
              <a:ln w="9525" cap="flat" cmpd="sng" algn="ctr">
                <a:solidFill>
                  <a:schemeClr val="tx1">
                    <a:lumMod val="65000"/>
                    <a:lumOff val="35000"/>
                  </a:schemeClr>
                </a:solidFill>
                <a:round/>
              </a:ln>
              <a:effectLst/>
            </c:spPr>
          </c:downBars>
        </c:upDownBars>
        <c:axId val="223448448"/>
        <c:axId val="233346176"/>
      </c:stockChart>
      <c:catAx>
        <c:axId val="22344844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233346176"/>
        <c:crosses val="autoZero"/>
        <c:auto val="1"/>
        <c:lblAlgn val="ctr"/>
        <c:lblOffset val="100"/>
        <c:noMultiLvlLbl val="0"/>
      </c:catAx>
      <c:valAx>
        <c:axId val="233346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MW Reduction</a:t>
                </a:r>
              </a:p>
            </c:rich>
          </c:tx>
          <c:overlay val="0"/>
          <c:spPr>
            <a:noFill/>
            <a:ln>
              <a:noFill/>
            </a:ln>
            <a:effectLst/>
          </c:spPr>
        </c:title>
        <c:numFmt formatCode="_(* #,##0_);_(* \(#,##0\);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448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599A-2B28-4404-9DB9-321B53C2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5544</Words>
  <Characters>31607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dc:creator>
  <cp:lastModifiedBy>Michele Gregg</cp:lastModifiedBy>
  <cp:revision>3</cp:revision>
  <cp:lastPrinted>2018-10-17T21:17:00Z</cp:lastPrinted>
  <dcterms:created xsi:type="dcterms:W3CDTF">2018-10-18T14:59:00Z</dcterms:created>
  <dcterms:modified xsi:type="dcterms:W3CDTF">2018-10-18T15:00:00Z</dcterms:modified>
</cp:coreProperties>
</file>