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269" w:rsidRPr="0048370E" w:rsidRDefault="000F46BC" w:rsidP="009537D0">
      <w:pPr>
        <w:jc w:val="center"/>
        <w:rPr>
          <w:rFonts w:ascii="Times New Roman" w:hAnsi="Times New Roman" w:cs="Times New Roman"/>
          <w:b/>
          <w:caps/>
          <w:sz w:val="24"/>
          <w:szCs w:val="24"/>
        </w:rPr>
      </w:pPr>
      <w:bookmarkStart w:id="0" w:name="_Hlk527020396"/>
      <w:bookmarkEnd w:id="0"/>
      <w:r w:rsidRPr="0048370E">
        <w:rPr>
          <w:rFonts w:ascii="Times New Roman" w:hAnsi="Times New Roman" w:cs="Times New Roman"/>
          <w:b/>
          <w:caps/>
          <w:sz w:val="24"/>
          <w:szCs w:val="24"/>
        </w:rPr>
        <w:t xml:space="preserve">Project no. </w:t>
      </w:r>
      <w:r w:rsidR="00E64DF8">
        <w:rPr>
          <w:rFonts w:ascii="Times New Roman" w:hAnsi="Times New Roman" w:cs="Times New Roman"/>
          <w:b/>
          <w:caps/>
          <w:sz w:val="24"/>
          <w:szCs w:val="24"/>
        </w:rPr>
        <w:t>48</w:t>
      </w:r>
      <w:r w:rsidR="001145CD">
        <w:rPr>
          <w:rFonts w:ascii="Times New Roman" w:hAnsi="Times New Roman" w:cs="Times New Roman"/>
          <w:b/>
          <w:caps/>
          <w:sz w:val="24"/>
          <w:szCs w:val="24"/>
        </w:rPr>
        <w:t>721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9"/>
        <w:gridCol w:w="359"/>
        <w:gridCol w:w="4412"/>
      </w:tblGrid>
      <w:tr w:rsidR="00FA7269" w:rsidRPr="009537D0" w:rsidTr="008B2C47">
        <w:tc>
          <w:tcPr>
            <w:tcW w:w="4698" w:type="dxa"/>
          </w:tcPr>
          <w:p w:rsidR="00FA7269" w:rsidRPr="00192C6E" w:rsidRDefault="004E4800" w:rsidP="00DE1BA1">
            <w:pPr>
              <w:rPr>
                <w:rFonts w:ascii="Times New Roman" w:hAnsi="Times New Roman" w:cs="Times New Roman"/>
                <w:b/>
                <w:caps/>
                <w:sz w:val="24"/>
                <w:szCs w:val="24"/>
              </w:rPr>
            </w:pPr>
            <w:r>
              <w:rPr>
                <w:rFonts w:ascii="Times New Roman" w:hAnsi="Times New Roman" w:cs="Times New Roman"/>
                <w:b/>
                <w:color w:val="333333"/>
                <w:sz w:val="24"/>
                <w:szCs w:val="24"/>
                <w:lang w:val="en"/>
              </w:rPr>
              <w:t xml:space="preserve">RULEMAKING </w:t>
            </w:r>
            <w:r w:rsidR="006E63DA">
              <w:rPr>
                <w:rFonts w:ascii="Times New Roman" w:hAnsi="Times New Roman" w:cs="Times New Roman"/>
                <w:b/>
                <w:color w:val="333333"/>
                <w:sz w:val="24"/>
                <w:szCs w:val="24"/>
                <w:lang w:val="en"/>
              </w:rPr>
              <w:t>PROCEEDING TO AMEND 16 TAC §25.505,</w:t>
            </w:r>
            <w:r>
              <w:rPr>
                <w:rFonts w:ascii="Times New Roman" w:hAnsi="Times New Roman" w:cs="Times New Roman"/>
                <w:b/>
                <w:color w:val="333333"/>
                <w:sz w:val="24"/>
                <w:szCs w:val="24"/>
                <w:lang w:val="en"/>
              </w:rPr>
              <w:t xml:space="preserve"> </w:t>
            </w:r>
            <w:r w:rsidR="006E63DA">
              <w:rPr>
                <w:rFonts w:ascii="Times New Roman" w:hAnsi="Times New Roman" w:cs="Times New Roman"/>
                <w:b/>
                <w:color w:val="333333"/>
                <w:sz w:val="24"/>
                <w:szCs w:val="24"/>
                <w:lang w:val="en"/>
              </w:rPr>
              <w:t>RELATING TO RESOURCE ADEQUACY IN THE ELECTRIC RELIABILITY COUNCIL OF TEXAS POWER REGION</w:t>
            </w:r>
          </w:p>
        </w:tc>
        <w:tc>
          <w:tcPr>
            <w:tcW w:w="360" w:type="dxa"/>
          </w:tcPr>
          <w:p w:rsidR="00FA7269" w:rsidRPr="007F68E4" w:rsidRDefault="00FA7269" w:rsidP="00A96898">
            <w:pPr>
              <w:rPr>
                <w:rFonts w:ascii="Times New Roman" w:hAnsi="Times New Roman" w:cs="Times New Roman"/>
                <w:b/>
                <w:caps/>
                <w:sz w:val="24"/>
                <w:szCs w:val="24"/>
              </w:rPr>
            </w:pPr>
            <w:r w:rsidRPr="007F68E4">
              <w:rPr>
                <w:rFonts w:ascii="Times New Roman" w:hAnsi="Times New Roman" w:cs="Times New Roman"/>
                <w:b/>
                <w:caps/>
                <w:sz w:val="24"/>
                <w:szCs w:val="24"/>
              </w:rPr>
              <w:t>§</w:t>
            </w:r>
          </w:p>
          <w:p w:rsidR="00FA7269" w:rsidRPr="007F68E4" w:rsidRDefault="00FA7269" w:rsidP="00A96898">
            <w:pPr>
              <w:rPr>
                <w:rFonts w:ascii="Times New Roman" w:hAnsi="Times New Roman" w:cs="Times New Roman"/>
                <w:b/>
                <w:caps/>
                <w:sz w:val="24"/>
                <w:szCs w:val="24"/>
              </w:rPr>
            </w:pPr>
            <w:r w:rsidRPr="007F68E4">
              <w:rPr>
                <w:rFonts w:ascii="Times New Roman" w:hAnsi="Times New Roman" w:cs="Times New Roman"/>
                <w:b/>
                <w:caps/>
                <w:sz w:val="24"/>
                <w:szCs w:val="24"/>
              </w:rPr>
              <w:t>§</w:t>
            </w:r>
          </w:p>
          <w:p w:rsidR="00B552A5" w:rsidRPr="007F68E4" w:rsidRDefault="00B552A5" w:rsidP="00B552A5">
            <w:pPr>
              <w:rPr>
                <w:rFonts w:ascii="Times New Roman" w:hAnsi="Times New Roman" w:cs="Times New Roman"/>
                <w:b/>
                <w:caps/>
                <w:sz w:val="24"/>
                <w:szCs w:val="24"/>
              </w:rPr>
            </w:pPr>
            <w:r w:rsidRPr="007F68E4">
              <w:rPr>
                <w:rFonts w:ascii="Times New Roman" w:hAnsi="Times New Roman" w:cs="Times New Roman"/>
                <w:b/>
                <w:caps/>
                <w:sz w:val="24"/>
                <w:szCs w:val="24"/>
              </w:rPr>
              <w:t>§</w:t>
            </w:r>
          </w:p>
          <w:p w:rsidR="007F68E4" w:rsidRPr="007F68E4" w:rsidRDefault="007F68E4" w:rsidP="007F68E4">
            <w:pPr>
              <w:rPr>
                <w:rFonts w:ascii="Times New Roman" w:hAnsi="Times New Roman" w:cs="Times New Roman"/>
                <w:b/>
                <w:caps/>
                <w:sz w:val="24"/>
                <w:szCs w:val="24"/>
              </w:rPr>
            </w:pPr>
            <w:r w:rsidRPr="007F68E4">
              <w:rPr>
                <w:rFonts w:ascii="Times New Roman" w:hAnsi="Times New Roman" w:cs="Times New Roman"/>
                <w:b/>
                <w:caps/>
                <w:sz w:val="24"/>
                <w:szCs w:val="24"/>
              </w:rPr>
              <w:t>§</w:t>
            </w:r>
          </w:p>
          <w:p w:rsidR="00B552A5" w:rsidRPr="005350ED" w:rsidRDefault="00B552A5" w:rsidP="007F68E4">
            <w:pPr>
              <w:rPr>
                <w:rFonts w:ascii="Times New Roman" w:hAnsi="Times New Roman" w:cs="Times New Roman"/>
                <w:b/>
                <w:caps/>
                <w:sz w:val="24"/>
                <w:szCs w:val="24"/>
              </w:rPr>
            </w:pPr>
          </w:p>
        </w:tc>
        <w:tc>
          <w:tcPr>
            <w:tcW w:w="4518" w:type="dxa"/>
          </w:tcPr>
          <w:p w:rsidR="00FA7269" w:rsidRPr="00AB549D" w:rsidRDefault="00FA7269" w:rsidP="00242FD3">
            <w:pPr>
              <w:spacing w:line="360" w:lineRule="auto"/>
              <w:jc w:val="center"/>
              <w:rPr>
                <w:rFonts w:ascii="Times New Roman" w:hAnsi="Times New Roman" w:cs="Times New Roman"/>
                <w:b/>
                <w:caps/>
                <w:sz w:val="24"/>
                <w:szCs w:val="24"/>
              </w:rPr>
            </w:pPr>
            <w:r w:rsidRPr="00AB549D">
              <w:rPr>
                <w:rFonts w:ascii="Times New Roman" w:hAnsi="Times New Roman" w:cs="Times New Roman"/>
                <w:b/>
                <w:caps/>
                <w:sz w:val="24"/>
                <w:szCs w:val="24"/>
              </w:rPr>
              <w:t>Public utility commission</w:t>
            </w:r>
          </w:p>
          <w:p w:rsidR="00FA7269" w:rsidRPr="00242FD3" w:rsidRDefault="00FA7269" w:rsidP="00242FD3">
            <w:pPr>
              <w:spacing w:line="360" w:lineRule="auto"/>
              <w:jc w:val="center"/>
              <w:rPr>
                <w:rFonts w:ascii="Times New Roman" w:hAnsi="Times New Roman" w:cs="Times New Roman"/>
                <w:b/>
                <w:caps/>
                <w:sz w:val="24"/>
                <w:szCs w:val="24"/>
              </w:rPr>
            </w:pPr>
            <w:r w:rsidRPr="00AB549D">
              <w:rPr>
                <w:rFonts w:ascii="Times New Roman" w:hAnsi="Times New Roman" w:cs="Times New Roman"/>
                <w:b/>
                <w:caps/>
                <w:sz w:val="24"/>
                <w:szCs w:val="24"/>
              </w:rPr>
              <w:t>Of</w:t>
            </w:r>
            <w:r w:rsidR="00242FD3">
              <w:rPr>
                <w:rFonts w:ascii="Times New Roman" w:hAnsi="Times New Roman" w:cs="Times New Roman"/>
                <w:b/>
                <w:caps/>
                <w:sz w:val="24"/>
                <w:szCs w:val="24"/>
              </w:rPr>
              <w:t xml:space="preserve"> </w:t>
            </w:r>
            <w:r w:rsidRPr="00AB549D">
              <w:rPr>
                <w:rFonts w:ascii="Times New Roman" w:hAnsi="Times New Roman" w:cs="Times New Roman"/>
                <w:b/>
                <w:caps/>
                <w:sz w:val="24"/>
                <w:szCs w:val="24"/>
              </w:rPr>
              <w:t>texas</w:t>
            </w:r>
          </w:p>
        </w:tc>
      </w:tr>
    </w:tbl>
    <w:p w:rsidR="006E55AF" w:rsidRPr="00D6576E" w:rsidRDefault="006E55AF" w:rsidP="00FA7269">
      <w:pPr>
        <w:spacing w:after="0" w:line="240" w:lineRule="auto"/>
        <w:jc w:val="center"/>
        <w:rPr>
          <w:rFonts w:ascii="Times New Roman" w:hAnsi="Times New Roman" w:cs="Times New Roman"/>
          <w:b/>
          <w:sz w:val="24"/>
          <w:szCs w:val="24"/>
        </w:rPr>
      </w:pPr>
    </w:p>
    <w:p w:rsidR="00BA2304" w:rsidRPr="00D6576E" w:rsidRDefault="00BA2304" w:rsidP="00FA7269">
      <w:pPr>
        <w:spacing w:after="0" w:line="240" w:lineRule="auto"/>
        <w:jc w:val="center"/>
        <w:rPr>
          <w:rFonts w:ascii="Times New Roman" w:hAnsi="Times New Roman" w:cs="Times New Roman"/>
          <w:b/>
          <w:sz w:val="24"/>
          <w:szCs w:val="24"/>
        </w:rPr>
      </w:pPr>
    </w:p>
    <w:p w:rsidR="00FA7269" w:rsidRPr="0048370E" w:rsidRDefault="00190776" w:rsidP="00FA72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TEXAS COMPETITIVE POWER ADVOCATES (TCPA) </w:t>
      </w:r>
      <w:r w:rsidR="006E63DA">
        <w:rPr>
          <w:rFonts w:ascii="Times New Roman" w:hAnsi="Times New Roman" w:cs="Times New Roman"/>
          <w:b/>
          <w:sz w:val="24"/>
          <w:szCs w:val="24"/>
        </w:rPr>
        <w:t>COMMENTS ON THE PROPOSAL FOR PUBLICATION</w:t>
      </w:r>
    </w:p>
    <w:p w:rsidR="005D6220" w:rsidRPr="0048370E" w:rsidRDefault="005D6220" w:rsidP="00FA7269">
      <w:pPr>
        <w:spacing w:after="0" w:line="240" w:lineRule="auto"/>
        <w:jc w:val="center"/>
        <w:rPr>
          <w:rFonts w:ascii="Times New Roman" w:hAnsi="Times New Roman" w:cs="Times New Roman"/>
          <w:b/>
          <w:sz w:val="24"/>
          <w:szCs w:val="24"/>
        </w:rPr>
      </w:pPr>
    </w:p>
    <w:p w:rsidR="009537D0" w:rsidRPr="0048370E" w:rsidRDefault="009537D0" w:rsidP="00FA7269">
      <w:pPr>
        <w:spacing w:after="0" w:line="240" w:lineRule="auto"/>
        <w:jc w:val="center"/>
        <w:rPr>
          <w:rFonts w:ascii="Times New Roman" w:hAnsi="Times New Roman" w:cs="Times New Roman"/>
          <w:b/>
          <w:sz w:val="24"/>
          <w:szCs w:val="24"/>
        </w:rPr>
      </w:pPr>
    </w:p>
    <w:p w:rsidR="00A923EF" w:rsidRDefault="00042EF0" w:rsidP="004F07B0">
      <w:pPr>
        <w:spacing w:line="360" w:lineRule="auto"/>
        <w:ind w:firstLine="720"/>
        <w:jc w:val="both"/>
        <w:rPr>
          <w:rFonts w:ascii="Times New Roman" w:hAnsi="Times New Roman" w:cs="Times New Roman"/>
          <w:sz w:val="24"/>
          <w:szCs w:val="24"/>
        </w:rPr>
      </w:pPr>
      <w:r w:rsidRPr="00042EF0">
        <w:rPr>
          <w:rFonts w:ascii="Times New Roman" w:hAnsi="Times New Roman" w:cs="Times New Roman"/>
          <w:sz w:val="24"/>
          <w:szCs w:val="24"/>
        </w:rPr>
        <w:t xml:space="preserve">Texas Competitive Power Advocates (TCPA) is a trade association representing power generation companies, wholesale power marketers, and retail electric providers with investments in Texas and the Electric Reliability Council of Texas (ERCOT) wholesale electric market. </w:t>
      </w:r>
      <w:r>
        <w:rPr>
          <w:rFonts w:ascii="Times New Roman" w:hAnsi="Times New Roman" w:cs="Times New Roman"/>
          <w:sz w:val="24"/>
          <w:szCs w:val="24"/>
        </w:rPr>
        <w:t>TCPA members and their affiliates provide a wide range of important market functions and services in ERCOT, including the development, operation, and management of power generation assets, the scheduling and marketing of power, the provision of energy management services</w:t>
      </w:r>
      <w:r w:rsidR="007C0C14">
        <w:rPr>
          <w:rFonts w:ascii="Times New Roman" w:hAnsi="Times New Roman" w:cs="Times New Roman"/>
          <w:sz w:val="24"/>
          <w:szCs w:val="24"/>
        </w:rPr>
        <w:t>,</w:t>
      </w:r>
      <w:r>
        <w:rPr>
          <w:rFonts w:ascii="Times New Roman" w:hAnsi="Times New Roman" w:cs="Times New Roman"/>
          <w:sz w:val="24"/>
          <w:szCs w:val="24"/>
        </w:rPr>
        <w:t xml:space="preserve"> and the sales of competitive electric service to consumers. TCPA members provide </w:t>
      </w:r>
      <w:r w:rsidR="006E63DA">
        <w:rPr>
          <w:rFonts w:ascii="Times New Roman" w:hAnsi="Times New Roman" w:cs="Times New Roman"/>
          <w:sz w:val="24"/>
          <w:szCs w:val="24"/>
        </w:rPr>
        <w:t>approximately</w:t>
      </w:r>
      <w:r>
        <w:rPr>
          <w:rFonts w:ascii="Times New Roman" w:hAnsi="Times New Roman" w:cs="Times New Roman"/>
          <w:sz w:val="24"/>
          <w:szCs w:val="24"/>
        </w:rPr>
        <w:t xml:space="preserve"> </w:t>
      </w:r>
      <w:r w:rsidR="006E63DA">
        <w:rPr>
          <w:rFonts w:ascii="Times New Roman" w:hAnsi="Times New Roman" w:cs="Times New Roman"/>
          <w:sz w:val="24"/>
          <w:szCs w:val="24"/>
        </w:rPr>
        <w:t>sixty</w:t>
      </w:r>
      <w:r>
        <w:rPr>
          <w:rFonts w:ascii="Times New Roman" w:hAnsi="Times New Roman" w:cs="Times New Roman"/>
          <w:sz w:val="24"/>
          <w:szCs w:val="24"/>
        </w:rPr>
        <w:t xml:space="preserve"> percent (</w:t>
      </w:r>
      <w:r w:rsidR="006E63DA">
        <w:rPr>
          <w:rFonts w:ascii="Times New Roman" w:hAnsi="Times New Roman" w:cs="Times New Roman"/>
          <w:sz w:val="24"/>
          <w:szCs w:val="24"/>
        </w:rPr>
        <w:t>6</w:t>
      </w:r>
      <w:r>
        <w:rPr>
          <w:rFonts w:ascii="Times New Roman" w:hAnsi="Times New Roman" w:cs="Times New Roman"/>
          <w:sz w:val="24"/>
          <w:szCs w:val="24"/>
        </w:rPr>
        <w:t xml:space="preserve">0%) of the total net operable electric generating capacity in ERCOT, representing billions of dollars of investment in the state, and employing thousands of Texans. TCPA </w:t>
      </w:r>
      <w:r w:rsidR="00643A83">
        <w:rPr>
          <w:rFonts w:ascii="Times New Roman" w:hAnsi="Times New Roman" w:cs="Times New Roman"/>
          <w:sz w:val="24"/>
          <w:szCs w:val="24"/>
        </w:rPr>
        <w:t xml:space="preserve">appreciates the opportunity to provide comments </w:t>
      </w:r>
      <w:r w:rsidR="006E63DA">
        <w:rPr>
          <w:rFonts w:ascii="Times New Roman" w:hAnsi="Times New Roman" w:cs="Times New Roman"/>
          <w:sz w:val="24"/>
          <w:szCs w:val="24"/>
        </w:rPr>
        <w:t>on the proposed rule changes as well as the Commission’s question regarding elimination of the Low System-Wide Offer Cap from the scarcity pricing mechanism</w:t>
      </w:r>
      <w:r w:rsidR="00643A83">
        <w:rPr>
          <w:rFonts w:ascii="Times New Roman" w:hAnsi="Times New Roman" w:cs="Times New Roman"/>
          <w:sz w:val="24"/>
          <w:szCs w:val="24"/>
        </w:rPr>
        <w:t xml:space="preserve">. </w:t>
      </w:r>
    </w:p>
    <w:p w:rsidR="008D079A" w:rsidRDefault="008D079A" w:rsidP="004F07B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As detailed below, TCPA recommends that the Commission:</w:t>
      </w:r>
    </w:p>
    <w:p w:rsidR="008D079A" w:rsidRDefault="008D079A" w:rsidP="0006729F">
      <w:pPr>
        <w:pStyle w:val="ListParagraph"/>
        <w:numPr>
          <w:ilvl w:val="0"/>
          <w:numId w:val="24"/>
        </w:numPr>
        <w:spacing w:after="240" w:line="240" w:lineRule="auto"/>
        <w:ind w:left="1080"/>
        <w:contextualSpacing w:val="0"/>
        <w:jc w:val="both"/>
        <w:rPr>
          <w:rFonts w:ascii="Times New Roman" w:hAnsi="Times New Roman" w:cs="Times New Roman"/>
          <w:sz w:val="24"/>
          <w:szCs w:val="24"/>
        </w:rPr>
      </w:pPr>
      <w:r>
        <w:rPr>
          <w:rFonts w:ascii="Times New Roman" w:hAnsi="Times New Roman" w:cs="Times New Roman"/>
          <w:sz w:val="24"/>
          <w:szCs w:val="24"/>
        </w:rPr>
        <w:t>Eliminate the Low System-Wide Offer Cap (LCAP) (preferred option).</w:t>
      </w:r>
    </w:p>
    <w:p w:rsidR="008D079A" w:rsidRDefault="008D079A" w:rsidP="006C550F">
      <w:pPr>
        <w:pStyle w:val="ListParagraph"/>
        <w:numPr>
          <w:ilvl w:val="1"/>
          <w:numId w:val="24"/>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w:t>
      </w:r>
      <w:r w:rsidR="0006729F">
        <w:rPr>
          <w:rFonts w:ascii="Times New Roman" w:hAnsi="Times New Roman" w:cs="Times New Roman"/>
          <w:sz w:val="24"/>
          <w:szCs w:val="24"/>
        </w:rPr>
        <w:t>lternatively:</w:t>
      </w: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increase the LCAP to $4,500/MWh; (ii) </w:t>
      </w:r>
      <w:r w:rsidR="00D730A6">
        <w:rPr>
          <w:rFonts w:ascii="Times New Roman" w:hAnsi="Times New Roman" w:cs="Times New Roman"/>
          <w:sz w:val="24"/>
          <w:szCs w:val="24"/>
        </w:rPr>
        <w:t>retain the</w:t>
      </w:r>
      <w:r>
        <w:rPr>
          <w:rFonts w:ascii="Times New Roman" w:hAnsi="Times New Roman" w:cs="Times New Roman"/>
          <w:sz w:val="24"/>
          <w:szCs w:val="24"/>
        </w:rPr>
        <w:t xml:space="preserve"> Operating Reserve Demand Curve (ORDC) and Reliability Deployment Price Adder (RDPA</w:t>
      </w:r>
      <w:r w:rsidR="00D730A6">
        <w:rPr>
          <w:rFonts w:ascii="Times New Roman" w:hAnsi="Times New Roman" w:cs="Times New Roman"/>
          <w:sz w:val="24"/>
          <w:szCs w:val="24"/>
        </w:rPr>
        <w:t>) in all circumstances, but if the LCAP is triggered, reset the Value of Lost Load (VOLL) to LCAP</w:t>
      </w:r>
      <w:r>
        <w:rPr>
          <w:rFonts w:ascii="Times New Roman" w:hAnsi="Times New Roman" w:cs="Times New Roman"/>
          <w:sz w:val="24"/>
          <w:szCs w:val="24"/>
        </w:rPr>
        <w:t>; and (iii) refrain from stating that energy prices will never exceed the LCAP</w:t>
      </w:r>
      <w:r w:rsidR="00D730A6">
        <w:rPr>
          <w:rFonts w:ascii="Times New Roman" w:hAnsi="Times New Roman" w:cs="Times New Roman"/>
          <w:sz w:val="24"/>
          <w:szCs w:val="24"/>
        </w:rPr>
        <w:t xml:space="preserve"> if triggered</w:t>
      </w:r>
      <w:r>
        <w:rPr>
          <w:rFonts w:ascii="Times New Roman" w:hAnsi="Times New Roman" w:cs="Times New Roman"/>
          <w:sz w:val="24"/>
          <w:szCs w:val="24"/>
        </w:rPr>
        <w:t xml:space="preserve"> (given realities related to the </w:t>
      </w:r>
      <w:r w:rsidR="00106A87">
        <w:rPr>
          <w:rFonts w:ascii="Times New Roman" w:hAnsi="Times New Roman" w:cs="Times New Roman"/>
          <w:sz w:val="24"/>
          <w:szCs w:val="24"/>
        </w:rPr>
        <w:t xml:space="preserve">pricing </w:t>
      </w:r>
      <w:r>
        <w:rPr>
          <w:rFonts w:ascii="Times New Roman" w:hAnsi="Times New Roman" w:cs="Times New Roman"/>
          <w:sz w:val="24"/>
          <w:szCs w:val="24"/>
        </w:rPr>
        <w:t xml:space="preserve">of </w:t>
      </w:r>
      <w:r w:rsidR="00106A87">
        <w:rPr>
          <w:rFonts w:ascii="Times New Roman" w:hAnsi="Times New Roman" w:cs="Times New Roman"/>
          <w:sz w:val="24"/>
          <w:szCs w:val="24"/>
        </w:rPr>
        <w:t>congestion management</w:t>
      </w:r>
      <w:r>
        <w:rPr>
          <w:rFonts w:ascii="Times New Roman" w:hAnsi="Times New Roman" w:cs="Times New Roman"/>
          <w:sz w:val="24"/>
          <w:szCs w:val="24"/>
        </w:rPr>
        <w:t>).</w:t>
      </w:r>
    </w:p>
    <w:p w:rsidR="008D079A" w:rsidRDefault="008D079A" w:rsidP="0006729F">
      <w:pPr>
        <w:pStyle w:val="ListParagraph"/>
        <w:numPr>
          <w:ilvl w:val="0"/>
          <w:numId w:val="24"/>
        </w:numPr>
        <w:spacing w:after="240" w:line="240" w:lineRule="auto"/>
        <w:ind w:left="1080"/>
        <w:contextualSpacing w:val="0"/>
        <w:jc w:val="both"/>
        <w:rPr>
          <w:rFonts w:ascii="Times New Roman" w:hAnsi="Times New Roman" w:cs="Times New Roman"/>
          <w:sz w:val="24"/>
          <w:szCs w:val="24"/>
        </w:rPr>
      </w:pPr>
      <w:r>
        <w:rPr>
          <w:rFonts w:ascii="Times New Roman" w:hAnsi="Times New Roman" w:cs="Times New Roman"/>
          <w:sz w:val="24"/>
          <w:szCs w:val="24"/>
        </w:rPr>
        <w:t xml:space="preserve">Retain, but streamline and update, reporting requirements for ERCOT in subsection (f) of the existing rule and, if the LCAP is eliminated, </w:t>
      </w:r>
      <w:r w:rsidR="00106A87">
        <w:rPr>
          <w:rFonts w:ascii="Times New Roman" w:hAnsi="Times New Roman" w:cs="Times New Roman"/>
          <w:sz w:val="24"/>
          <w:szCs w:val="24"/>
        </w:rPr>
        <w:t xml:space="preserve">move the </w:t>
      </w:r>
      <w:r>
        <w:rPr>
          <w:rFonts w:ascii="Times New Roman" w:hAnsi="Times New Roman" w:cs="Times New Roman"/>
          <w:sz w:val="24"/>
          <w:szCs w:val="24"/>
        </w:rPr>
        <w:t>requi</w:t>
      </w:r>
      <w:r w:rsidR="0006729F">
        <w:rPr>
          <w:rFonts w:ascii="Times New Roman" w:hAnsi="Times New Roman" w:cs="Times New Roman"/>
          <w:sz w:val="24"/>
          <w:szCs w:val="24"/>
        </w:rPr>
        <w:t>rement</w:t>
      </w:r>
      <w:r w:rsidR="00D730A6">
        <w:rPr>
          <w:rFonts w:ascii="Times New Roman" w:hAnsi="Times New Roman" w:cs="Times New Roman"/>
          <w:sz w:val="24"/>
          <w:szCs w:val="24"/>
        </w:rPr>
        <w:t xml:space="preserve"> </w:t>
      </w:r>
      <w:r w:rsidR="0006729F">
        <w:rPr>
          <w:rFonts w:ascii="Times New Roman" w:hAnsi="Times New Roman" w:cs="Times New Roman"/>
          <w:sz w:val="24"/>
          <w:szCs w:val="24"/>
        </w:rPr>
        <w:t xml:space="preserve">for ERCOT to </w:t>
      </w:r>
      <w:r w:rsidR="00D730A6">
        <w:rPr>
          <w:rFonts w:ascii="Times New Roman" w:hAnsi="Times New Roman" w:cs="Times New Roman"/>
          <w:sz w:val="24"/>
          <w:szCs w:val="24"/>
        </w:rPr>
        <w:t xml:space="preserve">continue to </w:t>
      </w:r>
      <w:r w:rsidR="0006729F">
        <w:rPr>
          <w:rFonts w:ascii="Times New Roman" w:hAnsi="Times New Roman" w:cs="Times New Roman"/>
          <w:sz w:val="24"/>
          <w:szCs w:val="24"/>
        </w:rPr>
        <w:t>report the Peaker Net M</w:t>
      </w:r>
      <w:r w:rsidR="00D730A6">
        <w:rPr>
          <w:rFonts w:ascii="Times New Roman" w:hAnsi="Times New Roman" w:cs="Times New Roman"/>
          <w:sz w:val="24"/>
          <w:szCs w:val="24"/>
        </w:rPr>
        <w:t>argin (PNM)</w:t>
      </w:r>
      <w:r w:rsidR="00106A87" w:rsidRPr="00106A87">
        <w:rPr>
          <w:rFonts w:ascii="Times New Roman" w:hAnsi="Times New Roman" w:cs="Times New Roman"/>
          <w:sz w:val="24"/>
          <w:szCs w:val="24"/>
        </w:rPr>
        <w:t xml:space="preserve"> </w:t>
      </w:r>
      <w:r w:rsidR="00106A87">
        <w:rPr>
          <w:rFonts w:ascii="Times New Roman" w:hAnsi="Times New Roman" w:cs="Times New Roman"/>
          <w:sz w:val="24"/>
          <w:szCs w:val="24"/>
        </w:rPr>
        <w:t>to that subsection</w:t>
      </w:r>
      <w:r>
        <w:rPr>
          <w:rFonts w:ascii="Times New Roman" w:hAnsi="Times New Roman" w:cs="Times New Roman"/>
          <w:sz w:val="24"/>
          <w:szCs w:val="24"/>
        </w:rPr>
        <w:t>.</w:t>
      </w:r>
    </w:p>
    <w:p w:rsidR="008D079A" w:rsidRPr="008D079A" w:rsidRDefault="008D079A" w:rsidP="0006729F">
      <w:pPr>
        <w:pStyle w:val="ListParagraph"/>
        <w:numPr>
          <w:ilvl w:val="0"/>
          <w:numId w:val="24"/>
        </w:numPr>
        <w:spacing w:after="240" w:line="240" w:lineRule="auto"/>
        <w:ind w:left="108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Make other stylistic and clarifying changes detailed below</w:t>
      </w:r>
      <w:r w:rsidR="00205437">
        <w:rPr>
          <w:rFonts w:ascii="Times New Roman" w:hAnsi="Times New Roman" w:cs="Times New Roman"/>
          <w:sz w:val="24"/>
          <w:szCs w:val="24"/>
        </w:rPr>
        <w:t>, including a restyling of the proposed rule and relevant sections to use the more descriptive “Scarcity Pricing Parameters” instead of “Scarcity Pricing Mechanism</w:t>
      </w:r>
      <w:r>
        <w:rPr>
          <w:rFonts w:ascii="Times New Roman" w:hAnsi="Times New Roman" w:cs="Times New Roman"/>
          <w:sz w:val="24"/>
          <w:szCs w:val="24"/>
        </w:rPr>
        <w:t>.</w:t>
      </w:r>
      <w:r w:rsidR="00205437">
        <w:rPr>
          <w:rFonts w:ascii="Times New Roman" w:hAnsi="Times New Roman" w:cs="Times New Roman"/>
          <w:sz w:val="24"/>
          <w:szCs w:val="24"/>
        </w:rPr>
        <w:t>”</w:t>
      </w:r>
      <w:r>
        <w:rPr>
          <w:rFonts w:ascii="Times New Roman" w:hAnsi="Times New Roman" w:cs="Times New Roman"/>
          <w:sz w:val="24"/>
          <w:szCs w:val="24"/>
        </w:rPr>
        <w:t xml:space="preserve">  </w:t>
      </w:r>
    </w:p>
    <w:p w:rsidR="00FA6A94" w:rsidRPr="0048370E" w:rsidRDefault="00FA6A94" w:rsidP="008D079A">
      <w:pPr>
        <w:spacing w:before="360" w:line="360" w:lineRule="auto"/>
        <w:jc w:val="center"/>
        <w:rPr>
          <w:rFonts w:ascii="Times New Roman" w:hAnsi="Times New Roman" w:cs="Times New Roman"/>
          <w:b/>
          <w:sz w:val="24"/>
          <w:szCs w:val="24"/>
        </w:rPr>
      </w:pPr>
      <w:r w:rsidRPr="0048370E">
        <w:rPr>
          <w:rFonts w:ascii="Times New Roman" w:hAnsi="Times New Roman" w:cs="Times New Roman"/>
          <w:b/>
          <w:sz w:val="24"/>
          <w:szCs w:val="24"/>
        </w:rPr>
        <w:t xml:space="preserve">I. </w:t>
      </w:r>
      <w:r w:rsidR="005350ED">
        <w:rPr>
          <w:rFonts w:ascii="Times New Roman" w:hAnsi="Times New Roman" w:cs="Times New Roman"/>
          <w:b/>
          <w:sz w:val="24"/>
          <w:szCs w:val="24"/>
        </w:rPr>
        <w:t xml:space="preserve"> </w:t>
      </w:r>
      <w:r w:rsidR="00192C6E">
        <w:rPr>
          <w:rFonts w:ascii="Times New Roman" w:hAnsi="Times New Roman" w:cs="Times New Roman"/>
          <w:b/>
          <w:sz w:val="24"/>
          <w:szCs w:val="24"/>
        </w:rPr>
        <w:t>Response to Commission Question</w:t>
      </w:r>
    </w:p>
    <w:p w:rsidR="00190776" w:rsidRDefault="006E63DA" w:rsidP="00190776">
      <w:pPr>
        <w:rPr>
          <w:rFonts w:ascii="Times New Roman" w:hAnsi="Times New Roman" w:cs="Times New Roman"/>
          <w:b/>
          <w:sz w:val="24"/>
          <w:szCs w:val="24"/>
        </w:rPr>
      </w:pPr>
      <w:r>
        <w:rPr>
          <w:rFonts w:ascii="Times New Roman" w:hAnsi="Times New Roman" w:cs="Times New Roman"/>
          <w:b/>
          <w:sz w:val="24"/>
          <w:szCs w:val="24"/>
        </w:rPr>
        <w:t>As an alternative to the changes in §25.505(f)(6)(A) of the proposed rule, should the commission instead consider eliminating the Low System-Wide Offer Cap from the scarcity pricing m</w:t>
      </w:r>
      <w:r w:rsidR="00566616">
        <w:rPr>
          <w:rFonts w:ascii="Times New Roman" w:hAnsi="Times New Roman" w:cs="Times New Roman"/>
          <w:b/>
          <w:sz w:val="24"/>
          <w:szCs w:val="24"/>
        </w:rPr>
        <w:t>e</w:t>
      </w:r>
      <w:r>
        <w:rPr>
          <w:rFonts w:ascii="Times New Roman" w:hAnsi="Times New Roman" w:cs="Times New Roman"/>
          <w:b/>
          <w:sz w:val="24"/>
          <w:szCs w:val="24"/>
        </w:rPr>
        <w:t>chanism</w:t>
      </w:r>
      <w:r w:rsidR="00643A83">
        <w:rPr>
          <w:rFonts w:ascii="Times New Roman" w:hAnsi="Times New Roman" w:cs="Times New Roman"/>
          <w:b/>
          <w:sz w:val="24"/>
          <w:szCs w:val="24"/>
        </w:rPr>
        <w:t>?</w:t>
      </w:r>
    </w:p>
    <w:p w:rsidR="008D079A" w:rsidRDefault="00566616" w:rsidP="004F07B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TCPA recommends the Commission eliminat</w:t>
      </w:r>
      <w:r w:rsidR="00034B17">
        <w:rPr>
          <w:rFonts w:ascii="Times New Roman" w:hAnsi="Times New Roman" w:cs="Times New Roman"/>
          <w:sz w:val="24"/>
          <w:szCs w:val="24"/>
        </w:rPr>
        <w:t>e</w:t>
      </w:r>
      <w:r>
        <w:rPr>
          <w:rFonts w:ascii="Times New Roman" w:hAnsi="Times New Roman" w:cs="Times New Roman"/>
          <w:sz w:val="24"/>
          <w:szCs w:val="24"/>
        </w:rPr>
        <w:t xml:space="preserve"> the LCAP</w:t>
      </w:r>
      <w:r w:rsidR="003E62A8">
        <w:rPr>
          <w:rFonts w:ascii="Times New Roman" w:hAnsi="Times New Roman" w:cs="Times New Roman"/>
          <w:sz w:val="24"/>
          <w:szCs w:val="24"/>
        </w:rPr>
        <w:t>.</w:t>
      </w:r>
      <w:r>
        <w:rPr>
          <w:rFonts w:ascii="Times New Roman" w:hAnsi="Times New Roman" w:cs="Times New Roman"/>
          <w:sz w:val="24"/>
          <w:szCs w:val="24"/>
        </w:rPr>
        <w:t xml:space="preserve"> </w:t>
      </w:r>
      <w:r w:rsidR="00FC0A57">
        <w:rPr>
          <w:rFonts w:ascii="Times New Roman" w:hAnsi="Times New Roman" w:cs="Times New Roman"/>
          <w:sz w:val="24"/>
          <w:szCs w:val="24"/>
        </w:rPr>
        <w:t xml:space="preserve">In an energy-only market, </w:t>
      </w:r>
      <w:r w:rsidR="00FC0A57" w:rsidRPr="00FC0A57">
        <w:rPr>
          <w:rFonts w:ascii="Times New Roman" w:hAnsi="Times New Roman" w:cs="Times New Roman"/>
          <w:color w:val="000000" w:themeColor="text1"/>
          <w:sz w:val="24"/>
          <w:szCs w:val="24"/>
        </w:rPr>
        <w:t>energy pricing signals</w:t>
      </w:r>
      <w:r w:rsidR="00FC0A57">
        <w:rPr>
          <w:rFonts w:ascii="Times New Roman" w:hAnsi="Times New Roman" w:cs="Times New Roman"/>
          <w:color w:val="000000" w:themeColor="text1"/>
          <w:sz w:val="24"/>
          <w:szCs w:val="24"/>
        </w:rPr>
        <w:t xml:space="preserve"> </w:t>
      </w:r>
      <w:r w:rsidR="003D6349">
        <w:rPr>
          <w:rFonts w:ascii="Times New Roman" w:hAnsi="Times New Roman" w:cs="Times New Roman"/>
          <w:color w:val="000000" w:themeColor="text1"/>
          <w:sz w:val="24"/>
          <w:szCs w:val="24"/>
        </w:rPr>
        <w:t xml:space="preserve">are the sole incentive </w:t>
      </w:r>
      <w:r w:rsidR="007C0C14">
        <w:rPr>
          <w:rFonts w:ascii="Times New Roman" w:hAnsi="Times New Roman" w:cs="Times New Roman"/>
          <w:color w:val="000000" w:themeColor="text1"/>
          <w:sz w:val="24"/>
          <w:szCs w:val="24"/>
        </w:rPr>
        <w:t>for both</w:t>
      </w:r>
      <w:r w:rsidR="003D6349">
        <w:rPr>
          <w:rFonts w:ascii="Times New Roman" w:hAnsi="Times New Roman" w:cs="Times New Roman"/>
          <w:color w:val="000000" w:themeColor="text1"/>
          <w:sz w:val="24"/>
          <w:szCs w:val="24"/>
        </w:rPr>
        <w:t xml:space="preserve"> new entry and continued operation</w:t>
      </w:r>
      <w:r w:rsidR="007C0C14">
        <w:rPr>
          <w:rFonts w:ascii="Times New Roman" w:hAnsi="Times New Roman" w:cs="Times New Roman"/>
          <w:color w:val="000000" w:themeColor="text1"/>
          <w:sz w:val="24"/>
          <w:szCs w:val="24"/>
        </w:rPr>
        <w:t xml:space="preserve"> of existing resources</w:t>
      </w:r>
      <w:r w:rsidR="00FC0A57">
        <w:rPr>
          <w:rFonts w:ascii="Times New Roman" w:hAnsi="Times New Roman" w:cs="Times New Roman"/>
          <w:color w:val="000000" w:themeColor="text1"/>
          <w:sz w:val="24"/>
          <w:szCs w:val="24"/>
        </w:rPr>
        <w:t xml:space="preserve">. </w:t>
      </w:r>
      <w:r w:rsidR="007C0C14">
        <w:rPr>
          <w:rFonts w:ascii="Times New Roman" w:hAnsi="Times New Roman" w:cs="Times New Roman"/>
          <w:color w:val="000000" w:themeColor="text1"/>
          <w:sz w:val="24"/>
          <w:szCs w:val="24"/>
        </w:rPr>
        <w:t>Thus, a</w:t>
      </w:r>
      <w:r w:rsidR="008E59DA">
        <w:rPr>
          <w:rFonts w:ascii="Times New Roman" w:hAnsi="Times New Roman" w:cs="Times New Roman"/>
          <w:sz w:val="24"/>
          <w:szCs w:val="24"/>
        </w:rPr>
        <w:t xml:space="preserve">s a matter of principle, </w:t>
      </w:r>
      <w:r w:rsidR="003D6349">
        <w:rPr>
          <w:rFonts w:ascii="Times New Roman" w:hAnsi="Times New Roman" w:cs="Times New Roman"/>
          <w:sz w:val="24"/>
          <w:szCs w:val="24"/>
        </w:rPr>
        <w:t xml:space="preserve">even </w:t>
      </w:r>
      <w:r w:rsidR="00C44A6F">
        <w:rPr>
          <w:rFonts w:ascii="Times New Roman" w:hAnsi="Times New Roman" w:cs="Times New Roman"/>
          <w:sz w:val="24"/>
          <w:szCs w:val="24"/>
        </w:rPr>
        <w:t>in the face of persistent scarcity conditions</w:t>
      </w:r>
      <w:r w:rsidR="007C0C14">
        <w:rPr>
          <w:rFonts w:ascii="Times New Roman" w:hAnsi="Times New Roman" w:cs="Times New Roman"/>
          <w:sz w:val="24"/>
          <w:szCs w:val="24"/>
        </w:rPr>
        <w:t xml:space="preserve"> in a given year</w:t>
      </w:r>
      <w:r w:rsidR="00C44A6F">
        <w:rPr>
          <w:rFonts w:ascii="Times New Roman" w:hAnsi="Times New Roman" w:cs="Times New Roman"/>
          <w:sz w:val="24"/>
          <w:szCs w:val="24"/>
        </w:rPr>
        <w:t xml:space="preserve">, </w:t>
      </w:r>
      <w:r w:rsidR="008E59DA">
        <w:rPr>
          <w:rFonts w:ascii="Times New Roman" w:hAnsi="Times New Roman" w:cs="Times New Roman"/>
          <w:sz w:val="24"/>
          <w:szCs w:val="24"/>
        </w:rPr>
        <w:t>a</w:t>
      </w:r>
      <w:r w:rsidR="005B2901">
        <w:rPr>
          <w:rFonts w:ascii="Times New Roman" w:hAnsi="Times New Roman" w:cs="Times New Roman"/>
          <w:sz w:val="24"/>
          <w:szCs w:val="24"/>
        </w:rPr>
        <w:t xml:space="preserve">n </w:t>
      </w:r>
      <w:r>
        <w:rPr>
          <w:rFonts w:ascii="Times New Roman" w:hAnsi="Times New Roman" w:cs="Times New Roman"/>
          <w:sz w:val="24"/>
          <w:szCs w:val="24"/>
        </w:rPr>
        <w:t>energy-only market</w:t>
      </w:r>
      <w:r w:rsidR="00FC0A57">
        <w:rPr>
          <w:rFonts w:ascii="Times New Roman" w:hAnsi="Times New Roman" w:cs="Times New Roman"/>
          <w:sz w:val="24"/>
          <w:szCs w:val="24"/>
        </w:rPr>
        <w:t xml:space="preserve"> should </w:t>
      </w:r>
      <w:r w:rsidR="003D6349">
        <w:rPr>
          <w:rFonts w:ascii="Times New Roman" w:hAnsi="Times New Roman" w:cs="Times New Roman"/>
          <w:sz w:val="24"/>
          <w:szCs w:val="24"/>
        </w:rPr>
        <w:t>not artificially lower</w:t>
      </w:r>
      <w:r>
        <w:rPr>
          <w:rFonts w:ascii="Times New Roman" w:hAnsi="Times New Roman" w:cs="Times New Roman"/>
          <w:sz w:val="24"/>
          <w:szCs w:val="24"/>
        </w:rPr>
        <w:t xml:space="preserve"> </w:t>
      </w:r>
      <w:r w:rsidR="005B2901">
        <w:rPr>
          <w:rFonts w:ascii="Times New Roman" w:hAnsi="Times New Roman" w:cs="Times New Roman"/>
          <w:sz w:val="24"/>
          <w:szCs w:val="24"/>
        </w:rPr>
        <w:t xml:space="preserve">scarcity </w:t>
      </w:r>
      <w:r>
        <w:rPr>
          <w:rFonts w:ascii="Times New Roman" w:hAnsi="Times New Roman" w:cs="Times New Roman"/>
          <w:sz w:val="24"/>
          <w:szCs w:val="24"/>
        </w:rPr>
        <w:t>price</w:t>
      </w:r>
      <w:r w:rsidR="007C0C14">
        <w:rPr>
          <w:rFonts w:ascii="Times New Roman" w:hAnsi="Times New Roman" w:cs="Times New Roman"/>
          <w:sz w:val="24"/>
          <w:szCs w:val="24"/>
        </w:rPr>
        <w:t>s</w:t>
      </w:r>
      <w:r w:rsidR="00C44A6F">
        <w:rPr>
          <w:rFonts w:ascii="Times New Roman" w:hAnsi="Times New Roman" w:cs="Times New Roman"/>
          <w:sz w:val="24"/>
          <w:szCs w:val="24"/>
        </w:rPr>
        <w:t>,</w:t>
      </w:r>
      <w:r>
        <w:rPr>
          <w:rFonts w:ascii="Times New Roman" w:hAnsi="Times New Roman" w:cs="Times New Roman"/>
          <w:sz w:val="24"/>
          <w:szCs w:val="24"/>
        </w:rPr>
        <w:t xml:space="preserve"> </w:t>
      </w:r>
      <w:r w:rsidR="007C0C14">
        <w:rPr>
          <w:rFonts w:ascii="Times New Roman" w:hAnsi="Times New Roman" w:cs="Times New Roman"/>
          <w:sz w:val="24"/>
          <w:szCs w:val="24"/>
        </w:rPr>
        <w:t>but, instead,</w:t>
      </w:r>
      <w:r w:rsidR="00C44A6F">
        <w:rPr>
          <w:rFonts w:ascii="Times New Roman" w:hAnsi="Times New Roman" w:cs="Times New Roman"/>
          <w:sz w:val="24"/>
          <w:szCs w:val="24"/>
        </w:rPr>
        <w:t xml:space="preserve"> </w:t>
      </w:r>
      <w:r w:rsidR="007C0C14">
        <w:rPr>
          <w:rFonts w:ascii="Times New Roman" w:hAnsi="Times New Roman" w:cs="Times New Roman"/>
          <w:sz w:val="24"/>
          <w:szCs w:val="24"/>
        </w:rPr>
        <w:t xml:space="preserve">should continue to allow prices to </w:t>
      </w:r>
      <w:r w:rsidR="00C44A6F">
        <w:rPr>
          <w:rFonts w:ascii="Times New Roman" w:hAnsi="Times New Roman" w:cs="Times New Roman"/>
          <w:sz w:val="24"/>
          <w:szCs w:val="24"/>
        </w:rPr>
        <w:t>appropri</w:t>
      </w:r>
      <w:r w:rsidR="002F5466">
        <w:rPr>
          <w:rFonts w:ascii="Times New Roman" w:hAnsi="Times New Roman" w:cs="Times New Roman"/>
          <w:sz w:val="24"/>
          <w:szCs w:val="24"/>
        </w:rPr>
        <w:t xml:space="preserve">ately </w:t>
      </w:r>
      <w:r w:rsidR="007C0C14">
        <w:rPr>
          <w:rFonts w:ascii="Times New Roman" w:hAnsi="Times New Roman" w:cs="Times New Roman"/>
          <w:sz w:val="24"/>
          <w:szCs w:val="24"/>
        </w:rPr>
        <w:t>reflect</w:t>
      </w:r>
      <w:r w:rsidR="00C44A6F">
        <w:rPr>
          <w:rFonts w:ascii="Times New Roman" w:hAnsi="Times New Roman" w:cs="Times New Roman"/>
          <w:sz w:val="24"/>
          <w:szCs w:val="24"/>
        </w:rPr>
        <w:t xml:space="preserve"> </w:t>
      </w:r>
      <w:r w:rsidR="008D079A">
        <w:rPr>
          <w:rFonts w:ascii="Times New Roman" w:hAnsi="Times New Roman" w:cs="Times New Roman"/>
          <w:sz w:val="24"/>
          <w:szCs w:val="24"/>
        </w:rPr>
        <w:t xml:space="preserve">those </w:t>
      </w:r>
      <w:r w:rsidR="007C0C14">
        <w:rPr>
          <w:rFonts w:ascii="Times New Roman" w:hAnsi="Times New Roman" w:cs="Times New Roman"/>
          <w:sz w:val="24"/>
          <w:szCs w:val="24"/>
        </w:rPr>
        <w:t>conditions</w:t>
      </w:r>
      <w:r w:rsidR="00474230">
        <w:rPr>
          <w:rFonts w:ascii="Times New Roman" w:hAnsi="Times New Roman" w:cs="Times New Roman"/>
          <w:sz w:val="24"/>
          <w:szCs w:val="24"/>
        </w:rPr>
        <w:t xml:space="preserve">. </w:t>
      </w:r>
    </w:p>
    <w:p w:rsidR="00E7322D" w:rsidRDefault="00474230" w:rsidP="009C18A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w:t>
      </w:r>
      <w:r w:rsidR="0095552D">
        <w:rPr>
          <w:rFonts w:ascii="Times New Roman" w:hAnsi="Times New Roman" w:cs="Times New Roman"/>
          <w:sz w:val="24"/>
          <w:szCs w:val="24"/>
        </w:rPr>
        <w:t xml:space="preserve">is evidenced by </w:t>
      </w:r>
      <w:r w:rsidR="00F23881">
        <w:rPr>
          <w:rFonts w:ascii="Times New Roman" w:hAnsi="Times New Roman" w:cs="Times New Roman"/>
          <w:sz w:val="24"/>
          <w:szCs w:val="24"/>
        </w:rPr>
        <w:t xml:space="preserve">the </w:t>
      </w:r>
      <w:r w:rsidR="00CD408B">
        <w:rPr>
          <w:rFonts w:ascii="Times New Roman" w:hAnsi="Times New Roman" w:cs="Times New Roman"/>
          <w:sz w:val="24"/>
          <w:szCs w:val="24"/>
        </w:rPr>
        <w:t>perpetual</w:t>
      </w:r>
      <w:r w:rsidR="00BD5DD2">
        <w:rPr>
          <w:rFonts w:ascii="Times New Roman" w:hAnsi="Times New Roman" w:cs="Times New Roman"/>
          <w:sz w:val="24"/>
          <w:szCs w:val="24"/>
        </w:rPr>
        <w:t xml:space="preserve"> </w:t>
      </w:r>
      <w:r w:rsidR="00BB0C18">
        <w:rPr>
          <w:rFonts w:ascii="Times New Roman" w:hAnsi="Times New Roman" w:cs="Times New Roman"/>
          <w:sz w:val="24"/>
          <w:szCs w:val="24"/>
        </w:rPr>
        <w:t>debate</w:t>
      </w:r>
      <w:r w:rsidR="0095552D">
        <w:rPr>
          <w:rFonts w:ascii="Times New Roman" w:hAnsi="Times New Roman" w:cs="Times New Roman"/>
          <w:sz w:val="24"/>
          <w:szCs w:val="24"/>
        </w:rPr>
        <w:t xml:space="preserve"> about resource adequacy in ERCOT</w:t>
      </w:r>
      <w:r>
        <w:rPr>
          <w:rFonts w:ascii="Times New Roman" w:hAnsi="Times New Roman" w:cs="Times New Roman"/>
          <w:sz w:val="24"/>
          <w:szCs w:val="24"/>
        </w:rPr>
        <w:t>, when prices are too low to incent additional resources</w:t>
      </w:r>
      <w:r w:rsidR="00BA75AB">
        <w:rPr>
          <w:rFonts w:ascii="Times New Roman" w:hAnsi="Times New Roman" w:cs="Times New Roman"/>
          <w:sz w:val="24"/>
          <w:szCs w:val="24"/>
        </w:rPr>
        <w:t xml:space="preserve"> to come to market or even to retain existing resources</w:t>
      </w:r>
      <w:r>
        <w:rPr>
          <w:rFonts w:ascii="Times New Roman" w:hAnsi="Times New Roman" w:cs="Times New Roman"/>
          <w:sz w:val="24"/>
          <w:szCs w:val="24"/>
        </w:rPr>
        <w:t xml:space="preserve">, </w:t>
      </w:r>
      <w:r w:rsidR="00BA75AB">
        <w:rPr>
          <w:rFonts w:ascii="Times New Roman" w:hAnsi="Times New Roman" w:cs="Times New Roman"/>
          <w:sz w:val="24"/>
          <w:szCs w:val="24"/>
        </w:rPr>
        <w:t xml:space="preserve">it can take years of </w:t>
      </w:r>
      <w:r w:rsidR="00BB0C18">
        <w:rPr>
          <w:rFonts w:ascii="Times New Roman" w:hAnsi="Times New Roman" w:cs="Times New Roman"/>
          <w:sz w:val="24"/>
          <w:szCs w:val="24"/>
        </w:rPr>
        <w:t>substantial discourse before solutions are implemented</w:t>
      </w:r>
      <w:r w:rsidR="00BA75AB">
        <w:rPr>
          <w:rFonts w:ascii="Times New Roman" w:hAnsi="Times New Roman" w:cs="Times New Roman"/>
          <w:sz w:val="24"/>
          <w:szCs w:val="24"/>
        </w:rPr>
        <w:t xml:space="preserve"> </w:t>
      </w:r>
      <w:r w:rsidR="00BB0C18">
        <w:rPr>
          <w:rFonts w:ascii="Times New Roman" w:hAnsi="Times New Roman" w:cs="Times New Roman"/>
          <w:sz w:val="24"/>
          <w:szCs w:val="24"/>
        </w:rPr>
        <w:t>that</w:t>
      </w:r>
      <w:r w:rsidR="00C44A6F">
        <w:rPr>
          <w:rFonts w:ascii="Times New Roman" w:hAnsi="Times New Roman" w:cs="Times New Roman"/>
          <w:sz w:val="24"/>
          <w:szCs w:val="24"/>
        </w:rPr>
        <w:t xml:space="preserve"> adequately</w:t>
      </w:r>
      <w:r w:rsidR="00BA75AB">
        <w:rPr>
          <w:rFonts w:ascii="Times New Roman" w:hAnsi="Times New Roman" w:cs="Times New Roman"/>
          <w:sz w:val="24"/>
          <w:szCs w:val="24"/>
        </w:rPr>
        <w:t xml:space="preserve"> correct for </w:t>
      </w:r>
      <w:r w:rsidR="00BD5DD2">
        <w:rPr>
          <w:rFonts w:ascii="Times New Roman" w:hAnsi="Times New Roman" w:cs="Times New Roman"/>
          <w:sz w:val="24"/>
          <w:szCs w:val="24"/>
        </w:rPr>
        <w:t>that failure</w:t>
      </w:r>
      <w:r>
        <w:rPr>
          <w:rFonts w:ascii="Times New Roman" w:hAnsi="Times New Roman" w:cs="Times New Roman"/>
          <w:sz w:val="24"/>
          <w:szCs w:val="24"/>
        </w:rPr>
        <w:t>.</w:t>
      </w:r>
      <w:r w:rsidR="003D6349">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sidR="002E100C">
        <w:rPr>
          <w:rFonts w:ascii="Times New Roman" w:hAnsi="Times New Roman" w:cs="Times New Roman"/>
          <w:sz w:val="24"/>
          <w:szCs w:val="24"/>
        </w:rPr>
        <w:t>Given this reality, t</w:t>
      </w:r>
      <w:r w:rsidR="00BB0C18">
        <w:rPr>
          <w:rFonts w:ascii="Times New Roman" w:hAnsi="Times New Roman" w:cs="Times New Roman"/>
          <w:sz w:val="24"/>
          <w:szCs w:val="24"/>
        </w:rPr>
        <w:t>he</w:t>
      </w:r>
      <w:r w:rsidR="003D6349">
        <w:rPr>
          <w:rFonts w:ascii="Times New Roman" w:hAnsi="Times New Roman" w:cs="Times New Roman"/>
          <w:sz w:val="24"/>
          <w:szCs w:val="24"/>
        </w:rPr>
        <w:t xml:space="preserve"> ERCOT</w:t>
      </w:r>
      <w:r w:rsidR="00BB0C18">
        <w:rPr>
          <w:rFonts w:ascii="Times New Roman" w:hAnsi="Times New Roman" w:cs="Times New Roman"/>
          <w:sz w:val="24"/>
          <w:szCs w:val="24"/>
        </w:rPr>
        <w:t xml:space="preserve"> market design should not include </w:t>
      </w:r>
      <w:r w:rsidR="00EF56FE">
        <w:rPr>
          <w:rFonts w:ascii="Times New Roman" w:hAnsi="Times New Roman" w:cs="Times New Roman"/>
          <w:sz w:val="24"/>
          <w:szCs w:val="24"/>
        </w:rPr>
        <w:t>mechanisms</w:t>
      </w:r>
      <w:r w:rsidR="00BB0C18">
        <w:rPr>
          <w:rFonts w:ascii="Times New Roman" w:hAnsi="Times New Roman" w:cs="Times New Roman"/>
          <w:sz w:val="24"/>
          <w:szCs w:val="24"/>
        </w:rPr>
        <w:t xml:space="preserve"> that are facially inconsistent with the goal of promoting resource adequacy in </w:t>
      </w:r>
      <w:r w:rsidR="002E100C">
        <w:rPr>
          <w:rFonts w:ascii="Times New Roman" w:hAnsi="Times New Roman" w:cs="Times New Roman"/>
          <w:sz w:val="24"/>
          <w:szCs w:val="24"/>
        </w:rPr>
        <w:t>an energy-only market</w:t>
      </w:r>
      <w:r w:rsidR="00BB0C18">
        <w:rPr>
          <w:rFonts w:ascii="Times New Roman" w:hAnsi="Times New Roman" w:cs="Times New Roman"/>
          <w:sz w:val="24"/>
          <w:szCs w:val="24"/>
        </w:rPr>
        <w:t>. T</w:t>
      </w:r>
      <w:r w:rsidR="00E7322D">
        <w:rPr>
          <w:rFonts w:ascii="Times New Roman" w:hAnsi="Times New Roman" w:cs="Times New Roman"/>
          <w:sz w:val="24"/>
          <w:szCs w:val="24"/>
        </w:rPr>
        <w:t>he LCAP represents a fundamental asymmetry of the ERCOT energy-only market structure</w:t>
      </w:r>
      <w:r w:rsidR="00EF56FE">
        <w:rPr>
          <w:rFonts w:ascii="Times New Roman" w:hAnsi="Times New Roman" w:cs="Times New Roman"/>
          <w:sz w:val="24"/>
          <w:szCs w:val="24"/>
        </w:rPr>
        <w:t>—</w:t>
      </w:r>
      <w:r w:rsidR="00E7322D">
        <w:rPr>
          <w:rFonts w:ascii="Times New Roman" w:hAnsi="Times New Roman" w:cs="Times New Roman"/>
          <w:sz w:val="24"/>
          <w:szCs w:val="24"/>
        </w:rPr>
        <w:t xml:space="preserve">one </w:t>
      </w:r>
      <w:r w:rsidR="00EF56FE">
        <w:rPr>
          <w:rFonts w:ascii="Times New Roman" w:hAnsi="Times New Roman" w:cs="Times New Roman"/>
          <w:sz w:val="24"/>
          <w:szCs w:val="24"/>
        </w:rPr>
        <w:t>in which</w:t>
      </w:r>
      <w:r w:rsidR="00E7322D">
        <w:rPr>
          <w:rFonts w:ascii="Times New Roman" w:hAnsi="Times New Roman" w:cs="Times New Roman"/>
          <w:sz w:val="24"/>
          <w:szCs w:val="24"/>
        </w:rPr>
        <w:t xml:space="preserve"> persistent low wholesale power prices can push the market to the brink of resource inadequacy,</w:t>
      </w:r>
      <w:r w:rsidR="00EF56FE">
        <w:rPr>
          <w:rStyle w:val="FootnoteReference"/>
          <w:rFonts w:ascii="Times New Roman" w:hAnsi="Times New Roman" w:cs="Times New Roman"/>
          <w:sz w:val="24"/>
          <w:szCs w:val="24"/>
        </w:rPr>
        <w:footnoteReference w:id="2"/>
      </w:r>
      <w:r w:rsidR="00E7322D">
        <w:rPr>
          <w:rFonts w:ascii="Times New Roman" w:hAnsi="Times New Roman" w:cs="Times New Roman"/>
          <w:sz w:val="24"/>
          <w:szCs w:val="24"/>
        </w:rPr>
        <w:t xml:space="preserve"> but </w:t>
      </w:r>
      <w:r w:rsidR="00FD762D">
        <w:rPr>
          <w:rFonts w:ascii="Times New Roman" w:hAnsi="Times New Roman" w:cs="Times New Roman"/>
          <w:sz w:val="24"/>
          <w:szCs w:val="24"/>
        </w:rPr>
        <w:t xml:space="preserve">high </w:t>
      </w:r>
      <w:r w:rsidR="00CD408B">
        <w:rPr>
          <w:rFonts w:ascii="Times New Roman" w:hAnsi="Times New Roman" w:cs="Times New Roman"/>
          <w:sz w:val="24"/>
          <w:szCs w:val="24"/>
        </w:rPr>
        <w:t>wholesale power prices</w:t>
      </w:r>
      <w:r w:rsidR="00FD762D">
        <w:rPr>
          <w:rFonts w:ascii="Times New Roman" w:hAnsi="Times New Roman" w:cs="Times New Roman"/>
          <w:sz w:val="24"/>
          <w:szCs w:val="24"/>
        </w:rPr>
        <w:t xml:space="preserve"> driven by resource shortages</w:t>
      </w:r>
      <w:r w:rsidR="00CD408B">
        <w:rPr>
          <w:rFonts w:ascii="Times New Roman" w:hAnsi="Times New Roman" w:cs="Times New Roman"/>
          <w:sz w:val="24"/>
          <w:szCs w:val="24"/>
        </w:rPr>
        <w:t xml:space="preserve"> would be capped</w:t>
      </w:r>
      <w:r w:rsidR="00FD762D">
        <w:rPr>
          <w:rFonts w:ascii="Times New Roman" w:hAnsi="Times New Roman" w:cs="Times New Roman"/>
          <w:sz w:val="24"/>
          <w:szCs w:val="24"/>
        </w:rPr>
        <w:t>, potentially handicapping the ability of the market to fully signal the investment that is needed</w:t>
      </w:r>
      <w:r w:rsidR="00E7322D">
        <w:rPr>
          <w:rFonts w:ascii="Times New Roman" w:hAnsi="Times New Roman" w:cs="Times New Roman"/>
          <w:sz w:val="24"/>
          <w:szCs w:val="24"/>
        </w:rPr>
        <w:t>. TCPA understands and appreciates that</w:t>
      </w:r>
      <w:r w:rsidR="003D6349">
        <w:rPr>
          <w:rFonts w:ascii="Times New Roman" w:hAnsi="Times New Roman" w:cs="Times New Roman"/>
          <w:sz w:val="24"/>
          <w:szCs w:val="24"/>
        </w:rPr>
        <w:t xml:space="preserve"> a former Commission instituted</w:t>
      </w:r>
      <w:r w:rsidR="00E7322D">
        <w:rPr>
          <w:rFonts w:ascii="Times New Roman" w:hAnsi="Times New Roman" w:cs="Times New Roman"/>
          <w:sz w:val="24"/>
          <w:szCs w:val="24"/>
        </w:rPr>
        <w:t xml:space="preserve"> the LCAP to balance the </w:t>
      </w:r>
      <w:r w:rsidR="00E7322D">
        <w:rPr>
          <w:rFonts w:ascii="Times New Roman" w:hAnsi="Times New Roman" w:cs="Times New Roman"/>
          <w:sz w:val="24"/>
          <w:szCs w:val="24"/>
        </w:rPr>
        <w:lastRenderedPageBreak/>
        <w:t xml:space="preserve">need </w:t>
      </w:r>
      <w:r w:rsidR="004F07B0">
        <w:rPr>
          <w:rFonts w:ascii="Times New Roman" w:hAnsi="Times New Roman" w:cs="Times New Roman"/>
          <w:sz w:val="24"/>
          <w:szCs w:val="24"/>
        </w:rPr>
        <w:t xml:space="preserve">to </w:t>
      </w:r>
      <w:r w:rsidR="004F07B0" w:rsidRPr="004F07B0">
        <w:rPr>
          <w:rFonts w:ascii="Times New Roman" w:hAnsi="Times New Roman" w:cs="Times New Roman"/>
          <w:sz w:val="24"/>
          <w:szCs w:val="24"/>
        </w:rPr>
        <w:t>“</w:t>
      </w:r>
      <w:r w:rsidR="004F07B0" w:rsidRPr="004F07B0">
        <w:rPr>
          <w:rFonts w:ascii="Times New Roman" w:hAnsi="Times New Roman" w:cs="Times New Roman"/>
          <w:bCs/>
          <w:sz w:val="24"/>
          <w:szCs w:val="24"/>
        </w:rPr>
        <w:t>protect</w:t>
      </w:r>
      <w:r w:rsidR="0006729F">
        <w:rPr>
          <w:rFonts w:ascii="Times New Roman" w:hAnsi="Times New Roman" w:cs="Times New Roman"/>
          <w:bCs/>
          <w:sz w:val="24"/>
          <w:szCs w:val="24"/>
        </w:rPr>
        <w:t xml:space="preserve"> [unhedged]</w:t>
      </w:r>
      <w:r w:rsidR="004F07B0" w:rsidRPr="004F07B0">
        <w:rPr>
          <w:rFonts w:ascii="Times New Roman" w:hAnsi="Times New Roman" w:cs="Times New Roman"/>
          <w:bCs/>
          <w:sz w:val="24"/>
          <w:szCs w:val="24"/>
        </w:rPr>
        <w:t xml:space="preserve"> loads from persistent high prices, while providing sufficient high-price signals to entice new generation into the market</w:t>
      </w:r>
      <w:r w:rsidR="00523645">
        <w:rPr>
          <w:rFonts w:ascii="Times New Roman" w:hAnsi="Times New Roman" w:cs="Times New Roman"/>
          <w:sz w:val="24"/>
          <w:szCs w:val="24"/>
        </w:rPr>
        <w:t>.</w:t>
      </w:r>
      <w:r w:rsidR="004F07B0" w:rsidRPr="004F07B0">
        <w:rPr>
          <w:rFonts w:ascii="Times New Roman" w:hAnsi="Times New Roman" w:cs="Times New Roman"/>
          <w:sz w:val="24"/>
          <w:szCs w:val="24"/>
        </w:rPr>
        <w:t>”</w:t>
      </w:r>
      <w:r w:rsidR="00580D73">
        <w:rPr>
          <w:rStyle w:val="FootnoteReference"/>
          <w:rFonts w:ascii="Times New Roman" w:hAnsi="Times New Roman" w:cs="Times New Roman"/>
          <w:sz w:val="24"/>
          <w:szCs w:val="24"/>
        </w:rPr>
        <w:footnoteReference w:id="3"/>
      </w:r>
      <w:r w:rsidR="003D6349">
        <w:rPr>
          <w:rFonts w:ascii="Times New Roman" w:hAnsi="Times New Roman" w:cs="Times New Roman"/>
          <w:sz w:val="24"/>
          <w:szCs w:val="24"/>
        </w:rPr>
        <w:t xml:space="preserve"> However,</w:t>
      </w:r>
      <w:r w:rsidR="00523645">
        <w:rPr>
          <w:rFonts w:ascii="Times New Roman" w:hAnsi="Times New Roman" w:cs="Times New Roman"/>
          <w:sz w:val="24"/>
          <w:szCs w:val="24"/>
        </w:rPr>
        <w:t xml:space="preserve"> </w:t>
      </w:r>
      <w:r w:rsidR="00580D73">
        <w:rPr>
          <w:rFonts w:ascii="Times New Roman" w:hAnsi="Times New Roman" w:cs="Times New Roman"/>
          <w:sz w:val="24"/>
          <w:szCs w:val="24"/>
        </w:rPr>
        <w:t>the ensuing</w:t>
      </w:r>
      <w:r w:rsidR="00EF56FE">
        <w:rPr>
          <w:rFonts w:ascii="Times New Roman" w:hAnsi="Times New Roman" w:cs="Times New Roman"/>
          <w:sz w:val="24"/>
          <w:szCs w:val="24"/>
        </w:rPr>
        <w:t xml:space="preserve"> nearly</w:t>
      </w:r>
      <w:r w:rsidR="00580D73">
        <w:rPr>
          <w:rFonts w:ascii="Times New Roman" w:hAnsi="Times New Roman" w:cs="Times New Roman"/>
          <w:sz w:val="24"/>
          <w:szCs w:val="24"/>
        </w:rPr>
        <w:t xml:space="preserve"> 13 years of market outcomes</w:t>
      </w:r>
      <w:r w:rsidR="0006729F">
        <w:rPr>
          <w:rFonts w:ascii="Times New Roman" w:hAnsi="Times New Roman" w:cs="Times New Roman"/>
          <w:sz w:val="24"/>
          <w:szCs w:val="24"/>
        </w:rPr>
        <w:t>—</w:t>
      </w:r>
      <w:r w:rsidR="00580D73">
        <w:rPr>
          <w:rFonts w:ascii="Times New Roman" w:hAnsi="Times New Roman" w:cs="Times New Roman"/>
          <w:sz w:val="24"/>
          <w:szCs w:val="24"/>
        </w:rPr>
        <w:t>including extreme spikes in the price of natural gas (2008), record-breaking extreme temperatures (2011), and rapidly contracting reserve margins (2018)</w:t>
      </w:r>
      <w:r w:rsidR="0006729F">
        <w:rPr>
          <w:rFonts w:ascii="Times New Roman" w:hAnsi="Times New Roman" w:cs="Times New Roman"/>
          <w:sz w:val="24"/>
          <w:szCs w:val="24"/>
        </w:rPr>
        <w:t>—</w:t>
      </w:r>
      <w:r w:rsidR="00580D73">
        <w:rPr>
          <w:rFonts w:ascii="Times New Roman" w:hAnsi="Times New Roman" w:cs="Times New Roman"/>
          <w:sz w:val="24"/>
          <w:szCs w:val="24"/>
        </w:rPr>
        <w:t>have yet to demonstrate a practical need for the LCAP mechanism</w:t>
      </w:r>
      <w:r w:rsidR="005A5A20">
        <w:rPr>
          <w:rFonts w:ascii="Times New Roman" w:hAnsi="Times New Roman" w:cs="Times New Roman"/>
          <w:sz w:val="24"/>
          <w:szCs w:val="24"/>
        </w:rPr>
        <w:t xml:space="preserve">, as PNM has </w:t>
      </w:r>
      <w:r w:rsidR="00C44A2D">
        <w:rPr>
          <w:rFonts w:ascii="Times New Roman" w:hAnsi="Times New Roman" w:cs="Times New Roman"/>
          <w:sz w:val="24"/>
          <w:szCs w:val="24"/>
        </w:rPr>
        <w:t xml:space="preserve">never </w:t>
      </w:r>
      <w:r w:rsidR="00220746">
        <w:rPr>
          <w:rFonts w:ascii="Times New Roman" w:hAnsi="Times New Roman" w:cs="Times New Roman"/>
          <w:sz w:val="24"/>
          <w:szCs w:val="24"/>
        </w:rPr>
        <w:t>exceeded the</w:t>
      </w:r>
      <w:r w:rsidR="00EF56FE">
        <w:rPr>
          <w:rFonts w:ascii="Times New Roman" w:hAnsi="Times New Roman" w:cs="Times New Roman"/>
          <w:sz w:val="24"/>
          <w:szCs w:val="24"/>
        </w:rPr>
        <w:t xml:space="preserve"> </w:t>
      </w:r>
      <w:r w:rsidR="00C44A2D">
        <w:rPr>
          <w:rFonts w:ascii="Times New Roman" w:hAnsi="Times New Roman" w:cs="Times New Roman"/>
          <w:sz w:val="24"/>
          <w:szCs w:val="24"/>
        </w:rPr>
        <w:t>LCAP threshold</w:t>
      </w:r>
      <w:r w:rsidR="004F07B0">
        <w:rPr>
          <w:rFonts w:ascii="Times New Roman" w:hAnsi="Times New Roman" w:cs="Times New Roman"/>
          <w:sz w:val="24"/>
          <w:szCs w:val="24"/>
        </w:rPr>
        <w:t>,</w:t>
      </w:r>
      <w:r w:rsidR="004F07B0">
        <w:rPr>
          <w:rStyle w:val="FootnoteReference"/>
          <w:rFonts w:ascii="Times New Roman" w:hAnsi="Times New Roman" w:cs="Times New Roman"/>
          <w:sz w:val="24"/>
          <w:szCs w:val="24"/>
        </w:rPr>
        <w:footnoteReference w:id="4"/>
      </w:r>
      <w:r w:rsidR="00220746">
        <w:rPr>
          <w:rFonts w:ascii="Times New Roman" w:hAnsi="Times New Roman" w:cs="Times New Roman"/>
          <w:sz w:val="24"/>
          <w:szCs w:val="24"/>
        </w:rPr>
        <w:t xml:space="preserve"> and in most years</w:t>
      </w:r>
      <w:r w:rsidR="0006729F">
        <w:rPr>
          <w:rFonts w:ascii="Times New Roman" w:hAnsi="Times New Roman" w:cs="Times New Roman"/>
          <w:sz w:val="24"/>
          <w:szCs w:val="24"/>
        </w:rPr>
        <w:t>,</w:t>
      </w:r>
      <w:r w:rsidR="00220746">
        <w:rPr>
          <w:rFonts w:ascii="Times New Roman" w:hAnsi="Times New Roman" w:cs="Times New Roman"/>
          <w:sz w:val="24"/>
          <w:szCs w:val="24"/>
        </w:rPr>
        <w:t xml:space="preserve"> has never even reached the half-way point:</w:t>
      </w:r>
      <w:r w:rsidR="00C44A2D">
        <w:rPr>
          <w:rStyle w:val="FootnoteReference"/>
          <w:rFonts w:ascii="Times New Roman" w:hAnsi="Times New Roman" w:cs="Times New Roman"/>
          <w:sz w:val="24"/>
          <w:szCs w:val="24"/>
        </w:rPr>
        <w:footnoteReference w:id="5"/>
      </w:r>
    </w:p>
    <w:p w:rsidR="00C44A2D" w:rsidRDefault="00C44A2D" w:rsidP="009C18AA">
      <w:pPr>
        <w:spacing w:line="360" w:lineRule="auto"/>
        <w:ind w:firstLine="7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F962302" wp14:editId="5D23D8B7">
            <wp:extent cx="4498848" cy="3566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8848" cy="3566160"/>
                    </a:xfrm>
                    <a:prstGeom prst="rect">
                      <a:avLst/>
                    </a:prstGeom>
                    <a:noFill/>
                  </pic:spPr>
                </pic:pic>
              </a:graphicData>
            </a:graphic>
          </wp:inline>
        </w:drawing>
      </w:r>
    </w:p>
    <w:p w:rsidR="00A76F6C" w:rsidRDefault="00A76F6C" w:rsidP="009C18A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Furthermore, inherent to the LCAP concept is an inconsistency regarding the value of avoiding firm load shed when market conditions are tight. In asking this question regarding whether the LCAP should be eliminated, the Commission is effectively asking whether scarcity should be consistently represented in market prices in an energy-only market. TCPA believes that the only answer truly rooted in the energy</w:t>
      </w:r>
      <w:r w:rsidR="0006729F">
        <w:rPr>
          <w:rFonts w:ascii="Times New Roman" w:hAnsi="Times New Roman" w:cs="Times New Roman"/>
          <w:sz w:val="24"/>
          <w:szCs w:val="24"/>
        </w:rPr>
        <w:t xml:space="preserve">-only market construct is “yes,” </w:t>
      </w:r>
      <w:r>
        <w:rPr>
          <w:rFonts w:ascii="Times New Roman" w:hAnsi="Times New Roman" w:cs="Times New Roman"/>
          <w:sz w:val="24"/>
          <w:szCs w:val="24"/>
        </w:rPr>
        <w:t xml:space="preserve">and that the logical conclusion is therefore to eliminate the complicating (and heretofore unnecessary) LCAP mechanism. </w:t>
      </w:r>
      <w:r w:rsidR="0002732C">
        <w:rPr>
          <w:rFonts w:ascii="Times New Roman" w:hAnsi="Times New Roman" w:cs="Times New Roman"/>
          <w:sz w:val="24"/>
          <w:szCs w:val="24"/>
        </w:rPr>
        <w:t xml:space="preserve">Scarcity </w:t>
      </w:r>
      <w:r w:rsidR="00205437">
        <w:rPr>
          <w:rFonts w:ascii="Times New Roman" w:hAnsi="Times New Roman" w:cs="Times New Roman"/>
          <w:sz w:val="24"/>
          <w:szCs w:val="24"/>
        </w:rPr>
        <w:t xml:space="preserve">and an associated reliability risk </w:t>
      </w:r>
      <w:r w:rsidR="0002732C">
        <w:rPr>
          <w:rFonts w:ascii="Times New Roman" w:hAnsi="Times New Roman" w:cs="Times New Roman"/>
          <w:sz w:val="24"/>
          <w:szCs w:val="24"/>
        </w:rPr>
        <w:t xml:space="preserve">either </w:t>
      </w:r>
      <w:proofErr w:type="gramStart"/>
      <w:r w:rsidR="0002732C">
        <w:rPr>
          <w:rFonts w:ascii="Times New Roman" w:hAnsi="Times New Roman" w:cs="Times New Roman"/>
          <w:sz w:val="24"/>
          <w:szCs w:val="24"/>
        </w:rPr>
        <w:t>exists</w:t>
      </w:r>
      <w:proofErr w:type="gramEnd"/>
      <w:r w:rsidR="0002732C">
        <w:rPr>
          <w:rFonts w:ascii="Times New Roman" w:hAnsi="Times New Roman" w:cs="Times New Roman"/>
          <w:sz w:val="24"/>
          <w:szCs w:val="24"/>
        </w:rPr>
        <w:t xml:space="preserve"> or it does not, and should be priced as such in a true energy-only market. </w:t>
      </w:r>
    </w:p>
    <w:p w:rsidR="00C44A2D" w:rsidRDefault="00612619" w:rsidP="009C18A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From</w:t>
      </w:r>
      <w:r w:rsidR="0084791A">
        <w:rPr>
          <w:rFonts w:ascii="Times New Roman" w:hAnsi="Times New Roman" w:cs="Times New Roman"/>
          <w:sz w:val="24"/>
          <w:szCs w:val="24"/>
        </w:rPr>
        <w:t xml:space="preserve"> a market incentives standpoint, </w:t>
      </w:r>
      <w:r w:rsidR="0002732C">
        <w:rPr>
          <w:rFonts w:ascii="Times New Roman" w:hAnsi="Times New Roman" w:cs="Times New Roman"/>
          <w:sz w:val="24"/>
          <w:szCs w:val="24"/>
        </w:rPr>
        <w:t>it is worth noting that e</w:t>
      </w:r>
      <w:r w:rsidR="00C44A2D">
        <w:rPr>
          <w:rFonts w:ascii="Times New Roman" w:hAnsi="Times New Roman" w:cs="Times New Roman"/>
          <w:sz w:val="24"/>
          <w:szCs w:val="24"/>
        </w:rPr>
        <w:t xml:space="preserve">ven if scarcity pricing were to be sustained for long enough to </w:t>
      </w:r>
      <w:r w:rsidR="0002732C">
        <w:rPr>
          <w:rFonts w:ascii="Times New Roman" w:hAnsi="Times New Roman" w:cs="Times New Roman"/>
          <w:sz w:val="24"/>
          <w:szCs w:val="24"/>
        </w:rPr>
        <w:t xml:space="preserve">reach the PNM </w:t>
      </w:r>
      <w:r w:rsidR="00C44A2D">
        <w:rPr>
          <w:rFonts w:ascii="Times New Roman" w:hAnsi="Times New Roman" w:cs="Times New Roman"/>
          <w:sz w:val="24"/>
          <w:szCs w:val="24"/>
        </w:rPr>
        <w:t xml:space="preserve">trigger </w:t>
      </w:r>
      <w:r w:rsidR="0002732C">
        <w:rPr>
          <w:rFonts w:ascii="Times New Roman" w:hAnsi="Times New Roman" w:cs="Times New Roman"/>
          <w:sz w:val="24"/>
          <w:szCs w:val="24"/>
        </w:rPr>
        <w:t xml:space="preserve">for the </w:t>
      </w:r>
      <w:r w:rsidR="00C44A2D">
        <w:rPr>
          <w:rFonts w:ascii="Times New Roman" w:hAnsi="Times New Roman" w:cs="Times New Roman"/>
          <w:sz w:val="24"/>
          <w:szCs w:val="24"/>
        </w:rPr>
        <w:t xml:space="preserve">LCAP, </w:t>
      </w:r>
      <w:r w:rsidR="0002732C">
        <w:rPr>
          <w:rFonts w:ascii="Times New Roman" w:hAnsi="Times New Roman" w:cs="Times New Roman"/>
          <w:sz w:val="24"/>
          <w:szCs w:val="24"/>
        </w:rPr>
        <w:t xml:space="preserve">most end-use customers should be protected from that exposure due to their contracting with retail electric providers (REPs) that should have hedged their customers’ load to limit their financial risk. And while it is </w:t>
      </w:r>
      <w:bookmarkStart w:id="2" w:name="_GoBack"/>
      <w:bookmarkEnd w:id="2"/>
      <w:r w:rsidR="0002732C">
        <w:rPr>
          <w:rFonts w:ascii="Times New Roman" w:hAnsi="Times New Roman" w:cs="Times New Roman"/>
          <w:sz w:val="24"/>
          <w:szCs w:val="24"/>
        </w:rPr>
        <w:t>impossible to predict the precise market signals that would give rise to such a scenario, it is fair to assume that sustained scarcity pricing at that level would quickly draw increased investment into the wholesale market</w:t>
      </w:r>
      <w:r w:rsidR="005A7F91">
        <w:rPr>
          <w:rFonts w:ascii="Times New Roman" w:hAnsi="Times New Roman" w:cs="Times New Roman"/>
          <w:sz w:val="24"/>
          <w:szCs w:val="24"/>
        </w:rPr>
        <w:t>;</w:t>
      </w:r>
      <w:r w:rsidR="00523645">
        <w:rPr>
          <w:rFonts w:ascii="Times New Roman" w:hAnsi="Times New Roman" w:cs="Times New Roman"/>
          <w:sz w:val="24"/>
          <w:szCs w:val="24"/>
        </w:rPr>
        <w:t xml:space="preserve"> prompt planned resources to accelerate their commercial operation date</w:t>
      </w:r>
      <w:r w:rsidR="005A7F91">
        <w:rPr>
          <w:rFonts w:ascii="Times New Roman" w:hAnsi="Times New Roman" w:cs="Times New Roman"/>
          <w:sz w:val="24"/>
          <w:szCs w:val="24"/>
        </w:rPr>
        <w:t xml:space="preserve"> if possible;</w:t>
      </w:r>
      <w:r w:rsidR="00523645">
        <w:rPr>
          <w:rFonts w:ascii="Times New Roman" w:hAnsi="Times New Roman" w:cs="Times New Roman"/>
          <w:sz w:val="24"/>
          <w:szCs w:val="24"/>
        </w:rPr>
        <w:t xml:space="preserve"> and incentivize </w:t>
      </w:r>
      <w:r w:rsidR="000C40D6">
        <w:rPr>
          <w:rFonts w:ascii="Times New Roman" w:hAnsi="Times New Roman" w:cs="Times New Roman"/>
          <w:sz w:val="24"/>
          <w:szCs w:val="24"/>
        </w:rPr>
        <w:t>existing resources to perform upgrades and expansions</w:t>
      </w:r>
      <w:r w:rsidR="001B0241">
        <w:rPr>
          <w:rFonts w:ascii="Times New Roman" w:hAnsi="Times New Roman" w:cs="Times New Roman"/>
          <w:sz w:val="24"/>
          <w:szCs w:val="24"/>
        </w:rPr>
        <w:t xml:space="preserve"> and </w:t>
      </w:r>
      <w:r w:rsidR="00523645">
        <w:rPr>
          <w:rFonts w:ascii="Times New Roman" w:hAnsi="Times New Roman" w:cs="Times New Roman"/>
          <w:sz w:val="24"/>
          <w:szCs w:val="24"/>
        </w:rPr>
        <w:t>mothballed resources to return to service as quickly as possible</w:t>
      </w:r>
      <w:r w:rsidR="0002732C">
        <w:rPr>
          <w:rFonts w:ascii="Times New Roman" w:hAnsi="Times New Roman" w:cs="Times New Roman"/>
          <w:sz w:val="24"/>
          <w:szCs w:val="24"/>
        </w:rPr>
        <w:t>, naturally limiting the duration of sustained scarcity pricing.</w:t>
      </w:r>
    </w:p>
    <w:p w:rsidR="00C768DF" w:rsidRDefault="003454B6" w:rsidP="009C18A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sum, the Commission could</w:t>
      </w:r>
      <w:r w:rsidR="00FC0CE9">
        <w:rPr>
          <w:rFonts w:ascii="Times New Roman" w:hAnsi="Times New Roman" w:cs="Times New Roman"/>
          <w:sz w:val="24"/>
          <w:szCs w:val="24"/>
        </w:rPr>
        <w:t>—</w:t>
      </w:r>
      <w:r>
        <w:rPr>
          <w:rFonts w:ascii="Times New Roman" w:hAnsi="Times New Roman" w:cs="Times New Roman"/>
          <w:sz w:val="24"/>
          <w:szCs w:val="24"/>
        </w:rPr>
        <w:t>and TCPA believes should</w:t>
      </w:r>
      <w:r w:rsidR="00FC0CE9">
        <w:rPr>
          <w:rFonts w:ascii="Times New Roman" w:hAnsi="Times New Roman" w:cs="Times New Roman"/>
          <w:sz w:val="24"/>
          <w:szCs w:val="24"/>
        </w:rPr>
        <w:t>—</w:t>
      </w:r>
      <w:r>
        <w:rPr>
          <w:rFonts w:ascii="Times New Roman" w:hAnsi="Times New Roman" w:cs="Times New Roman"/>
          <w:sz w:val="24"/>
          <w:szCs w:val="24"/>
        </w:rPr>
        <w:t xml:space="preserve">eliminate the LCAP mechanism with </w:t>
      </w:r>
      <w:r w:rsidR="00FC0CE9">
        <w:rPr>
          <w:rFonts w:ascii="Times New Roman" w:hAnsi="Times New Roman" w:cs="Times New Roman"/>
          <w:sz w:val="24"/>
          <w:szCs w:val="24"/>
        </w:rPr>
        <w:t xml:space="preserve">no detrimental </w:t>
      </w:r>
      <w:r>
        <w:rPr>
          <w:rFonts w:ascii="Times New Roman" w:hAnsi="Times New Roman" w:cs="Times New Roman"/>
          <w:sz w:val="24"/>
          <w:szCs w:val="24"/>
        </w:rPr>
        <w:t>impact</w:t>
      </w:r>
      <w:r w:rsidR="00FC0CE9">
        <w:rPr>
          <w:rFonts w:ascii="Times New Roman" w:hAnsi="Times New Roman" w:cs="Times New Roman"/>
          <w:sz w:val="24"/>
          <w:szCs w:val="24"/>
        </w:rPr>
        <w:t xml:space="preserve"> to customers</w:t>
      </w:r>
      <w:r w:rsidR="00BD1A9E">
        <w:rPr>
          <w:rFonts w:ascii="Times New Roman" w:hAnsi="Times New Roman" w:cs="Times New Roman"/>
          <w:sz w:val="24"/>
          <w:szCs w:val="24"/>
        </w:rPr>
        <w:t xml:space="preserve"> and likely with no impact at all, beyond </w:t>
      </w:r>
      <w:r>
        <w:rPr>
          <w:rFonts w:ascii="Times New Roman" w:hAnsi="Times New Roman" w:cs="Times New Roman"/>
          <w:sz w:val="24"/>
          <w:szCs w:val="24"/>
        </w:rPr>
        <w:t xml:space="preserve">providing </w:t>
      </w:r>
      <w:r w:rsidR="00BD1A9E">
        <w:rPr>
          <w:rFonts w:ascii="Times New Roman" w:hAnsi="Times New Roman" w:cs="Times New Roman"/>
          <w:sz w:val="24"/>
          <w:szCs w:val="24"/>
        </w:rPr>
        <w:t>existing resources and potential investors with an important and appropriate</w:t>
      </w:r>
      <w:r>
        <w:rPr>
          <w:rFonts w:ascii="Times New Roman" w:hAnsi="Times New Roman" w:cs="Times New Roman"/>
          <w:sz w:val="24"/>
          <w:szCs w:val="24"/>
        </w:rPr>
        <w:t xml:space="preserve"> signal</w:t>
      </w:r>
      <w:r w:rsidR="00FC0CE9">
        <w:rPr>
          <w:rFonts w:ascii="Times New Roman" w:hAnsi="Times New Roman" w:cs="Times New Roman"/>
          <w:sz w:val="24"/>
          <w:szCs w:val="24"/>
        </w:rPr>
        <w:t xml:space="preserve"> </w:t>
      </w:r>
      <w:r>
        <w:rPr>
          <w:rFonts w:ascii="Times New Roman" w:hAnsi="Times New Roman" w:cs="Times New Roman"/>
          <w:sz w:val="24"/>
          <w:szCs w:val="24"/>
        </w:rPr>
        <w:t xml:space="preserve">of </w:t>
      </w:r>
      <w:r w:rsidR="00BD1A9E">
        <w:rPr>
          <w:rFonts w:ascii="Times New Roman" w:hAnsi="Times New Roman" w:cs="Times New Roman"/>
          <w:sz w:val="24"/>
          <w:szCs w:val="24"/>
        </w:rPr>
        <w:t>the Commission’s</w:t>
      </w:r>
      <w:r>
        <w:rPr>
          <w:rFonts w:ascii="Times New Roman" w:hAnsi="Times New Roman" w:cs="Times New Roman"/>
          <w:sz w:val="24"/>
          <w:szCs w:val="24"/>
        </w:rPr>
        <w:t xml:space="preserve"> commitment to the energy-only market design. </w:t>
      </w:r>
      <w:r w:rsidR="00C768DF">
        <w:rPr>
          <w:rFonts w:ascii="Times New Roman" w:hAnsi="Times New Roman" w:cs="Times New Roman"/>
          <w:sz w:val="24"/>
          <w:szCs w:val="24"/>
        </w:rPr>
        <w:t xml:space="preserve">Should the Commission </w:t>
      </w:r>
      <w:r w:rsidR="00FC0CE9">
        <w:rPr>
          <w:rFonts w:ascii="Times New Roman" w:hAnsi="Times New Roman" w:cs="Times New Roman"/>
          <w:sz w:val="24"/>
          <w:szCs w:val="24"/>
        </w:rPr>
        <w:t>agree</w:t>
      </w:r>
      <w:r w:rsidR="00C768DF">
        <w:rPr>
          <w:rFonts w:ascii="Times New Roman" w:hAnsi="Times New Roman" w:cs="Times New Roman"/>
          <w:sz w:val="24"/>
          <w:szCs w:val="24"/>
        </w:rPr>
        <w:t xml:space="preserve">, TCPA proposes that the subsection currently titled “Scarcity pricing mechanism” be </w:t>
      </w:r>
      <w:r w:rsidR="00BD1A9E">
        <w:rPr>
          <w:rFonts w:ascii="Times New Roman" w:hAnsi="Times New Roman" w:cs="Times New Roman"/>
          <w:sz w:val="24"/>
          <w:szCs w:val="24"/>
        </w:rPr>
        <w:t>restyled as “Scarcity pricing parameters”</w:t>
      </w:r>
      <w:r w:rsidR="005A7F91">
        <w:rPr>
          <w:rFonts w:ascii="Times New Roman" w:hAnsi="Times New Roman" w:cs="Times New Roman"/>
          <w:sz w:val="24"/>
          <w:szCs w:val="24"/>
        </w:rPr>
        <w:t>;</w:t>
      </w:r>
      <w:r w:rsidR="00BD1A9E">
        <w:rPr>
          <w:rFonts w:ascii="Times New Roman" w:hAnsi="Times New Roman" w:cs="Times New Roman"/>
          <w:sz w:val="24"/>
          <w:szCs w:val="24"/>
        </w:rPr>
        <w:t xml:space="preserve"> </w:t>
      </w:r>
      <w:r w:rsidR="00C768DF">
        <w:rPr>
          <w:rFonts w:ascii="Times New Roman" w:hAnsi="Times New Roman" w:cs="Times New Roman"/>
          <w:sz w:val="24"/>
          <w:szCs w:val="24"/>
        </w:rPr>
        <w:t>repurposed to set the System Wide Offer Cap (SWOC)</w:t>
      </w:r>
      <w:r w:rsidR="005A7F91">
        <w:rPr>
          <w:rFonts w:ascii="Times New Roman" w:hAnsi="Times New Roman" w:cs="Times New Roman"/>
          <w:sz w:val="24"/>
          <w:szCs w:val="24"/>
        </w:rPr>
        <w:t xml:space="preserve">; revised to </w:t>
      </w:r>
      <w:r w:rsidR="00D730A6">
        <w:rPr>
          <w:rFonts w:ascii="Times New Roman" w:hAnsi="Times New Roman" w:cs="Times New Roman"/>
          <w:sz w:val="24"/>
          <w:szCs w:val="24"/>
        </w:rPr>
        <w:t xml:space="preserve">add a definition of </w:t>
      </w:r>
      <w:r w:rsidR="005A7F91">
        <w:rPr>
          <w:rFonts w:ascii="Times New Roman" w:hAnsi="Times New Roman" w:cs="Times New Roman"/>
          <w:sz w:val="24"/>
          <w:szCs w:val="24"/>
        </w:rPr>
        <w:t>the VOLL, as it is another key scarcity pricing parameter</w:t>
      </w:r>
      <w:r w:rsidR="00D730A6">
        <w:rPr>
          <w:rFonts w:ascii="Times New Roman" w:hAnsi="Times New Roman" w:cs="Times New Roman"/>
          <w:sz w:val="24"/>
          <w:szCs w:val="24"/>
        </w:rPr>
        <w:t xml:space="preserve">; and revised to clarify the purpose for the Independent Market Monitor’s evaluation of the </w:t>
      </w:r>
      <w:r w:rsidR="002F3473">
        <w:rPr>
          <w:rFonts w:ascii="Times New Roman" w:hAnsi="Times New Roman" w:cs="Times New Roman"/>
          <w:sz w:val="24"/>
          <w:szCs w:val="24"/>
        </w:rPr>
        <w:t>scarcity pricing parameters</w:t>
      </w:r>
      <w:r w:rsidR="005A7F91">
        <w:rPr>
          <w:rFonts w:ascii="Times New Roman" w:hAnsi="Times New Roman" w:cs="Times New Roman"/>
          <w:sz w:val="24"/>
          <w:szCs w:val="24"/>
        </w:rPr>
        <w:t>.</w:t>
      </w:r>
      <w:r w:rsidR="007F6FE9">
        <w:rPr>
          <w:rFonts w:ascii="Times New Roman" w:hAnsi="Times New Roman" w:cs="Times New Roman"/>
          <w:sz w:val="24"/>
          <w:szCs w:val="24"/>
        </w:rPr>
        <w:t xml:space="preserve"> In addition,</w:t>
      </w:r>
      <w:r w:rsidR="004B5D47">
        <w:rPr>
          <w:rFonts w:ascii="Times New Roman" w:hAnsi="Times New Roman" w:cs="Times New Roman"/>
          <w:sz w:val="24"/>
          <w:szCs w:val="24"/>
        </w:rPr>
        <w:t xml:space="preserve"> </w:t>
      </w:r>
      <w:r w:rsidR="007F6FE9">
        <w:rPr>
          <w:rFonts w:ascii="Times New Roman" w:hAnsi="Times New Roman" w:cs="Times New Roman"/>
          <w:sz w:val="24"/>
          <w:szCs w:val="24"/>
        </w:rPr>
        <w:t xml:space="preserve">the Commission should continue to direct ERCOT to publish the PNM for informational purposes, as it can provide a valuable </w:t>
      </w:r>
      <w:r w:rsidR="00205437">
        <w:rPr>
          <w:rFonts w:ascii="Times New Roman" w:hAnsi="Times New Roman" w:cs="Times New Roman"/>
          <w:sz w:val="24"/>
          <w:szCs w:val="24"/>
        </w:rPr>
        <w:t xml:space="preserve">independent </w:t>
      </w:r>
      <w:r w:rsidR="007F6FE9">
        <w:rPr>
          <w:rFonts w:ascii="Times New Roman" w:hAnsi="Times New Roman" w:cs="Times New Roman"/>
          <w:sz w:val="24"/>
          <w:szCs w:val="24"/>
        </w:rPr>
        <w:t>look at the state of the ERCOT market for the current year</w:t>
      </w:r>
      <w:r w:rsidR="00205437">
        <w:rPr>
          <w:rFonts w:ascii="Times New Roman" w:hAnsi="Times New Roman" w:cs="Times New Roman"/>
          <w:sz w:val="24"/>
          <w:szCs w:val="24"/>
        </w:rPr>
        <w:t>.</w:t>
      </w:r>
      <w:r w:rsidR="004B5D47">
        <w:rPr>
          <w:rFonts w:ascii="Times New Roman" w:hAnsi="Times New Roman" w:cs="Times New Roman"/>
          <w:sz w:val="24"/>
          <w:szCs w:val="24"/>
        </w:rPr>
        <w:t xml:space="preserve"> </w:t>
      </w:r>
      <w:r w:rsidR="00205437">
        <w:rPr>
          <w:rFonts w:ascii="Times New Roman" w:hAnsi="Times New Roman" w:cs="Times New Roman"/>
          <w:sz w:val="24"/>
          <w:szCs w:val="24"/>
        </w:rPr>
        <w:t xml:space="preserve">However, if the Commission agrees that the LCAP is unnecessary and </w:t>
      </w:r>
      <w:r w:rsidR="00205437">
        <w:rPr>
          <w:rFonts w:ascii="Times New Roman" w:hAnsi="Times New Roman" w:cs="Times New Roman"/>
          <w:sz w:val="24"/>
          <w:szCs w:val="24"/>
        </w:rPr>
        <w:lastRenderedPageBreak/>
        <w:t xml:space="preserve">should be eliminated, then </w:t>
      </w:r>
      <w:r w:rsidR="004B5D47">
        <w:rPr>
          <w:rFonts w:ascii="Times New Roman" w:hAnsi="Times New Roman" w:cs="Times New Roman"/>
          <w:sz w:val="24"/>
          <w:szCs w:val="24"/>
        </w:rPr>
        <w:t xml:space="preserve">that requirement should be moved to existing subsection (f), which TCPA recommends the Commission retain, as discussed </w:t>
      </w:r>
      <w:r w:rsidR="00205437">
        <w:rPr>
          <w:rFonts w:ascii="Times New Roman" w:hAnsi="Times New Roman" w:cs="Times New Roman"/>
          <w:sz w:val="24"/>
          <w:szCs w:val="24"/>
        </w:rPr>
        <w:t>in the next section</w:t>
      </w:r>
      <w:r w:rsidR="000108EB">
        <w:rPr>
          <w:rFonts w:ascii="Times New Roman" w:hAnsi="Times New Roman" w:cs="Times New Roman"/>
          <w:sz w:val="24"/>
          <w:szCs w:val="24"/>
        </w:rPr>
        <w:t>:</w:t>
      </w:r>
      <w:r w:rsidR="008B7BA2">
        <w:rPr>
          <w:rStyle w:val="FootnoteReference"/>
          <w:rFonts w:ascii="Times New Roman" w:hAnsi="Times New Roman" w:cs="Times New Roman"/>
          <w:sz w:val="24"/>
          <w:szCs w:val="24"/>
        </w:rPr>
        <w:footnoteReference w:id="6"/>
      </w:r>
    </w:p>
    <w:p w:rsidR="001F281C" w:rsidRPr="003C2E95" w:rsidRDefault="001F281C" w:rsidP="001F281C">
      <w:pPr>
        <w:spacing w:after="0" w:line="240" w:lineRule="auto"/>
        <w:ind w:left="360"/>
        <w:jc w:val="both"/>
        <w:rPr>
          <w:rFonts w:ascii="Times New Roman" w:hAnsi="Times New Roman" w:cs="Times New Roman"/>
          <w:szCs w:val="24"/>
        </w:rPr>
      </w:pPr>
      <w:r w:rsidRPr="003C2E95">
        <w:rPr>
          <w:rFonts w:ascii="Times New Roman" w:hAnsi="Times New Roman" w:cs="Times New Roman"/>
          <w:szCs w:val="24"/>
        </w:rPr>
        <w:t>(</w:t>
      </w:r>
      <w:proofErr w:type="spellStart"/>
      <w:r w:rsidRPr="003129AE">
        <w:rPr>
          <w:rFonts w:ascii="Times New Roman" w:hAnsi="Times New Roman" w:cs="Times New Roman"/>
          <w:strike/>
          <w:szCs w:val="24"/>
        </w:rPr>
        <w:t>f</w:t>
      </w:r>
      <w:r>
        <w:rPr>
          <w:rFonts w:ascii="Times New Roman" w:hAnsi="Times New Roman" w:cs="Times New Roman"/>
          <w:szCs w:val="24"/>
          <w:u w:val="single"/>
        </w:rPr>
        <w:t>g</w:t>
      </w:r>
      <w:proofErr w:type="spellEnd"/>
      <w:r w:rsidRPr="003C2E95">
        <w:rPr>
          <w:rFonts w:ascii="Times New Roman" w:hAnsi="Times New Roman" w:cs="Times New Roman"/>
          <w:szCs w:val="24"/>
        </w:rPr>
        <w:t>)</w:t>
      </w:r>
      <w:r w:rsidRPr="003C2E95">
        <w:rPr>
          <w:rFonts w:ascii="Times New Roman" w:hAnsi="Times New Roman" w:cs="Times New Roman"/>
          <w:szCs w:val="24"/>
        </w:rPr>
        <w:tab/>
      </w:r>
      <w:r w:rsidRPr="003C2E95">
        <w:rPr>
          <w:rFonts w:ascii="Times New Roman" w:hAnsi="Times New Roman" w:cs="Times New Roman"/>
          <w:b/>
          <w:strike/>
          <w:szCs w:val="24"/>
        </w:rPr>
        <w:t>Scarcity pricing mechanism (SPM)</w:t>
      </w:r>
      <w:r>
        <w:rPr>
          <w:rFonts w:ascii="Times New Roman" w:hAnsi="Times New Roman" w:cs="Times New Roman"/>
          <w:b/>
          <w:szCs w:val="24"/>
        </w:rPr>
        <w:t xml:space="preserve"> </w:t>
      </w:r>
      <w:r w:rsidR="00B86DAB">
        <w:rPr>
          <w:rFonts w:ascii="Times New Roman" w:hAnsi="Times New Roman" w:cs="Times New Roman"/>
          <w:b/>
          <w:szCs w:val="24"/>
          <w:u w:val="single"/>
        </w:rPr>
        <w:t>Scarcity pricing p</w:t>
      </w:r>
      <w:r w:rsidRPr="001F281C">
        <w:rPr>
          <w:rFonts w:ascii="Times New Roman" w:hAnsi="Times New Roman" w:cs="Times New Roman"/>
          <w:b/>
          <w:szCs w:val="24"/>
          <w:u w:val="single"/>
        </w:rPr>
        <w:t>arameters</w:t>
      </w:r>
      <w:r w:rsidRPr="003C2E95">
        <w:rPr>
          <w:rFonts w:ascii="Times New Roman" w:hAnsi="Times New Roman" w:cs="Times New Roman"/>
          <w:b/>
          <w:szCs w:val="24"/>
        </w:rPr>
        <w:t>.</w:t>
      </w:r>
      <w:r w:rsidRPr="003C2E95">
        <w:rPr>
          <w:rFonts w:ascii="Times New Roman" w:hAnsi="Times New Roman" w:cs="Times New Roman"/>
          <w:szCs w:val="24"/>
        </w:rPr>
        <w:t xml:space="preserve">  </w:t>
      </w:r>
      <w:r w:rsidRPr="00B86DAB">
        <w:rPr>
          <w:rFonts w:ascii="Times New Roman" w:hAnsi="Times New Roman" w:cs="Times New Roman"/>
          <w:strike/>
          <w:szCs w:val="24"/>
        </w:rPr>
        <w:t xml:space="preserve">ERCOT will administer </w:t>
      </w:r>
      <w:proofErr w:type="spellStart"/>
      <w:r w:rsidRPr="00B86DAB">
        <w:rPr>
          <w:rFonts w:ascii="Times New Roman" w:hAnsi="Times New Roman" w:cs="Times New Roman"/>
          <w:strike/>
          <w:szCs w:val="24"/>
        </w:rPr>
        <w:t>t</w:t>
      </w:r>
      <w:r w:rsidR="00B86DAB" w:rsidRPr="00B86DAB">
        <w:rPr>
          <w:rFonts w:ascii="Times New Roman" w:hAnsi="Times New Roman" w:cs="Times New Roman"/>
          <w:szCs w:val="24"/>
          <w:u w:val="single"/>
        </w:rPr>
        <w:t>T</w:t>
      </w:r>
      <w:r w:rsidRPr="003C2E95">
        <w:rPr>
          <w:rFonts w:ascii="Times New Roman" w:hAnsi="Times New Roman" w:cs="Times New Roman"/>
          <w:szCs w:val="24"/>
        </w:rPr>
        <w:t>he</w:t>
      </w:r>
      <w:proofErr w:type="spellEnd"/>
      <w:r w:rsidRPr="003C2E95">
        <w:rPr>
          <w:rFonts w:ascii="Times New Roman" w:hAnsi="Times New Roman" w:cs="Times New Roman"/>
          <w:szCs w:val="24"/>
        </w:rPr>
        <w:t xml:space="preserve"> </w:t>
      </w:r>
      <w:r w:rsidRPr="003C2E95">
        <w:rPr>
          <w:rFonts w:ascii="Times New Roman" w:hAnsi="Times New Roman" w:cs="Times New Roman"/>
          <w:strike/>
          <w:szCs w:val="24"/>
        </w:rPr>
        <w:t>SPM</w:t>
      </w:r>
      <w:r>
        <w:rPr>
          <w:rFonts w:ascii="Times New Roman" w:hAnsi="Times New Roman" w:cs="Times New Roman"/>
          <w:szCs w:val="24"/>
        </w:rPr>
        <w:t xml:space="preserve"> </w:t>
      </w:r>
      <w:r w:rsidR="002F3473">
        <w:rPr>
          <w:rFonts w:ascii="Times New Roman" w:hAnsi="Times New Roman" w:cs="Times New Roman"/>
          <w:szCs w:val="24"/>
          <w:u w:val="single"/>
        </w:rPr>
        <w:t xml:space="preserve">scarcity pricing parameters </w:t>
      </w:r>
      <w:r w:rsidR="00B86DAB">
        <w:rPr>
          <w:rFonts w:ascii="Times New Roman" w:hAnsi="Times New Roman" w:cs="Times New Roman"/>
          <w:szCs w:val="24"/>
          <w:u w:val="single"/>
        </w:rPr>
        <w:t>are as follows:</w:t>
      </w:r>
      <w:r w:rsidRPr="003C2E95">
        <w:rPr>
          <w:rFonts w:ascii="Times New Roman" w:hAnsi="Times New Roman" w:cs="Times New Roman"/>
          <w:szCs w:val="24"/>
        </w:rPr>
        <w:t xml:space="preserve">  </w:t>
      </w:r>
      <w:r w:rsidRPr="00B86DAB">
        <w:rPr>
          <w:rFonts w:ascii="Times New Roman" w:hAnsi="Times New Roman" w:cs="Times New Roman"/>
          <w:strike/>
          <w:szCs w:val="24"/>
        </w:rPr>
        <w:t>The SPM will operate as follows:</w:t>
      </w:r>
    </w:p>
    <w:p w:rsidR="001F281C" w:rsidRPr="001F281C" w:rsidRDefault="001F281C" w:rsidP="001F281C">
      <w:pPr>
        <w:spacing w:after="0" w:line="240" w:lineRule="auto"/>
        <w:ind w:firstLine="720"/>
        <w:jc w:val="both"/>
        <w:rPr>
          <w:rFonts w:ascii="Times New Roman" w:hAnsi="Times New Roman" w:cs="Times New Roman"/>
          <w:strike/>
          <w:szCs w:val="24"/>
        </w:rPr>
      </w:pPr>
      <w:r w:rsidRPr="001F281C">
        <w:rPr>
          <w:rFonts w:ascii="Times New Roman" w:hAnsi="Times New Roman" w:cs="Times New Roman"/>
          <w:strike/>
          <w:szCs w:val="24"/>
        </w:rPr>
        <w:t>(1)</w:t>
      </w:r>
      <w:r w:rsidRPr="001F281C">
        <w:rPr>
          <w:rFonts w:ascii="Times New Roman" w:hAnsi="Times New Roman" w:cs="Times New Roman"/>
          <w:strike/>
          <w:szCs w:val="24"/>
        </w:rPr>
        <w:tab/>
        <w:t>The SPM will operate on an annual calendar year basis.</w:t>
      </w:r>
    </w:p>
    <w:p w:rsidR="001F281C" w:rsidRPr="007F6FE9" w:rsidRDefault="001F281C" w:rsidP="007F6FE9">
      <w:pPr>
        <w:pStyle w:val="ListParagraph"/>
        <w:spacing w:line="240" w:lineRule="auto"/>
        <w:ind w:left="1440" w:hanging="720"/>
        <w:jc w:val="both"/>
        <w:rPr>
          <w:rFonts w:ascii="Times New Roman" w:hAnsi="Times New Roman" w:cs="Times New Roman"/>
          <w:strike/>
          <w:szCs w:val="24"/>
        </w:rPr>
      </w:pPr>
      <w:r w:rsidRPr="007F6FE9">
        <w:rPr>
          <w:rFonts w:ascii="Times New Roman" w:hAnsi="Times New Roman" w:cs="Times New Roman"/>
          <w:strike/>
          <w:szCs w:val="24"/>
        </w:rPr>
        <w:t>(</w:t>
      </w:r>
      <w:r w:rsidR="007F6FE9" w:rsidRPr="007F6FE9">
        <w:rPr>
          <w:rFonts w:ascii="Times New Roman" w:hAnsi="Times New Roman" w:cs="Times New Roman"/>
          <w:strike/>
          <w:szCs w:val="24"/>
        </w:rPr>
        <w:t>2</w:t>
      </w:r>
      <w:r w:rsidRPr="007F6FE9">
        <w:rPr>
          <w:rFonts w:ascii="Times New Roman" w:hAnsi="Times New Roman" w:cs="Times New Roman"/>
          <w:strike/>
          <w:szCs w:val="24"/>
        </w:rPr>
        <w:t>)</w:t>
      </w:r>
      <w:r w:rsidRPr="007F6FE9">
        <w:rPr>
          <w:rFonts w:ascii="Times New Roman" w:hAnsi="Times New Roman" w:cs="Times New Roman"/>
          <w:strike/>
          <w:szCs w:val="24"/>
        </w:rPr>
        <w:tab/>
        <w:t>For each day, the peaking operating cost (POC) will be 10 times the natural gas price index value determined by ERCOT.  The POC is calculated in dollars per megawatt-hour (MWh).</w:t>
      </w:r>
    </w:p>
    <w:p w:rsidR="001F281C" w:rsidRPr="007F6FE9" w:rsidRDefault="001F281C" w:rsidP="007F6FE9">
      <w:pPr>
        <w:pStyle w:val="ListParagraph"/>
        <w:spacing w:line="240" w:lineRule="auto"/>
        <w:ind w:left="1440" w:hanging="720"/>
        <w:jc w:val="both"/>
        <w:rPr>
          <w:rFonts w:ascii="Times New Roman" w:hAnsi="Times New Roman" w:cs="Times New Roman"/>
          <w:strike/>
          <w:szCs w:val="24"/>
        </w:rPr>
      </w:pPr>
      <w:r w:rsidRPr="007F6FE9">
        <w:rPr>
          <w:rFonts w:ascii="Times New Roman" w:hAnsi="Times New Roman" w:cs="Times New Roman"/>
          <w:strike/>
          <w:szCs w:val="24"/>
        </w:rPr>
        <w:t>(3)</w:t>
      </w:r>
      <w:r w:rsidRPr="007F6FE9">
        <w:rPr>
          <w:rFonts w:ascii="Times New Roman" w:hAnsi="Times New Roman" w:cs="Times New Roman"/>
          <w:strike/>
          <w:szCs w:val="24"/>
        </w:rPr>
        <w:tab/>
        <w:t>For the purpose of this section, the real-time energy price (RTEP) shall be measured as an average system-wide price as determined by ERCOT.</w:t>
      </w:r>
    </w:p>
    <w:p w:rsidR="001F281C" w:rsidRPr="001E0114" w:rsidRDefault="001F281C" w:rsidP="007F6FE9">
      <w:pPr>
        <w:pStyle w:val="ListParagraph"/>
        <w:spacing w:line="240" w:lineRule="auto"/>
        <w:ind w:left="1440" w:hanging="720"/>
        <w:jc w:val="both"/>
        <w:rPr>
          <w:rFonts w:ascii="Times New Roman" w:hAnsi="Times New Roman" w:cs="Times New Roman"/>
          <w:strike/>
          <w:szCs w:val="24"/>
        </w:rPr>
      </w:pPr>
      <w:r w:rsidRPr="001E0114">
        <w:rPr>
          <w:rFonts w:ascii="Times New Roman" w:hAnsi="Times New Roman" w:cs="Times New Roman"/>
          <w:strike/>
          <w:szCs w:val="24"/>
        </w:rPr>
        <w:t>(4)</w:t>
      </w:r>
      <w:r w:rsidRPr="001E0114">
        <w:rPr>
          <w:rFonts w:ascii="Times New Roman" w:hAnsi="Times New Roman" w:cs="Times New Roman"/>
          <w:strike/>
          <w:szCs w:val="24"/>
        </w:rPr>
        <w:tab/>
        <w:t xml:space="preserve">In the annual resource adequacy cycle, the peaker net margin will be calculated as: </w:t>
      </w:r>
      <w:proofErr w:type="gramStart"/>
      <w:r w:rsidRPr="001E0114">
        <w:rPr>
          <w:rFonts w:ascii="Times New Roman" w:hAnsi="Times New Roman" w:cs="Times New Roman"/>
          <w:strike/>
          <w:szCs w:val="24"/>
        </w:rPr>
        <w:t>∑(</w:t>
      </w:r>
      <w:proofErr w:type="gramEnd"/>
      <w:r w:rsidRPr="001E0114">
        <w:rPr>
          <w:rFonts w:ascii="Times New Roman" w:hAnsi="Times New Roman" w:cs="Times New Roman"/>
          <w:strike/>
          <w:szCs w:val="24"/>
        </w:rPr>
        <w:t>(RTEP – POC) * (number of minutes in a settlement interval / 60 minutes per hour)) for each settlement interval when RTEP – POC &gt;0.</w:t>
      </w:r>
    </w:p>
    <w:p w:rsidR="007F6FE9" w:rsidRPr="008B7BA2" w:rsidRDefault="001F281C" w:rsidP="008B7BA2">
      <w:pPr>
        <w:pStyle w:val="ListParagraph"/>
        <w:spacing w:line="240" w:lineRule="auto"/>
        <w:ind w:left="1440" w:hanging="720"/>
        <w:jc w:val="both"/>
        <w:rPr>
          <w:rFonts w:ascii="Times New Roman" w:hAnsi="Times New Roman" w:cs="Times New Roman"/>
          <w:strike/>
          <w:szCs w:val="24"/>
        </w:rPr>
      </w:pPr>
      <w:r w:rsidRPr="008B7BA2">
        <w:rPr>
          <w:rFonts w:ascii="Times New Roman" w:hAnsi="Times New Roman" w:cs="Times New Roman"/>
          <w:strike/>
          <w:szCs w:val="24"/>
        </w:rPr>
        <w:t>(5)</w:t>
      </w:r>
      <w:r w:rsidRPr="008B7BA2">
        <w:rPr>
          <w:rFonts w:ascii="Times New Roman" w:hAnsi="Times New Roman" w:cs="Times New Roman"/>
          <w:strike/>
          <w:szCs w:val="24"/>
        </w:rPr>
        <w:tab/>
        <w:t>Each day, ERCOT will post at a publicly accessible location on its website the updated value of the peaker net margin, in dollars per megawatt (MW)</w:t>
      </w:r>
      <w:r w:rsidR="008B7BA2" w:rsidRPr="008B7BA2">
        <w:rPr>
          <w:rFonts w:ascii="Times New Roman" w:hAnsi="Times New Roman" w:cs="Times New Roman"/>
          <w:strike/>
          <w:szCs w:val="24"/>
        </w:rPr>
        <w:t>.</w:t>
      </w:r>
    </w:p>
    <w:p w:rsidR="001F281C" w:rsidRPr="00B86DAB" w:rsidRDefault="001F281C" w:rsidP="001E0114">
      <w:pPr>
        <w:pStyle w:val="ListParagraph"/>
        <w:spacing w:line="240" w:lineRule="auto"/>
        <w:ind w:left="1440" w:hanging="720"/>
        <w:jc w:val="both"/>
        <w:rPr>
          <w:rFonts w:ascii="Times New Roman" w:hAnsi="Times New Roman" w:cs="Times New Roman"/>
          <w:strike/>
          <w:szCs w:val="24"/>
        </w:rPr>
      </w:pPr>
      <w:r w:rsidRPr="003C2E95">
        <w:rPr>
          <w:rFonts w:ascii="Times New Roman" w:hAnsi="Times New Roman" w:cs="Times New Roman"/>
          <w:szCs w:val="24"/>
        </w:rPr>
        <w:t>(</w:t>
      </w:r>
      <w:r w:rsidRPr="001E0114">
        <w:rPr>
          <w:rFonts w:ascii="Times New Roman" w:hAnsi="Times New Roman" w:cs="Times New Roman"/>
          <w:strike/>
          <w:szCs w:val="24"/>
        </w:rPr>
        <w:t>6</w:t>
      </w:r>
      <w:r w:rsidR="008B7BA2">
        <w:rPr>
          <w:rFonts w:ascii="Times New Roman" w:hAnsi="Times New Roman" w:cs="Times New Roman"/>
          <w:szCs w:val="24"/>
          <w:u w:val="single"/>
        </w:rPr>
        <w:t>1</w:t>
      </w:r>
      <w:r w:rsidRPr="003C2E95">
        <w:rPr>
          <w:rFonts w:ascii="Times New Roman" w:hAnsi="Times New Roman" w:cs="Times New Roman"/>
          <w:szCs w:val="24"/>
        </w:rPr>
        <w:t>)</w:t>
      </w:r>
      <w:r w:rsidRPr="003C2E95">
        <w:rPr>
          <w:rFonts w:ascii="Times New Roman" w:hAnsi="Times New Roman" w:cs="Times New Roman"/>
          <w:szCs w:val="24"/>
        </w:rPr>
        <w:tab/>
        <w:t xml:space="preserve">The system-wide offer </w:t>
      </w:r>
      <w:r w:rsidRPr="001F281C">
        <w:rPr>
          <w:rFonts w:ascii="Times New Roman" w:hAnsi="Times New Roman" w:cs="Times New Roman"/>
          <w:strike/>
          <w:szCs w:val="24"/>
        </w:rPr>
        <w:t>caps</w:t>
      </w:r>
      <w:r w:rsidRPr="003C2E95">
        <w:rPr>
          <w:rFonts w:ascii="Times New Roman" w:hAnsi="Times New Roman" w:cs="Times New Roman"/>
          <w:szCs w:val="24"/>
        </w:rPr>
        <w:t xml:space="preserve"> </w:t>
      </w:r>
      <w:r>
        <w:rPr>
          <w:rFonts w:ascii="Times New Roman" w:hAnsi="Times New Roman" w:cs="Times New Roman"/>
          <w:szCs w:val="24"/>
          <w:u w:val="single"/>
        </w:rPr>
        <w:t>cap</w:t>
      </w:r>
      <w:r w:rsidRPr="001F281C">
        <w:rPr>
          <w:rFonts w:ascii="Times New Roman" w:hAnsi="Times New Roman" w:cs="Times New Roman"/>
          <w:szCs w:val="24"/>
          <w:u w:val="single"/>
        </w:rPr>
        <w:t xml:space="preserve"> </w:t>
      </w:r>
      <w:r w:rsidRPr="003C2E95">
        <w:rPr>
          <w:rFonts w:ascii="Times New Roman" w:hAnsi="Times New Roman" w:cs="Times New Roman"/>
          <w:szCs w:val="24"/>
        </w:rPr>
        <w:t>will be</w:t>
      </w:r>
      <w:r w:rsidRPr="00B86DAB">
        <w:rPr>
          <w:rFonts w:ascii="Times New Roman" w:hAnsi="Times New Roman" w:cs="Times New Roman"/>
          <w:strike/>
          <w:szCs w:val="24"/>
        </w:rPr>
        <w:t xml:space="preserve"> as follows:</w:t>
      </w:r>
    </w:p>
    <w:p w:rsidR="001F281C" w:rsidRPr="00B86DAB" w:rsidRDefault="001F281C" w:rsidP="001F281C">
      <w:pPr>
        <w:pStyle w:val="ListParagraph"/>
        <w:spacing w:line="240" w:lineRule="auto"/>
        <w:ind w:left="1440"/>
        <w:jc w:val="both"/>
        <w:rPr>
          <w:rFonts w:ascii="Times New Roman" w:hAnsi="Times New Roman" w:cs="Times New Roman"/>
          <w:strike/>
          <w:szCs w:val="24"/>
        </w:rPr>
      </w:pPr>
      <w:r w:rsidRPr="00B86DAB">
        <w:rPr>
          <w:rFonts w:ascii="Times New Roman" w:hAnsi="Times New Roman" w:cs="Times New Roman"/>
          <w:strike/>
          <w:szCs w:val="24"/>
        </w:rPr>
        <w:t>(A)</w:t>
      </w:r>
      <w:r w:rsidRPr="00B86DAB">
        <w:rPr>
          <w:rFonts w:ascii="Times New Roman" w:hAnsi="Times New Roman" w:cs="Times New Roman"/>
          <w:strike/>
          <w:szCs w:val="24"/>
        </w:rPr>
        <w:tab/>
        <w:t xml:space="preserve">The low system-wide offer cap (LCAP) will be set </w:t>
      </w:r>
      <w:proofErr w:type="gramStart"/>
      <w:r w:rsidRPr="00B86DAB">
        <w:rPr>
          <w:rFonts w:ascii="Times New Roman" w:hAnsi="Times New Roman" w:cs="Times New Roman"/>
          <w:strike/>
          <w:szCs w:val="24"/>
        </w:rPr>
        <w:t>on a daily basis</w:t>
      </w:r>
      <w:proofErr w:type="gramEnd"/>
      <w:r w:rsidRPr="00B86DAB">
        <w:rPr>
          <w:rFonts w:ascii="Times New Roman" w:hAnsi="Times New Roman" w:cs="Times New Roman"/>
          <w:strike/>
          <w:szCs w:val="24"/>
        </w:rPr>
        <w:t xml:space="preserve"> at the greater of:</w:t>
      </w:r>
    </w:p>
    <w:p w:rsidR="001F281C" w:rsidRPr="00B86DAB" w:rsidRDefault="001F281C" w:rsidP="001F281C">
      <w:pPr>
        <w:pStyle w:val="ListParagraph"/>
        <w:spacing w:line="240" w:lineRule="auto"/>
        <w:ind w:left="2160"/>
        <w:jc w:val="both"/>
        <w:rPr>
          <w:rFonts w:ascii="Times New Roman" w:hAnsi="Times New Roman" w:cs="Times New Roman"/>
          <w:strike/>
          <w:szCs w:val="24"/>
        </w:rPr>
      </w:pPr>
      <w:r w:rsidRPr="00B86DAB">
        <w:rPr>
          <w:rFonts w:ascii="Times New Roman" w:hAnsi="Times New Roman" w:cs="Times New Roman"/>
          <w:strike/>
          <w:szCs w:val="24"/>
        </w:rPr>
        <w:t>(</w:t>
      </w:r>
      <w:proofErr w:type="spellStart"/>
      <w:r w:rsidRPr="00B86DAB">
        <w:rPr>
          <w:rFonts w:ascii="Times New Roman" w:hAnsi="Times New Roman" w:cs="Times New Roman"/>
          <w:strike/>
          <w:szCs w:val="24"/>
        </w:rPr>
        <w:t>i</w:t>
      </w:r>
      <w:proofErr w:type="spellEnd"/>
      <w:r w:rsidRPr="00B86DAB">
        <w:rPr>
          <w:rFonts w:ascii="Times New Roman" w:hAnsi="Times New Roman" w:cs="Times New Roman"/>
          <w:strike/>
          <w:szCs w:val="24"/>
        </w:rPr>
        <w:t>)</w:t>
      </w:r>
      <w:r w:rsidRPr="00B86DAB">
        <w:rPr>
          <w:rFonts w:ascii="Times New Roman" w:hAnsi="Times New Roman" w:cs="Times New Roman"/>
          <w:strike/>
          <w:szCs w:val="24"/>
        </w:rPr>
        <w:tab/>
        <w:t>$2,000 per MWh and $2,000 per MW per hour; or</w:t>
      </w:r>
    </w:p>
    <w:p w:rsidR="001F281C" w:rsidRPr="00B86DAB" w:rsidRDefault="001F281C" w:rsidP="001F281C">
      <w:pPr>
        <w:pStyle w:val="ListParagraph"/>
        <w:spacing w:line="240" w:lineRule="auto"/>
        <w:ind w:left="2160"/>
        <w:jc w:val="both"/>
        <w:rPr>
          <w:rFonts w:ascii="Times New Roman" w:hAnsi="Times New Roman" w:cs="Times New Roman"/>
          <w:strike/>
          <w:szCs w:val="24"/>
        </w:rPr>
      </w:pPr>
      <w:r w:rsidRPr="00B86DAB">
        <w:rPr>
          <w:rFonts w:ascii="Times New Roman" w:hAnsi="Times New Roman" w:cs="Times New Roman"/>
          <w:strike/>
          <w:szCs w:val="24"/>
        </w:rPr>
        <w:t>(ii)</w:t>
      </w:r>
      <w:r w:rsidRPr="00B86DAB">
        <w:rPr>
          <w:rFonts w:ascii="Times New Roman" w:hAnsi="Times New Roman" w:cs="Times New Roman"/>
          <w:strike/>
          <w:szCs w:val="24"/>
        </w:rPr>
        <w:tab/>
        <w:t>50 times the natural gas price index value determined by ERCOT, expressed in dollars per MWh and dollars per MW per hour.</w:t>
      </w:r>
    </w:p>
    <w:p w:rsidR="001F281C" w:rsidRPr="003C2E95" w:rsidRDefault="001F281C" w:rsidP="001E0114">
      <w:pPr>
        <w:pStyle w:val="ListParagraph"/>
        <w:spacing w:line="240" w:lineRule="auto"/>
        <w:ind w:left="2160" w:hanging="720"/>
        <w:jc w:val="both"/>
        <w:rPr>
          <w:rFonts w:ascii="Times New Roman" w:hAnsi="Times New Roman" w:cs="Times New Roman"/>
          <w:szCs w:val="24"/>
        </w:rPr>
      </w:pPr>
      <w:r w:rsidRPr="00B86DAB">
        <w:rPr>
          <w:rFonts w:ascii="Times New Roman" w:hAnsi="Times New Roman" w:cs="Times New Roman"/>
          <w:strike/>
          <w:szCs w:val="24"/>
        </w:rPr>
        <w:t>(B)</w:t>
      </w:r>
      <w:r w:rsidRPr="00B86DAB">
        <w:rPr>
          <w:rFonts w:ascii="Times New Roman" w:hAnsi="Times New Roman" w:cs="Times New Roman"/>
          <w:strike/>
          <w:szCs w:val="24"/>
        </w:rPr>
        <w:tab/>
        <w:t>The high system-wide offer cap (HCAP)</w:t>
      </w:r>
      <w:r w:rsidRPr="003C2E95">
        <w:rPr>
          <w:rFonts w:ascii="Times New Roman" w:hAnsi="Times New Roman" w:cs="Times New Roman"/>
          <w:szCs w:val="24"/>
        </w:rPr>
        <w:t xml:space="preserve"> </w:t>
      </w:r>
      <w:r w:rsidRPr="00B86DAB">
        <w:rPr>
          <w:rFonts w:ascii="Times New Roman" w:hAnsi="Times New Roman" w:cs="Times New Roman"/>
          <w:strike/>
          <w:szCs w:val="24"/>
        </w:rPr>
        <w:t>will be</w:t>
      </w:r>
      <w:r w:rsidRPr="003C2E95">
        <w:rPr>
          <w:rFonts w:ascii="Times New Roman" w:hAnsi="Times New Roman" w:cs="Times New Roman"/>
          <w:szCs w:val="24"/>
        </w:rPr>
        <w:t xml:space="preserve"> $9,000 per MWh and $9,000 per MW per hour.</w:t>
      </w:r>
      <w:r w:rsidRPr="003C2E95">
        <w:rPr>
          <w:rStyle w:val="CommentReference"/>
          <w:rFonts w:ascii="Times New Roman" w:hAnsi="Times New Roman" w:cs="Times New Roman"/>
        </w:rPr>
        <w:t xml:space="preserve"> </w:t>
      </w:r>
    </w:p>
    <w:p w:rsidR="0063546B" w:rsidRPr="0063546B" w:rsidRDefault="0063546B" w:rsidP="00B86DAB">
      <w:pPr>
        <w:pStyle w:val="ListParagraph"/>
        <w:spacing w:line="240" w:lineRule="auto"/>
        <w:ind w:left="1440" w:hanging="720"/>
        <w:rPr>
          <w:rFonts w:ascii="Times New Roman" w:hAnsi="Times New Roman" w:cs="Times New Roman"/>
          <w:u w:val="single"/>
        </w:rPr>
      </w:pPr>
      <w:r>
        <w:rPr>
          <w:rFonts w:ascii="Times New Roman" w:hAnsi="Times New Roman" w:cs="Times New Roman"/>
          <w:u w:val="single"/>
        </w:rPr>
        <w:t>(</w:t>
      </w:r>
      <w:r w:rsidR="00B86DAB">
        <w:rPr>
          <w:rFonts w:ascii="Times New Roman" w:hAnsi="Times New Roman" w:cs="Times New Roman"/>
          <w:u w:val="single"/>
        </w:rPr>
        <w:t>2</w:t>
      </w:r>
      <w:r>
        <w:rPr>
          <w:rFonts w:ascii="Times New Roman" w:hAnsi="Times New Roman" w:cs="Times New Roman"/>
          <w:u w:val="single"/>
        </w:rPr>
        <w:t>)</w:t>
      </w:r>
      <w:r>
        <w:rPr>
          <w:rFonts w:ascii="Times New Roman" w:hAnsi="Times New Roman" w:cs="Times New Roman"/>
          <w:u w:val="single"/>
        </w:rPr>
        <w:tab/>
        <w:t>The V</w:t>
      </w:r>
      <w:r w:rsidR="00B86DAB">
        <w:rPr>
          <w:rFonts w:ascii="Times New Roman" w:hAnsi="Times New Roman" w:cs="Times New Roman"/>
          <w:u w:val="single"/>
        </w:rPr>
        <w:t xml:space="preserve">alue of Lost Load </w:t>
      </w:r>
      <w:r>
        <w:rPr>
          <w:rFonts w:ascii="Times New Roman" w:hAnsi="Times New Roman" w:cs="Times New Roman"/>
          <w:u w:val="single"/>
        </w:rPr>
        <w:t>will be $9,000 per MWh and $9,000 per MW per hour.</w:t>
      </w:r>
    </w:p>
    <w:p w:rsidR="001F281C" w:rsidRPr="0063546B" w:rsidRDefault="001F281C" w:rsidP="001F281C">
      <w:pPr>
        <w:pStyle w:val="ListParagraph"/>
        <w:spacing w:line="240" w:lineRule="auto"/>
        <w:ind w:left="1440"/>
        <w:rPr>
          <w:rFonts w:ascii="Times New Roman" w:hAnsi="Times New Roman" w:cs="Times New Roman"/>
          <w:strike/>
        </w:rPr>
      </w:pPr>
      <w:r w:rsidRPr="0063546B">
        <w:rPr>
          <w:rFonts w:ascii="Times New Roman" w:hAnsi="Times New Roman" w:cs="Times New Roman"/>
          <w:strike/>
        </w:rPr>
        <w:t>(C)</w:t>
      </w:r>
      <w:r w:rsidRPr="0063546B">
        <w:rPr>
          <w:rFonts w:ascii="Times New Roman" w:hAnsi="Times New Roman" w:cs="Times New Roman"/>
          <w:strike/>
        </w:rPr>
        <w:tab/>
        <w:t xml:space="preserve">The system-wide offer cap will be set equal to the HCAP at the beginning of each calendar year and maintained at this level </w:t>
      </w:r>
      <w:proofErr w:type="gramStart"/>
      <w:r w:rsidRPr="0063546B">
        <w:rPr>
          <w:rFonts w:ascii="Times New Roman" w:hAnsi="Times New Roman" w:cs="Times New Roman"/>
          <w:strike/>
        </w:rPr>
        <w:t>as long as</w:t>
      </w:r>
      <w:proofErr w:type="gramEnd"/>
      <w:r w:rsidRPr="0063546B">
        <w:rPr>
          <w:rFonts w:ascii="Times New Roman" w:hAnsi="Times New Roman" w:cs="Times New Roman"/>
          <w:strike/>
        </w:rPr>
        <w:t xml:space="preserve"> the peaker net margin during a calendar year does not exceed a threshold of three times the cost of new entry of new generation plants. </w:t>
      </w:r>
    </w:p>
    <w:p w:rsidR="001F281C" w:rsidRPr="0063546B" w:rsidRDefault="001F281C" w:rsidP="001F281C">
      <w:pPr>
        <w:pStyle w:val="ListParagraph"/>
        <w:spacing w:line="240" w:lineRule="auto"/>
        <w:ind w:left="1440"/>
        <w:jc w:val="both"/>
        <w:rPr>
          <w:rFonts w:ascii="Times New Roman" w:hAnsi="Times New Roman" w:cs="Times New Roman"/>
          <w:strike/>
          <w:szCs w:val="24"/>
        </w:rPr>
      </w:pPr>
      <w:r w:rsidRPr="0063546B">
        <w:rPr>
          <w:rFonts w:ascii="Times New Roman" w:hAnsi="Times New Roman" w:cs="Times New Roman"/>
          <w:strike/>
          <w:szCs w:val="24"/>
        </w:rPr>
        <w:t>(D)</w:t>
      </w:r>
      <w:r w:rsidRPr="0063546B">
        <w:rPr>
          <w:rFonts w:ascii="Times New Roman" w:hAnsi="Times New Roman" w:cs="Times New Roman"/>
          <w:strike/>
          <w:szCs w:val="24"/>
        </w:rPr>
        <w:tab/>
        <w:t xml:space="preserve">If the peaker net margin exceeds the threshold established in subparagraph (C) of this paragraph during a calendar year, the </w:t>
      </w:r>
      <w:r w:rsidRPr="0063546B">
        <w:rPr>
          <w:rFonts w:ascii="Times New Roman" w:hAnsi="Times New Roman" w:cs="Times New Roman"/>
          <w:strike/>
        </w:rPr>
        <w:t xml:space="preserve">system-wide offer cap </w:t>
      </w:r>
      <w:r w:rsidRPr="0063546B">
        <w:rPr>
          <w:rFonts w:ascii="Times New Roman" w:hAnsi="Times New Roman" w:cs="Times New Roman"/>
          <w:strike/>
          <w:szCs w:val="24"/>
        </w:rPr>
        <w:t>will be set to the LCAP for the remainder of that calendar year.  In this event, ERCOT will not apply any administrative pricing mechanism, such as the operating reserve demand curve or the reliability deployment price adder, for the remainder of that calendar year.  Energy prices will not exceed the LCAP for the remainder of that calendar year.</w:t>
      </w:r>
    </w:p>
    <w:p w:rsidR="001F281C" w:rsidRPr="003C2E95" w:rsidRDefault="001F281C" w:rsidP="001E0114">
      <w:pPr>
        <w:pStyle w:val="ListParagraph"/>
        <w:spacing w:line="240" w:lineRule="auto"/>
        <w:ind w:left="1440" w:hanging="720"/>
        <w:jc w:val="both"/>
        <w:rPr>
          <w:rFonts w:ascii="Times New Roman" w:hAnsi="Times New Roman" w:cs="Times New Roman"/>
          <w:szCs w:val="24"/>
        </w:rPr>
      </w:pPr>
      <w:r w:rsidRPr="003C2E95">
        <w:rPr>
          <w:rFonts w:ascii="Times New Roman" w:hAnsi="Times New Roman" w:cs="Times New Roman"/>
          <w:szCs w:val="24"/>
        </w:rPr>
        <w:t>(</w:t>
      </w:r>
      <w:r w:rsidRPr="00B02594">
        <w:rPr>
          <w:rFonts w:ascii="Times New Roman" w:hAnsi="Times New Roman" w:cs="Times New Roman"/>
          <w:strike/>
          <w:szCs w:val="24"/>
        </w:rPr>
        <w:t>E</w:t>
      </w:r>
      <w:r w:rsidR="00B86DAB">
        <w:rPr>
          <w:rFonts w:ascii="Times New Roman" w:hAnsi="Times New Roman" w:cs="Times New Roman"/>
          <w:szCs w:val="24"/>
          <w:u w:val="single"/>
        </w:rPr>
        <w:t>3</w:t>
      </w:r>
      <w:r w:rsidRPr="003C2E95">
        <w:rPr>
          <w:rFonts w:ascii="Times New Roman" w:hAnsi="Times New Roman" w:cs="Times New Roman"/>
          <w:szCs w:val="24"/>
        </w:rPr>
        <w:t>)</w:t>
      </w:r>
      <w:r w:rsidRPr="003C2E95">
        <w:rPr>
          <w:rFonts w:ascii="Times New Roman" w:hAnsi="Times New Roman" w:cs="Times New Roman"/>
          <w:szCs w:val="24"/>
        </w:rPr>
        <w:tab/>
        <w:t xml:space="preserve">The Independent Market Monitor, as part of its responsibilities under Public Utility Regulatory Act §39.1515(h), may conduct an annual review of the effectiveness of the </w:t>
      </w:r>
      <w:r w:rsidRPr="003C2E95">
        <w:rPr>
          <w:rFonts w:ascii="Times New Roman" w:hAnsi="Times New Roman" w:cs="Times New Roman"/>
          <w:strike/>
          <w:szCs w:val="24"/>
        </w:rPr>
        <w:t>SPM</w:t>
      </w:r>
      <w:r>
        <w:rPr>
          <w:rFonts w:ascii="Times New Roman" w:hAnsi="Times New Roman" w:cs="Times New Roman"/>
          <w:szCs w:val="24"/>
        </w:rPr>
        <w:t xml:space="preserve"> </w:t>
      </w:r>
      <w:r w:rsidR="002F3473">
        <w:rPr>
          <w:rFonts w:ascii="Times New Roman" w:hAnsi="Times New Roman" w:cs="Times New Roman"/>
          <w:szCs w:val="24"/>
          <w:u w:val="single"/>
        </w:rPr>
        <w:t xml:space="preserve">scarcity pricing parameters </w:t>
      </w:r>
      <w:r>
        <w:rPr>
          <w:rFonts w:ascii="Times New Roman" w:hAnsi="Times New Roman" w:cs="Times New Roman"/>
          <w:szCs w:val="24"/>
          <w:u w:val="single"/>
        </w:rPr>
        <w:t>at incentivizing an appropriate level of resource adequacy</w:t>
      </w:r>
      <w:r w:rsidRPr="003C2E95">
        <w:rPr>
          <w:rFonts w:ascii="Times New Roman" w:hAnsi="Times New Roman" w:cs="Times New Roman"/>
          <w:szCs w:val="24"/>
        </w:rPr>
        <w:t xml:space="preserve">. </w:t>
      </w:r>
    </w:p>
    <w:p w:rsidR="001F281C" w:rsidRDefault="001F281C" w:rsidP="001F281C">
      <w:pPr>
        <w:spacing w:line="360" w:lineRule="auto"/>
        <w:ind w:firstLine="720"/>
        <w:jc w:val="both"/>
        <w:rPr>
          <w:rFonts w:ascii="Times New Roman" w:hAnsi="Times New Roman" w:cs="Times New Roman"/>
          <w:sz w:val="24"/>
          <w:szCs w:val="24"/>
        </w:rPr>
      </w:pPr>
    </w:p>
    <w:p w:rsidR="00CB16B5" w:rsidRDefault="0002294B" w:rsidP="0002294B">
      <w:pPr>
        <w:pStyle w:val="annettes"/>
        <w:ind w:firstLine="720"/>
        <w:jc w:val="center"/>
        <w:rPr>
          <w:rFonts w:cs="Times New Roman"/>
          <w:b/>
          <w:szCs w:val="24"/>
        </w:rPr>
      </w:pPr>
      <w:r w:rsidRPr="0002294B">
        <w:rPr>
          <w:rFonts w:cs="Times New Roman"/>
          <w:b/>
          <w:szCs w:val="24"/>
        </w:rPr>
        <w:t>II. Comments and Proposed Changes to Rule</w:t>
      </w:r>
    </w:p>
    <w:p w:rsidR="008317A7" w:rsidRDefault="00523645" w:rsidP="0052364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If the Commission decides to retain the LCAP mechanism, then TCPA offers several alternative recommendations </w:t>
      </w:r>
      <w:r w:rsidR="001A76B9">
        <w:rPr>
          <w:rFonts w:ascii="Times New Roman" w:hAnsi="Times New Roman" w:cs="Times New Roman"/>
          <w:sz w:val="24"/>
          <w:szCs w:val="24"/>
        </w:rPr>
        <w:t xml:space="preserve">in Section </w:t>
      </w:r>
      <w:r w:rsidR="00D27F52">
        <w:rPr>
          <w:rFonts w:ascii="Times New Roman" w:hAnsi="Times New Roman" w:cs="Times New Roman"/>
          <w:sz w:val="24"/>
          <w:szCs w:val="24"/>
        </w:rPr>
        <w:t>II.</w:t>
      </w:r>
      <w:r w:rsidR="001A76B9">
        <w:rPr>
          <w:rFonts w:ascii="Times New Roman" w:hAnsi="Times New Roman" w:cs="Times New Roman"/>
          <w:sz w:val="24"/>
          <w:szCs w:val="24"/>
        </w:rPr>
        <w:t xml:space="preserve">A </w:t>
      </w:r>
      <w:r>
        <w:rPr>
          <w:rFonts w:ascii="Times New Roman" w:hAnsi="Times New Roman" w:cs="Times New Roman"/>
          <w:sz w:val="24"/>
          <w:szCs w:val="24"/>
        </w:rPr>
        <w:t>below</w:t>
      </w:r>
      <w:r w:rsidR="00D27F52">
        <w:rPr>
          <w:rFonts w:ascii="Times New Roman" w:hAnsi="Times New Roman" w:cs="Times New Roman"/>
          <w:sz w:val="24"/>
          <w:szCs w:val="24"/>
        </w:rPr>
        <w:t xml:space="preserve"> (which is numbered subsection (g) by TCPA </w:t>
      </w:r>
      <w:r w:rsidR="00D27F52">
        <w:rPr>
          <w:rFonts w:ascii="Times New Roman" w:hAnsi="Times New Roman" w:cs="Times New Roman"/>
          <w:sz w:val="24"/>
          <w:szCs w:val="24"/>
        </w:rPr>
        <w:lastRenderedPageBreak/>
        <w:t>and subsection (f) in the proposed rule)</w:t>
      </w:r>
      <w:r w:rsidR="008317A7">
        <w:rPr>
          <w:rFonts w:ascii="Times New Roman" w:hAnsi="Times New Roman" w:cs="Times New Roman"/>
          <w:sz w:val="24"/>
          <w:szCs w:val="24"/>
        </w:rPr>
        <w:t>.</w:t>
      </w:r>
      <w:r w:rsidR="001A76B9">
        <w:rPr>
          <w:rFonts w:ascii="Times New Roman" w:hAnsi="Times New Roman" w:cs="Times New Roman"/>
          <w:sz w:val="24"/>
          <w:szCs w:val="24"/>
        </w:rPr>
        <w:t xml:space="preserve"> Sections </w:t>
      </w:r>
      <w:r w:rsidR="00D27F52">
        <w:rPr>
          <w:rFonts w:ascii="Times New Roman" w:hAnsi="Times New Roman" w:cs="Times New Roman"/>
          <w:sz w:val="24"/>
          <w:szCs w:val="24"/>
        </w:rPr>
        <w:t>II.</w:t>
      </w:r>
      <w:r w:rsidR="001A76B9">
        <w:rPr>
          <w:rFonts w:ascii="Times New Roman" w:hAnsi="Times New Roman" w:cs="Times New Roman"/>
          <w:sz w:val="24"/>
          <w:szCs w:val="24"/>
        </w:rPr>
        <w:t xml:space="preserve">B and </w:t>
      </w:r>
      <w:r w:rsidR="00D27F52">
        <w:rPr>
          <w:rFonts w:ascii="Times New Roman" w:hAnsi="Times New Roman" w:cs="Times New Roman"/>
          <w:sz w:val="24"/>
          <w:szCs w:val="24"/>
        </w:rPr>
        <w:t>II.</w:t>
      </w:r>
      <w:r w:rsidR="001A76B9">
        <w:rPr>
          <w:rFonts w:ascii="Times New Roman" w:hAnsi="Times New Roman" w:cs="Times New Roman"/>
          <w:sz w:val="24"/>
          <w:szCs w:val="24"/>
        </w:rPr>
        <w:t>C</w:t>
      </w:r>
      <w:r w:rsidR="00D27F52">
        <w:rPr>
          <w:rFonts w:ascii="Times New Roman" w:hAnsi="Times New Roman" w:cs="Times New Roman"/>
          <w:sz w:val="24"/>
          <w:szCs w:val="24"/>
        </w:rPr>
        <w:t>, respectively</w:t>
      </w:r>
      <w:r w:rsidR="001A76B9">
        <w:rPr>
          <w:rFonts w:ascii="Times New Roman" w:hAnsi="Times New Roman" w:cs="Times New Roman"/>
          <w:sz w:val="24"/>
          <w:szCs w:val="24"/>
        </w:rPr>
        <w:t xml:space="preserve"> regarding </w:t>
      </w:r>
      <w:r w:rsidR="00D27F52">
        <w:rPr>
          <w:rFonts w:ascii="Times New Roman" w:hAnsi="Times New Roman" w:cs="Times New Roman"/>
          <w:sz w:val="24"/>
          <w:szCs w:val="24"/>
        </w:rPr>
        <w:t xml:space="preserve">stylistic changes </w:t>
      </w:r>
      <w:r w:rsidR="001A76B9">
        <w:rPr>
          <w:rFonts w:ascii="Times New Roman" w:hAnsi="Times New Roman" w:cs="Times New Roman"/>
          <w:sz w:val="24"/>
          <w:szCs w:val="24"/>
        </w:rPr>
        <w:t>and the retention of the data reporting requirements in current subsection (f) of the rule</w:t>
      </w:r>
      <w:r w:rsidR="00D27F52">
        <w:rPr>
          <w:rFonts w:ascii="Times New Roman" w:hAnsi="Times New Roman" w:cs="Times New Roman"/>
          <w:sz w:val="24"/>
          <w:szCs w:val="24"/>
        </w:rPr>
        <w:t>,</w:t>
      </w:r>
      <w:r w:rsidR="001A76B9">
        <w:rPr>
          <w:rFonts w:ascii="Times New Roman" w:hAnsi="Times New Roman" w:cs="Times New Roman"/>
          <w:sz w:val="24"/>
          <w:szCs w:val="24"/>
        </w:rPr>
        <w:t xml:space="preserve"> are recommendations that TCPA makes independent of the Commission’s decision regarding LCAP.</w:t>
      </w:r>
    </w:p>
    <w:p w:rsidR="00AE4425" w:rsidRPr="0073526D" w:rsidRDefault="001A76B9" w:rsidP="0073526D">
      <w:pPr>
        <w:pStyle w:val="annettes"/>
        <w:spacing w:after="240" w:line="240" w:lineRule="auto"/>
        <w:ind w:left="1440" w:hanging="720"/>
        <w:rPr>
          <w:rFonts w:cs="Times New Roman"/>
          <w:szCs w:val="24"/>
          <w:u w:val="single"/>
        </w:rPr>
      </w:pPr>
      <w:r>
        <w:rPr>
          <w:rFonts w:cs="Times New Roman"/>
          <w:szCs w:val="24"/>
        </w:rPr>
        <w:t>A</w:t>
      </w:r>
      <w:r w:rsidR="0073526D">
        <w:rPr>
          <w:rFonts w:cs="Times New Roman"/>
          <w:szCs w:val="24"/>
        </w:rPr>
        <w:t>.</w:t>
      </w:r>
      <w:r w:rsidR="0073526D">
        <w:rPr>
          <w:rFonts w:cs="Times New Roman"/>
          <w:szCs w:val="24"/>
        </w:rPr>
        <w:tab/>
      </w:r>
      <w:r w:rsidR="00935DE5" w:rsidRPr="00D75D66">
        <w:rPr>
          <w:rFonts w:cs="Times New Roman"/>
          <w:szCs w:val="24"/>
          <w:u w:val="single"/>
        </w:rPr>
        <w:t>TCPA’s alternative p</w:t>
      </w:r>
      <w:r w:rsidR="00AE4425" w:rsidRPr="00D75D66">
        <w:rPr>
          <w:rFonts w:cs="Times New Roman"/>
          <w:szCs w:val="24"/>
          <w:u w:val="single"/>
        </w:rPr>
        <w:t>roposed</w:t>
      </w:r>
      <w:r w:rsidR="00AE4425">
        <w:rPr>
          <w:rFonts w:cs="Times New Roman"/>
          <w:szCs w:val="24"/>
          <w:u w:val="single"/>
        </w:rPr>
        <w:t xml:space="preserve"> </w:t>
      </w:r>
      <w:r w:rsidR="008317A7">
        <w:rPr>
          <w:rFonts w:cs="Times New Roman"/>
          <w:szCs w:val="24"/>
          <w:u w:val="single"/>
        </w:rPr>
        <w:t>m</w:t>
      </w:r>
      <w:r w:rsidR="00AE4425">
        <w:rPr>
          <w:rFonts w:cs="Times New Roman"/>
          <w:szCs w:val="24"/>
          <w:u w:val="single"/>
        </w:rPr>
        <w:t>odifications to</w:t>
      </w:r>
      <w:r w:rsidR="008317A7">
        <w:rPr>
          <w:rFonts w:cs="Times New Roman"/>
          <w:szCs w:val="24"/>
          <w:u w:val="single"/>
        </w:rPr>
        <w:t xml:space="preserve"> existing s</w:t>
      </w:r>
      <w:r w:rsidR="006D5DC4">
        <w:rPr>
          <w:rFonts w:cs="Times New Roman"/>
          <w:szCs w:val="24"/>
          <w:u w:val="single"/>
        </w:rPr>
        <w:t>ubsection (g) (renumbered as s</w:t>
      </w:r>
      <w:r w:rsidR="00AE4425">
        <w:rPr>
          <w:rFonts w:cs="Times New Roman"/>
          <w:szCs w:val="24"/>
          <w:u w:val="single"/>
        </w:rPr>
        <w:t>ubsection (f)</w:t>
      </w:r>
      <w:r w:rsidR="006D5DC4">
        <w:rPr>
          <w:rFonts w:cs="Times New Roman"/>
          <w:szCs w:val="24"/>
          <w:u w:val="single"/>
        </w:rPr>
        <w:t xml:space="preserve"> in the proposed rule)</w:t>
      </w:r>
    </w:p>
    <w:p w:rsidR="006D5DC4" w:rsidRDefault="003F7944" w:rsidP="006D5DC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TCPA suggests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modifications to existing subsection (g) of § 25.505 (which the proposed rule has re-numbered to subsection (f))</w:t>
      </w:r>
      <w:r w:rsidR="002C73BD">
        <w:rPr>
          <w:rFonts w:ascii="Times New Roman" w:hAnsi="Times New Roman" w:cs="Times New Roman"/>
          <w:sz w:val="24"/>
          <w:szCs w:val="24"/>
        </w:rPr>
        <w:t>, should the Commission decide to retain the LCAP</w:t>
      </w:r>
      <w:r>
        <w:rPr>
          <w:rFonts w:ascii="Times New Roman" w:hAnsi="Times New Roman" w:cs="Times New Roman"/>
          <w:sz w:val="24"/>
          <w:szCs w:val="24"/>
        </w:rPr>
        <w:t>.</w:t>
      </w:r>
    </w:p>
    <w:p w:rsidR="0055292B" w:rsidRDefault="0055292B" w:rsidP="006D5DC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First, </w:t>
      </w:r>
      <w:r w:rsidR="000C4DA0">
        <w:rPr>
          <w:rFonts w:ascii="Times New Roman" w:hAnsi="Times New Roman" w:cs="Times New Roman"/>
          <w:sz w:val="24"/>
          <w:szCs w:val="24"/>
        </w:rPr>
        <w:t>if</w:t>
      </w:r>
      <w:r>
        <w:rPr>
          <w:rFonts w:ascii="Times New Roman" w:hAnsi="Times New Roman" w:cs="Times New Roman"/>
          <w:sz w:val="24"/>
          <w:szCs w:val="24"/>
        </w:rPr>
        <w:t xml:space="preserve"> the LCAP is triggered, the ORDC should remain in</w:t>
      </w:r>
      <w:r w:rsidR="008406BD">
        <w:rPr>
          <w:rFonts w:ascii="Times New Roman" w:hAnsi="Times New Roman" w:cs="Times New Roman"/>
          <w:sz w:val="24"/>
          <w:szCs w:val="24"/>
        </w:rPr>
        <w:t xml:space="preserve"> effect to continue to provide some (albeit reduced) </w:t>
      </w:r>
      <w:r>
        <w:rPr>
          <w:rFonts w:ascii="Times New Roman" w:hAnsi="Times New Roman" w:cs="Times New Roman"/>
          <w:sz w:val="24"/>
          <w:szCs w:val="24"/>
        </w:rPr>
        <w:t>scarcity pricing signals</w:t>
      </w:r>
      <w:r w:rsidR="008406BD">
        <w:rPr>
          <w:rFonts w:ascii="Times New Roman" w:hAnsi="Times New Roman" w:cs="Times New Roman"/>
          <w:sz w:val="24"/>
          <w:szCs w:val="24"/>
        </w:rPr>
        <w:t xml:space="preserve"> i</w:t>
      </w:r>
      <w:r>
        <w:rPr>
          <w:rFonts w:ascii="Times New Roman" w:hAnsi="Times New Roman" w:cs="Times New Roman"/>
          <w:sz w:val="24"/>
          <w:szCs w:val="24"/>
        </w:rPr>
        <w:t>n the event of scarcity</w:t>
      </w:r>
      <w:r w:rsidR="008406BD">
        <w:rPr>
          <w:rFonts w:ascii="Times New Roman" w:hAnsi="Times New Roman" w:cs="Times New Roman"/>
          <w:sz w:val="24"/>
          <w:szCs w:val="24"/>
        </w:rPr>
        <w:t xml:space="preserve"> during the remainder of the resource adequacy cycle</w:t>
      </w:r>
      <w:r>
        <w:rPr>
          <w:rFonts w:ascii="Times New Roman" w:hAnsi="Times New Roman" w:cs="Times New Roman"/>
          <w:sz w:val="24"/>
          <w:szCs w:val="24"/>
        </w:rPr>
        <w:t>.</w:t>
      </w:r>
      <w:r w:rsidR="00486C04">
        <w:rPr>
          <w:rFonts w:ascii="Times New Roman" w:hAnsi="Times New Roman" w:cs="Times New Roman"/>
          <w:sz w:val="24"/>
          <w:szCs w:val="24"/>
        </w:rPr>
        <w:t xml:space="preserve"> I</w:t>
      </w:r>
      <w:r>
        <w:rPr>
          <w:rFonts w:ascii="Times New Roman" w:hAnsi="Times New Roman" w:cs="Times New Roman"/>
          <w:sz w:val="24"/>
          <w:szCs w:val="24"/>
        </w:rPr>
        <w:t xml:space="preserve">f the </w:t>
      </w:r>
      <w:r w:rsidR="008406BD">
        <w:rPr>
          <w:rFonts w:ascii="Times New Roman" w:hAnsi="Times New Roman" w:cs="Times New Roman"/>
          <w:sz w:val="24"/>
          <w:szCs w:val="24"/>
        </w:rPr>
        <w:t xml:space="preserve">concern is related to the potential for divergence </w:t>
      </w:r>
      <w:r>
        <w:rPr>
          <w:rFonts w:ascii="Times New Roman" w:hAnsi="Times New Roman" w:cs="Times New Roman"/>
          <w:sz w:val="24"/>
          <w:szCs w:val="24"/>
        </w:rPr>
        <w:t xml:space="preserve">between the </w:t>
      </w:r>
      <w:r w:rsidR="008317A7">
        <w:rPr>
          <w:rFonts w:ascii="Times New Roman" w:hAnsi="Times New Roman" w:cs="Times New Roman"/>
          <w:sz w:val="24"/>
          <w:szCs w:val="24"/>
        </w:rPr>
        <w:t>Day-Ahead Market (</w:t>
      </w:r>
      <w:r>
        <w:rPr>
          <w:rFonts w:ascii="Times New Roman" w:hAnsi="Times New Roman" w:cs="Times New Roman"/>
          <w:sz w:val="24"/>
          <w:szCs w:val="24"/>
        </w:rPr>
        <w:t>DAM</w:t>
      </w:r>
      <w:r w:rsidR="008317A7">
        <w:rPr>
          <w:rFonts w:ascii="Times New Roman" w:hAnsi="Times New Roman" w:cs="Times New Roman"/>
          <w:sz w:val="24"/>
          <w:szCs w:val="24"/>
        </w:rPr>
        <w:t>)</w:t>
      </w:r>
      <w:r>
        <w:rPr>
          <w:rFonts w:ascii="Times New Roman" w:hAnsi="Times New Roman" w:cs="Times New Roman"/>
          <w:sz w:val="24"/>
          <w:szCs w:val="24"/>
        </w:rPr>
        <w:t xml:space="preserve"> and</w:t>
      </w:r>
      <w:r w:rsidR="008317A7">
        <w:rPr>
          <w:rFonts w:ascii="Times New Roman" w:hAnsi="Times New Roman" w:cs="Times New Roman"/>
          <w:sz w:val="24"/>
          <w:szCs w:val="24"/>
        </w:rPr>
        <w:t xml:space="preserve"> Real-Time Market</w:t>
      </w:r>
      <w:r>
        <w:rPr>
          <w:rFonts w:ascii="Times New Roman" w:hAnsi="Times New Roman" w:cs="Times New Roman"/>
          <w:sz w:val="24"/>
          <w:szCs w:val="24"/>
        </w:rPr>
        <w:t xml:space="preserve"> </w:t>
      </w:r>
      <w:r w:rsidR="008317A7">
        <w:rPr>
          <w:rFonts w:ascii="Times New Roman" w:hAnsi="Times New Roman" w:cs="Times New Roman"/>
          <w:sz w:val="24"/>
          <w:szCs w:val="24"/>
        </w:rPr>
        <w:t>(</w:t>
      </w:r>
      <w:r>
        <w:rPr>
          <w:rFonts w:ascii="Times New Roman" w:hAnsi="Times New Roman" w:cs="Times New Roman"/>
          <w:sz w:val="24"/>
          <w:szCs w:val="24"/>
        </w:rPr>
        <w:t>RTM</w:t>
      </w:r>
      <w:r w:rsidR="008317A7">
        <w:rPr>
          <w:rFonts w:ascii="Times New Roman" w:hAnsi="Times New Roman" w:cs="Times New Roman"/>
          <w:sz w:val="24"/>
          <w:szCs w:val="24"/>
        </w:rPr>
        <w:t>)</w:t>
      </w:r>
      <w:r w:rsidR="008406BD">
        <w:rPr>
          <w:rFonts w:ascii="Times New Roman" w:hAnsi="Times New Roman" w:cs="Times New Roman"/>
          <w:sz w:val="24"/>
          <w:szCs w:val="24"/>
        </w:rPr>
        <w:t xml:space="preserve"> if the</w:t>
      </w:r>
      <w:r w:rsidR="00CE4F4C">
        <w:rPr>
          <w:rFonts w:ascii="Times New Roman" w:hAnsi="Times New Roman" w:cs="Times New Roman"/>
          <w:sz w:val="24"/>
          <w:szCs w:val="24"/>
        </w:rPr>
        <w:t xml:space="preserve"> LCAP is triggered and the</w:t>
      </w:r>
      <w:r w:rsidR="008406BD">
        <w:rPr>
          <w:rFonts w:ascii="Times New Roman" w:hAnsi="Times New Roman" w:cs="Times New Roman"/>
          <w:sz w:val="24"/>
          <w:szCs w:val="24"/>
        </w:rPr>
        <w:t xml:space="preserve"> ORDC is retained</w:t>
      </w:r>
      <w:r>
        <w:rPr>
          <w:rFonts w:ascii="Times New Roman" w:hAnsi="Times New Roman" w:cs="Times New Roman"/>
          <w:sz w:val="24"/>
          <w:szCs w:val="24"/>
        </w:rPr>
        <w:t>,</w:t>
      </w:r>
      <w:r w:rsidR="008406BD">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then that could be a</w:t>
      </w:r>
      <w:r w:rsidR="00CE4F4C">
        <w:rPr>
          <w:rFonts w:ascii="Times New Roman" w:hAnsi="Times New Roman" w:cs="Times New Roman"/>
          <w:sz w:val="24"/>
          <w:szCs w:val="24"/>
        </w:rPr>
        <w:t>ddressed</w:t>
      </w:r>
      <w:r>
        <w:rPr>
          <w:rFonts w:ascii="Times New Roman" w:hAnsi="Times New Roman" w:cs="Times New Roman"/>
          <w:sz w:val="24"/>
          <w:szCs w:val="24"/>
        </w:rPr>
        <w:t xml:space="preserve"> by setting the VOLL equal to the </w:t>
      </w:r>
      <w:r w:rsidR="00CE4F4C">
        <w:rPr>
          <w:rFonts w:ascii="Times New Roman" w:hAnsi="Times New Roman" w:cs="Times New Roman"/>
          <w:sz w:val="24"/>
          <w:szCs w:val="24"/>
        </w:rPr>
        <w:t>LCAP</w:t>
      </w:r>
      <w:r>
        <w:rPr>
          <w:rFonts w:ascii="Times New Roman" w:hAnsi="Times New Roman" w:cs="Times New Roman"/>
          <w:sz w:val="24"/>
          <w:szCs w:val="24"/>
        </w:rPr>
        <w:t xml:space="preserve"> and does not require that the ORDC be suspended altogether.</w:t>
      </w:r>
      <w:r w:rsidR="00486C04">
        <w:rPr>
          <w:rFonts w:ascii="Times New Roman" w:hAnsi="Times New Roman" w:cs="Times New Roman"/>
          <w:sz w:val="24"/>
          <w:szCs w:val="24"/>
        </w:rPr>
        <w:t xml:space="preserve"> </w:t>
      </w:r>
      <w:r w:rsidR="00205437">
        <w:rPr>
          <w:rFonts w:ascii="Times New Roman" w:hAnsi="Times New Roman" w:cs="Times New Roman"/>
          <w:sz w:val="24"/>
          <w:szCs w:val="24"/>
        </w:rPr>
        <w:t>This is important because the ORDC is not only intended to provide longer-term scarcity signals but also short-term scarcity signals that encourage generators to quickly respond to grid demands in real-time.</w:t>
      </w:r>
    </w:p>
    <w:p w:rsidR="0055292B" w:rsidRDefault="0055292B" w:rsidP="006D5DC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Second, the RDPA </w:t>
      </w:r>
      <w:r w:rsidR="00CE4F4C">
        <w:rPr>
          <w:rFonts w:ascii="Times New Roman" w:hAnsi="Times New Roman" w:cs="Times New Roman"/>
          <w:sz w:val="24"/>
          <w:szCs w:val="24"/>
        </w:rPr>
        <w:t xml:space="preserve">also </w:t>
      </w:r>
      <w:r>
        <w:rPr>
          <w:rFonts w:ascii="Times New Roman" w:hAnsi="Times New Roman" w:cs="Times New Roman"/>
          <w:sz w:val="24"/>
          <w:szCs w:val="24"/>
        </w:rPr>
        <w:t>should continue in effe</w:t>
      </w:r>
      <w:r w:rsidR="00486C04">
        <w:rPr>
          <w:rFonts w:ascii="Times New Roman" w:hAnsi="Times New Roman" w:cs="Times New Roman"/>
          <w:sz w:val="24"/>
          <w:szCs w:val="24"/>
        </w:rPr>
        <w:t>ct if the LCAP is triggered</w:t>
      </w:r>
      <w:r>
        <w:rPr>
          <w:rFonts w:ascii="Times New Roman" w:hAnsi="Times New Roman" w:cs="Times New Roman"/>
          <w:sz w:val="24"/>
          <w:szCs w:val="24"/>
        </w:rPr>
        <w:t xml:space="preserve">. </w:t>
      </w:r>
      <w:r w:rsidR="000C4DA0">
        <w:rPr>
          <w:rFonts w:ascii="Times New Roman" w:hAnsi="Times New Roman" w:cs="Times New Roman"/>
          <w:sz w:val="24"/>
          <w:szCs w:val="24"/>
        </w:rPr>
        <w:t>Importantly, t</w:t>
      </w:r>
      <w:r>
        <w:rPr>
          <w:rFonts w:ascii="Times New Roman" w:hAnsi="Times New Roman" w:cs="Times New Roman"/>
          <w:sz w:val="24"/>
          <w:szCs w:val="24"/>
        </w:rPr>
        <w:t xml:space="preserve">he RDPA is not a scarcity pricing mechanism, so there is no reason to suspend its operation in the event of persistent scarcity conditions in a given year. Rather, the purpose of the RDPA is to </w:t>
      </w:r>
      <w:r w:rsidR="0068364D">
        <w:rPr>
          <w:rFonts w:ascii="Times New Roman" w:hAnsi="Times New Roman" w:cs="Times New Roman"/>
          <w:sz w:val="24"/>
          <w:szCs w:val="24"/>
        </w:rPr>
        <w:t>correct the price reversal or suppression associated with out</w:t>
      </w:r>
      <w:r>
        <w:rPr>
          <w:rFonts w:ascii="Times New Roman" w:hAnsi="Times New Roman" w:cs="Times New Roman"/>
          <w:sz w:val="24"/>
          <w:szCs w:val="24"/>
        </w:rPr>
        <w:t xml:space="preserve">-of-market </w:t>
      </w:r>
      <w:r w:rsidR="00EF1DAF">
        <w:rPr>
          <w:rFonts w:ascii="Times New Roman" w:hAnsi="Times New Roman" w:cs="Times New Roman"/>
          <w:sz w:val="24"/>
          <w:szCs w:val="24"/>
        </w:rPr>
        <w:t xml:space="preserve">reliability deployments </w:t>
      </w:r>
      <w:r>
        <w:rPr>
          <w:rFonts w:ascii="Times New Roman" w:hAnsi="Times New Roman" w:cs="Times New Roman"/>
          <w:sz w:val="24"/>
          <w:szCs w:val="24"/>
        </w:rPr>
        <w:t>by ERCOT</w:t>
      </w:r>
      <w:r w:rsidR="0068364D">
        <w:rPr>
          <w:rFonts w:ascii="Times New Roman" w:hAnsi="Times New Roman" w:cs="Times New Roman"/>
          <w:sz w:val="24"/>
          <w:szCs w:val="24"/>
        </w:rPr>
        <w:t>, which may or may not occur during scarcity conditions</w:t>
      </w:r>
      <w:r>
        <w:rPr>
          <w:rFonts w:ascii="Times New Roman" w:hAnsi="Times New Roman" w:cs="Times New Roman"/>
          <w:sz w:val="24"/>
          <w:szCs w:val="24"/>
        </w:rPr>
        <w:t>.</w:t>
      </w:r>
      <w:r w:rsidR="00F07BEC">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r w:rsidR="00985281">
        <w:rPr>
          <w:rFonts w:ascii="Times New Roman" w:hAnsi="Times New Roman" w:cs="Times New Roman"/>
          <w:sz w:val="24"/>
          <w:szCs w:val="24"/>
        </w:rPr>
        <w:t xml:space="preserve">It achieves this by running SCED a second time but </w:t>
      </w:r>
      <w:proofErr w:type="gramStart"/>
      <w:r w:rsidR="00985281">
        <w:rPr>
          <w:rFonts w:ascii="Times New Roman" w:hAnsi="Times New Roman" w:cs="Times New Roman"/>
          <w:sz w:val="24"/>
          <w:szCs w:val="24"/>
        </w:rPr>
        <w:t>assuming that</w:t>
      </w:r>
      <w:proofErr w:type="gramEnd"/>
      <w:r w:rsidR="00985281">
        <w:rPr>
          <w:rFonts w:ascii="Times New Roman" w:hAnsi="Times New Roman" w:cs="Times New Roman"/>
          <w:sz w:val="24"/>
          <w:szCs w:val="24"/>
        </w:rPr>
        <w:t xml:space="preserve"> any capacity committed via out-of-market activities is not available. </w:t>
      </w:r>
      <w:r w:rsidR="00985281">
        <w:rPr>
          <w:rFonts w:ascii="Times New Roman" w:hAnsi="Times New Roman" w:cs="Times New Roman"/>
          <w:sz w:val="24"/>
          <w:szCs w:val="24"/>
        </w:rPr>
        <w:lastRenderedPageBreak/>
        <w:t xml:space="preserve">While its impact is typically very small, it is an important principle to uphold in the ERCOT energy-only market that energy prices should not be suppressed by the administrative actions of the grid operator. </w:t>
      </w:r>
    </w:p>
    <w:p w:rsidR="000118D2" w:rsidRDefault="00E134F9" w:rsidP="006D5DC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Third, the Commission should strike the proposed language stating that </w:t>
      </w:r>
      <w:r w:rsidR="00172AC6">
        <w:rPr>
          <w:rFonts w:ascii="Times New Roman" w:hAnsi="Times New Roman" w:cs="Times New Roman"/>
          <w:sz w:val="24"/>
          <w:szCs w:val="24"/>
        </w:rPr>
        <w:t>“</w:t>
      </w:r>
      <w:r>
        <w:rPr>
          <w:rFonts w:ascii="Times New Roman" w:hAnsi="Times New Roman" w:cs="Times New Roman"/>
          <w:sz w:val="24"/>
          <w:szCs w:val="24"/>
        </w:rPr>
        <w:t xml:space="preserve">energy prices </w:t>
      </w:r>
      <w:r w:rsidR="00172AC6">
        <w:rPr>
          <w:rFonts w:ascii="Times New Roman" w:hAnsi="Times New Roman" w:cs="Times New Roman"/>
          <w:sz w:val="24"/>
          <w:szCs w:val="24"/>
        </w:rPr>
        <w:t xml:space="preserve">will </w:t>
      </w:r>
      <w:r>
        <w:rPr>
          <w:rFonts w:ascii="Times New Roman" w:hAnsi="Times New Roman" w:cs="Times New Roman"/>
          <w:sz w:val="24"/>
          <w:szCs w:val="24"/>
        </w:rPr>
        <w:t>not exceed the LCAP</w:t>
      </w:r>
      <w:r w:rsidR="00172AC6">
        <w:rPr>
          <w:rFonts w:ascii="Times New Roman" w:hAnsi="Times New Roman" w:cs="Times New Roman"/>
          <w:sz w:val="24"/>
          <w:szCs w:val="24"/>
        </w:rPr>
        <w:t>”</w:t>
      </w:r>
      <w:r>
        <w:rPr>
          <w:rFonts w:ascii="Times New Roman" w:hAnsi="Times New Roman" w:cs="Times New Roman"/>
          <w:sz w:val="24"/>
          <w:szCs w:val="24"/>
        </w:rPr>
        <w:t xml:space="preserve"> in the event it is triggered, because the </w:t>
      </w:r>
      <w:r w:rsidR="00172AC6">
        <w:rPr>
          <w:rFonts w:ascii="Times New Roman" w:hAnsi="Times New Roman" w:cs="Times New Roman"/>
          <w:sz w:val="24"/>
          <w:szCs w:val="24"/>
        </w:rPr>
        <w:t xml:space="preserve">interplay of </w:t>
      </w:r>
      <w:r>
        <w:rPr>
          <w:rFonts w:ascii="Times New Roman" w:hAnsi="Times New Roman" w:cs="Times New Roman"/>
          <w:sz w:val="24"/>
          <w:szCs w:val="24"/>
        </w:rPr>
        <w:t xml:space="preserve">shadow price </w:t>
      </w:r>
      <w:r w:rsidR="00172AC6">
        <w:rPr>
          <w:rFonts w:ascii="Times New Roman" w:hAnsi="Times New Roman" w:cs="Times New Roman"/>
          <w:sz w:val="24"/>
          <w:szCs w:val="24"/>
        </w:rPr>
        <w:t xml:space="preserve">caps and shift factors in congestion management </w:t>
      </w:r>
      <w:r>
        <w:rPr>
          <w:rFonts w:ascii="Times New Roman" w:hAnsi="Times New Roman" w:cs="Times New Roman"/>
          <w:sz w:val="24"/>
          <w:szCs w:val="24"/>
        </w:rPr>
        <w:t xml:space="preserve">can still result in prices </w:t>
      </w:r>
      <w:r w:rsidR="00172AC6">
        <w:rPr>
          <w:rFonts w:ascii="Times New Roman" w:hAnsi="Times New Roman" w:cs="Times New Roman"/>
          <w:sz w:val="24"/>
          <w:szCs w:val="24"/>
        </w:rPr>
        <w:t xml:space="preserve">that </w:t>
      </w:r>
      <w:r>
        <w:rPr>
          <w:rFonts w:ascii="Times New Roman" w:hAnsi="Times New Roman" w:cs="Times New Roman"/>
          <w:sz w:val="24"/>
          <w:szCs w:val="24"/>
        </w:rPr>
        <w:t>exce</w:t>
      </w:r>
      <w:r w:rsidR="00172AC6">
        <w:rPr>
          <w:rFonts w:ascii="Times New Roman" w:hAnsi="Times New Roman" w:cs="Times New Roman"/>
          <w:sz w:val="24"/>
          <w:szCs w:val="24"/>
        </w:rPr>
        <w:t>ed</w:t>
      </w:r>
      <w:r>
        <w:rPr>
          <w:rFonts w:ascii="Times New Roman" w:hAnsi="Times New Roman" w:cs="Times New Roman"/>
          <w:sz w:val="24"/>
          <w:szCs w:val="24"/>
        </w:rPr>
        <w:t xml:space="preserve"> the SWOC</w:t>
      </w:r>
      <w:r w:rsidR="00963B10">
        <w:rPr>
          <w:rFonts w:ascii="Times New Roman" w:hAnsi="Times New Roman" w:cs="Times New Roman"/>
          <w:sz w:val="24"/>
          <w:szCs w:val="24"/>
        </w:rPr>
        <w:t xml:space="preserve"> (whether it is set at the HCAP or the LCAP)</w:t>
      </w:r>
      <w:r>
        <w:rPr>
          <w:rFonts w:ascii="Times New Roman" w:hAnsi="Times New Roman" w:cs="Times New Roman"/>
          <w:sz w:val="24"/>
          <w:szCs w:val="24"/>
        </w:rPr>
        <w:t xml:space="preserve">. Specifically, the shadow price </w:t>
      </w:r>
      <w:r w:rsidR="00963B10">
        <w:rPr>
          <w:rFonts w:ascii="Times New Roman" w:hAnsi="Times New Roman" w:cs="Times New Roman"/>
          <w:sz w:val="24"/>
          <w:szCs w:val="24"/>
        </w:rPr>
        <w:t>directly determines the locational marginal price</w:t>
      </w:r>
      <w:r w:rsidR="000118D2">
        <w:rPr>
          <w:rFonts w:ascii="Times New Roman" w:hAnsi="Times New Roman" w:cs="Times New Roman"/>
          <w:sz w:val="24"/>
          <w:szCs w:val="24"/>
        </w:rPr>
        <w:t xml:space="preserve"> (LMP)</w:t>
      </w:r>
      <w:r w:rsidR="00963B10">
        <w:rPr>
          <w:rFonts w:ascii="Times New Roman" w:hAnsi="Times New Roman" w:cs="Times New Roman"/>
          <w:sz w:val="24"/>
          <w:szCs w:val="24"/>
        </w:rPr>
        <w:t>, and it represents the marginal value of a resource that is needed to resolve a transmission or power balance constraint.</w:t>
      </w:r>
      <w:r w:rsidR="00963B10">
        <w:rPr>
          <w:rStyle w:val="FootnoteReference"/>
          <w:rFonts w:ascii="Times New Roman" w:hAnsi="Times New Roman" w:cs="Times New Roman"/>
          <w:sz w:val="24"/>
          <w:szCs w:val="24"/>
        </w:rPr>
        <w:footnoteReference w:id="9"/>
      </w:r>
      <w:r w:rsidR="00963B10">
        <w:rPr>
          <w:rFonts w:ascii="Times New Roman" w:hAnsi="Times New Roman" w:cs="Times New Roman"/>
          <w:sz w:val="24"/>
          <w:szCs w:val="24"/>
        </w:rPr>
        <w:t xml:space="preserve"> While the</w:t>
      </w:r>
      <w:r w:rsidR="00CE4F4C">
        <w:rPr>
          <w:rFonts w:ascii="Times New Roman" w:hAnsi="Times New Roman" w:cs="Times New Roman"/>
          <w:sz w:val="24"/>
          <w:szCs w:val="24"/>
        </w:rPr>
        <w:t>re are caps on the shadow price that are generally at or below the HCAP,</w:t>
      </w:r>
      <w:r w:rsidR="00963B10">
        <w:rPr>
          <w:rStyle w:val="FootnoteReference"/>
          <w:rFonts w:ascii="Times New Roman" w:hAnsi="Times New Roman" w:cs="Times New Roman"/>
          <w:sz w:val="24"/>
          <w:szCs w:val="24"/>
        </w:rPr>
        <w:footnoteReference w:id="10"/>
      </w:r>
      <w:r w:rsidR="00963B10">
        <w:rPr>
          <w:rFonts w:ascii="Times New Roman" w:hAnsi="Times New Roman" w:cs="Times New Roman"/>
          <w:sz w:val="24"/>
          <w:szCs w:val="24"/>
        </w:rPr>
        <w:t xml:space="preserve"> the actual </w:t>
      </w:r>
      <w:r w:rsidR="00172AC6">
        <w:rPr>
          <w:rFonts w:ascii="Times New Roman" w:hAnsi="Times New Roman" w:cs="Times New Roman"/>
          <w:sz w:val="24"/>
          <w:szCs w:val="24"/>
        </w:rPr>
        <w:t xml:space="preserve">LMP </w:t>
      </w:r>
      <w:r w:rsidR="00963B10">
        <w:rPr>
          <w:rFonts w:ascii="Times New Roman" w:hAnsi="Times New Roman" w:cs="Times New Roman"/>
          <w:sz w:val="24"/>
          <w:szCs w:val="24"/>
        </w:rPr>
        <w:t xml:space="preserve">can exceed the </w:t>
      </w:r>
      <w:r w:rsidR="000118D2">
        <w:rPr>
          <w:rFonts w:ascii="Times New Roman" w:hAnsi="Times New Roman" w:cs="Times New Roman"/>
          <w:sz w:val="24"/>
          <w:szCs w:val="24"/>
        </w:rPr>
        <w:t>SWOC in certain circumstances</w:t>
      </w:r>
      <w:r w:rsidR="00963B10">
        <w:rPr>
          <w:rFonts w:ascii="Times New Roman" w:hAnsi="Times New Roman" w:cs="Times New Roman"/>
          <w:sz w:val="24"/>
          <w:szCs w:val="24"/>
        </w:rPr>
        <w:t>.</w:t>
      </w:r>
      <w:r w:rsidR="000118D2">
        <w:rPr>
          <w:rFonts w:ascii="Times New Roman" w:hAnsi="Times New Roman" w:cs="Times New Roman"/>
          <w:sz w:val="24"/>
          <w:szCs w:val="24"/>
        </w:rPr>
        <w:t xml:space="preserve"> As explained by ERCOT in its methodology document for setting maximum shadow prices:</w:t>
      </w:r>
    </w:p>
    <w:p w:rsidR="00E134F9" w:rsidRDefault="000118D2" w:rsidP="000118D2">
      <w:pPr>
        <w:spacing w:before="240" w:after="240" w:line="240" w:lineRule="auto"/>
        <w:ind w:left="720" w:right="720"/>
        <w:jc w:val="both"/>
        <w:rPr>
          <w:rFonts w:ascii="Times New Roman" w:hAnsi="Times New Roman" w:cs="Times New Roman"/>
          <w:sz w:val="24"/>
          <w:szCs w:val="24"/>
        </w:rPr>
      </w:pPr>
      <w:r w:rsidRPr="000118D2">
        <w:rPr>
          <w:rFonts w:ascii="Times New Roman" w:hAnsi="Times New Roman" w:cs="Times New Roman"/>
          <w:b/>
          <w:sz w:val="24"/>
          <w:szCs w:val="24"/>
        </w:rPr>
        <w:t>The LMP at an individual node, hub or load zone can exceed the system-wide offer cap in some circumstances</w:t>
      </w:r>
      <w:r w:rsidRPr="000118D2">
        <w:rPr>
          <w:rFonts w:ascii="Times New Roman" w:hAnsi="Times New Roman" w:cs="Times New Roman"/>
          <w:sz w:val="24"/>
          <w:szCs w:val="24"/>
        </w:rPr>
        <w:t xml:space="preserve">.  This is most likely to occur when there are one or more irresolvable constraints on the system </w:t>
      </w:r>
      <w:r w:rsidRPr="000118D2">
        <w:rPr>
          <w:rFonts w:ascii="Times New Roman" w:hAnsi="Times New Roman" w:cs="Times New Roman"/>
          <w:i/>
          <w:sz w:val="24"/>
          <w:szCs w:val="24"/>
        </w:rPr>
        <w:t>and</w:t>
      </w:r>
      <w:r w:rsidRPr="000118D2">
        <w:rPr>
          <w:rFonts w:ascii="Times New Roman" w:hAnsi="Times New Roman" w:cs="Times New Roman"/>
          <w:sz w:val="24"/>
          <w:szCs w:val="24"/>
        </w:rPr>
        <w:t xml:space="preserve"> when overall dispatchable supply on the system is tight.  Relatively speaking, it is more likely that individual node prices will exceed the system-wide offer cap than hubs or load zones, but it is possible that hub or load zone prices could exceed the system-wide offer cap.  It is not possible in the nodal system to assign constraint shadow price caps and power balance penalty factor values that achieve the desired reliability and efficiency objectives and ensure that all LMPs remain within the bounds of the system-wide offer caps under all circumstances.</w:t>
      </w:r>
      <w:r>
        <w:rPr>
          <w:rStyle w:val="FootnoteReference"/>
          <w:rFonts w:ascii="Times New Roman" w:hAnsi="Times New Roman" w:cs="Times New Roman"/>
          <w:sz w:val="24"/>
          <w:szCs w:val="24"/>
        </w:rPr>
        <w:footnoteReference w:id="11"/>
      </w:r>
      <w:r w:rsidR="00963B10" w:rsidRPr="000118D2">
        <w:rPr>
          <w:rFonts w:ascii="Times New Roman" w:hAnsi="Times New Roman" w:cs="Times New Roman"/>
          <w:sz w:val="24"/>
          <w:szCs w:val="24"/>
        </w:rPr>
        <w:t xml:space="preserve">  </w:t>
      </w:r>
    </w:p>
    <w:p w:rsidR="000118D2" w:rsidRPr="00172AC6" w:rsidRDefault="000118D2" w:rsidP="000118D2">
      <w:pPr>
        <w:spacing w:line="360" w:lineRule="auto"/>
        <w:jc w:val="both"/>
        <w:rPr>
          <w:rFonts w:ascii="Times New Roman" w:hAnsi="Times New Roman" w:cs="Times New Roman"/>
          <w:sz w:val="24"/>
          <w:szCs w:val="24"/>
        </w:rPr>
      </w:pPr>
      <w:r>
        <w:rPr>
          <w:rFonts w:ascii="Times New Roman" w:hAnsi="Times New Roman" w:cs="Times New Roman"/>
          <w:sz w:val="24"/>
          <w:szCs w:val="24"/>
        </w:rPr>
        <w:t>Thus, the rule should not state that the energy price will never exceed the LCAP once triggered</w:t>
      </w:r>
      <w:r w:rsidR="00172AC6">
        <w:rPr>
          <w:rFonts w:ascii="Times New Roman" w:hAnsi="Times New Roman" w:cs="Times New Roman"/>
          <w:sz w:val="24"/>
          <w:szCs w:val="24"/>
        </w:rPr>
        <w:t xml:space="preserve"> or else risk significantly expanding the scope and impact of this rulemaking</w:t>
      </w:r>
      <w:r>
        <w:rPr>
          <w:rFonts w:ascii="Times New Roman" w:hAnsi="Times New Roman" w:cs="Times New Roman"/>
          <w:sz w:val="24"/>
          <w:szCs w:val="24"/>
        </w:rPr>
        <w:t>.</w:t>
      </w:r>
      <w:r w:rsidR="00172AC6">
        <w:rPr>
          <w:rFonts w:ascii="Times New Roman" w:hAnsi="Times New Roman" w:cs="Times New Roman"/>
          <w:sz w:val="24"/>
          <w:szCs w:val="24"/>
        </w:rPr>
        <w:t xml:space="preserve"> TCPA believes that, if the Commission decides to retain the LCAP with the intent of managing general wholesale price levels during periods of extreme scarcity, then it may do so effectively by limiting </w:t>
      </w:r>
      <w:r w:rsidR="00172AC6">
        <w:rPr>
          <w:rFonts w:ascii="Times New Roman" w:hAnsi="Times New Roman" w:cs="Times New Roman"/>
          <w:i/>
          <w:sz w:val="24"/>
          <w:szCs w:val="24"/>
        </w:rPr>
        <w:t>offers</w:t>
      </w:r>
      <w:r w:rsidR="00172AC6">
        <w:rPr>
          <w:rFonts w:ascii="Times New Roman" w:hAnsi="Times New Roman" w:cs="Times New Roman"/>
          <w:sz w:val="24"/>
          <w:szCs w:val="24"/>
        </w:rPr>
        <w:t xml:space="preserve"> without </w:t>
      </w:r>
      <w:r w:rsidR="00172AC6">
        <w:rPr>
          <w:rFonts w:ascii="Times New Roman" w:hAnsi="Times New Roman" w:cs="Times New Roman"/>
          <w:sz w:val="24"/>
          <w:szCs w:val="24"/>
        </w:rPr>
        <w:lastRenderedPageBreak/>
        <w:t>causing the additional effort implied by expanding the LCAP’s applicability to all wholesale energy prices.</w:t>
      </w:r>
    </w:p>
    <w:p w:rsidR="007E1926" w:rsidRDefault="000118D2" w:rsidP="000118D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Fourth, the Commission should consider increasing the LCAP, if it is retained, to a value</w:t>
      </w:r>
      <w:r w:rsidR="008317A7">
        <w:rPr>
          <w:rFonts w:ascii="Times New Roman" w:hAnsi="Times New Roman" w:cs="Times New Roman"/>
          <w:sz w:val="24"/>
          <w:szCs w:val="24"/>
        </w:rPr>
        <w:t xml:space="preserve"> </w:t>
      </w:r>
      <w:r>
        <w:rPr>
          <w:rFonts w:ascii="Times New Roman" w:hAnsi="Times New Roman" w:cs="Times New Roman"/>
          <w:sz w:val="24"/>
          <w:szCs w:val="24"/>
        </w:rPr>
        <w:t>that would continue to send a scarcity</w:t>
      </w:r>
      <w:r w:rsidR="00CE4F4C">
        <w:rPr>
          <w:rFonts w:ascii="Times New Roman" w:hAnsi="Times New Roman" w:cs="Times New Roman"/>
          <w:sz w:val="24"/>
          <w:szCs w:val="24"/>
        </w:rPr>
        <w:t xml:space="preserve"> pricing</w:t>
      </w:r>
      <w:r>
        <w:rPr>
          <w:rFonts w:ascii="Times New Roman" w:hAnsi="Times New Roman" w:cs="Times New Roman"/>
          <w:sz w:val="24"/>
          <w:szCs w:val="24"/>
        </w:rPr>
        <w:t xml:space="preserve"> signal in the event of scarcity. </w:t>
      </w:r>
      <w:r w:rsidR="00172AC6">
        <w:rPr>
          <w:rFonts w:ascii="Times New Roman" w:hAnsi="Times New Roman" w:cs="Times New Roman"/>
          <w:sz w:val="24"/>
          <w:szCs w:val="24"/>
        </w:rPr>
        <w:t xml:space="preserve">TCPA suggests $4,500/MWh as an alternative. </w:t>
      </w:r>
      <w:r>
        <w:rPr>
          <w:rFonts w:ascii="Times New Roman" w:hAnsi="Times New Roman" w:cs="Times New Roman"/>
          <w:sz w:val="24"/>
          <w:szCs w:val="24"/>
        </w:rPr>
        <w:t xml:space="preserve">That level would represent </w:t>
      </w:r>
      <w:r w:rsidR="00CE4F4C">
        <w:rPr>
          <w:rFonts w:ascii="Times New Roman" w:hAnsi="Times New Roman" w:cs="Times New Roman"/>
          <w:sz w:val="24"/>
          <w:szCs w:val="24"/>
        </w:rPr>
        <w:t xml:space="preserve">only </w:t>
      </w:r>
      <w:r>
        <w:rPr>
          <w:rFonts w:ascii="Times New Roman" w:hAnsi="Times New Roman" w:cs="Times New Roman"/>
          <w:sz w:val="24"/>
          <w:szCs w:val="24"/>
        </w:rPr>
        <w:t>a 50% reduction from the HCAP</w:t>
      </w:r>
      <w:r w:rsidR="00CE4F4C">
        <w:rPr>
          <w:rFonts w:ascii="Times New Roman" w:hAnsi="Times New Roman" w:cs="Times New Roman"/>
          <w:sz w:val="24"/>
          <w:szCs w:val="24"/>
        </w:rPr>
        <w:t xml:space="preserve"> (rather than the current, nearly 80% reduction)</w:t>
      </w:r>
      <w:r>
        <w:rPr>
          <w:rFonts w:ascii="Times New Roman" w:hAnsi="Times New Roman" w:cs="Times New Roman"/>
          <w:sz w:val="24"/>
          <w:szCs w:val="24"/>
        </w:rPr>
        <w:t xml:space="preserve">, which could achieve the original goal of the LCAP mechanism to balance the need to send a </w:t>
      </w:r>
      <w:proofErr w:type="gramStart"/>
      <w:r>
        <w:rPr>
          <w:rFonts w:ascii="Times New Roman" w:hAnsi="Times New Roman" w:cs="Times New Roman"/>
          <w:sz w:val="24"/>
          <w:szCs w:val="24"/>
        </w:rPr>
        <w:t>sufficient</w:t>
      </w:r>
      <w:proofErr w:type="gramEnd"/>
      <w:r>
        <w:rPr>
          <w:rFonts w:ascii="Times New Roman" w:hAnsi="Times New Roman" w:cs="Times New Roman"/>
          <w:sz w:val="24"/>
          <w:szCs w:val="24"/>
        </w:rPr>
        <w:t xml:space="preserve"> scarcity signal to promote investment in resources, while</w:t>
      </w:r>
      <w:r w:rsidR="00CE4F4C">
        <w:rPr>
          <w:rFonts w:ascii="Times New Roman" w:hAnsi="Times New Roman" w:cs="Times New Roman"/>
          <w:sz w:val="24"/>
          <w:szCs w:val="24"/>
        </w:rPr>
        <w:t xml:space="preserve"> also</w:t>
      </w:r>
      <w:r>
        <w:rPr>
          <w:rFonts w:ascii="Times New Roman" w:hAnsi="Times New Roman" w:cs="Times New Roman"/>
          <w:sz w:val="24"/>
          <w:szCs w:val="24"/>
        </w:rPr>
        <w:t xml:space="preserve"> protecting unhedged load from sustained high prices.</w:t>
      </w:r>
    </w:p>
    <w:p w:rsidR="007E1926" w:rsidRDefault="007E1926" w:rsidP="000118D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Fifth, the rule should clarify that the Independent Market Monitor’s role in reviewing the effectiveness of the scarcity pricing parameters and LCAP mechanism is to determine whether they are working to promote resource adequacy.</w:t>
      </w:r>
    </w:p>
    <w:p w:rsidR="007E1926" w:rsidRPr="007E1926" w:rsidRDefault="007E1926" w:rsidP="000118D2">
      <w:pPr>
        <w:spacing w:line="360" w:lineRule="auto"/>
        <w:ind w:firstLine="720"/>
        <w:jc w:val="both"/>
        <w:rPr>
          <w:rFonts w:ascii="Times New Roman" w:hAnsi="Times New Roman" w:cs="Times New Roman"/>
          <w:sz w:val="24"/>
          <w:szCs w:val="24"/>
        </w:rPr>
      </w:pPr>
      <w:r w:rsidRPr="007E1926">
        <w:rPr>
          <w:rFonts w:ascii="Times New Roman" w:hAnsi="Times New Roman" w:cs="Times New Roman"/>
          <w:sz w:val="24"/>
          <w:szCs w:val="24"/>
        </w:rPr>
        <w:t xml:space="preserve">Sixth, the rule should define VOLL in this subsection, as it is </w:t>
      </w:r>
      <w:r w:rsidR="00CE4F4C">
        <w:rPr>
          <w:rFonts w:ascii="Times New Roman" w:hAnsi="Times New Roman" w:cs="Times New Roman"/>
          <w:sz w:val="24"/>
          <w:szCs w:val="24"/>
        </w:rPr>
        <w:t xml:space="preserve">one of the primary inputs to the ORDC and thus is </w:t>
      </w:r>
      <w:r w:rsidRPr="007E1926">
        <w:rPr>
          <w:rFonts w:ascii="Times New Roman" w:hAnsi="Times New Roman" w:cs="Times New Roman"/>
          <w:sz w:val="24"/>
          <w:szCs w:val="24"/>
        </w:rPr>
        <w:t>a key scarcity pricing parameter.</w:t>
      </w:r>
    </w:p>
    <w:p w:rsidR="000118D2" w:rsidRPr="000118D2" w:rsidRDefault="007E1926" w:rsidP="000118D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Finally, the rule should include the following minor stylistic changes. </w:t>
      </w:r>
      <w:r w:rsidR="000118D2">
        <w:rPr>
          <w:rFonts w:ascii="Times New Roman" w:hAnsi="Times New Roman" w:cs="Times New Roman"/>
          <w:sz w:val="24"/>
          <w:szCs w:val="24"/>
        </w:rPr>
        <w:t xml:space="preserve">  </w:t>
      </w:r>
    </w:p>
    <w:p w:rsidR="003F7944" w:rsidRDefault="003F7944" w:rsidP="003F7944">
      <w:pPr>
        <w:pStyle w:val="ListParagraph"/>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w:t>
      </w:r>
      <w:r w:rsidR="00D27F52">
        <w:rPr>
          <w:rFonts w:ascii="Times New Roman" w:hAnsi="Times New Roman" w:cs="Times New Roman"/>
          <w:sz w:val="24"/>
          <w:szCs w:val="24"/>
        </w:rPr>
        <w:t xml:space="preserve">explained in Section II.B below and consistent with TCPA’s recommendation for </w:t>
      </w:r>
      <w:r w:rsidR="008B7BA2">
        <w:rPr>
          <w:rFonts w:ascii="Times New Roman" w:hAnsi="Times New Roman" w:cs="Times New Roman"/>
          <w:sz w:val="24"/>
          <w:szCs w:val="24"/>
        </w:rPr>
        <w:t>the title of the rule</w:t>
      </w:r>
      <w:r>
        <w:rPr>
          <w:rFonts w:ascii="Times New Roman" w:hAnsi="Times New Roman" w:cs="Times New Roman"/>
          <w:sz w:val="24"/>
          <w:szCs w:val="24"/>
        </w:rPr>
        <w:t>, the Commission should consider re-styling th</w:t>
      </w:r>
      <w:r w:rsidR="008B7BA2">
        <w:rPr>
          <w:rFonts w:ascii="Times New Roman" w:hAnsi="Times New Roman" w:cs="Times New Roman"/>
          <w:sz w:val="24"/>
          <w:szCs w:val="24"/>
        </w:rPr>
        <w:t>is</w:t>
      </w:r>
      <w:r>
        <w:rPr>
          <w:rFonts w:ascii="Times New Roman" w:hAnsi="Times New Roman" w:cs="Times New Roman"/>
          <w:sz w:val="24"/>
          <w:szCs w:val="24"/>
        </w:rPr>
        <w:t xml:space="preserve"> subsection from “Scarcity </w:t>
      </w:r>
      <w:r w:rsidR="008B7BA2">
        <w:rPr>
          <w:rFonts w:ascii="Times New Roman" w:hAnsi="Times New Roman" w:cs="Times New Roman"/>
          <w:sz w:val="24"/>
          <w:szCs w:val="24"/>
        </w:rPr>
        <w:t>p</w:t>
      </w:r>
      <w:r w:rsidR="0099153A">
        <w:rPr>
          <w:rFonts w:ascii="Times New Roman" w:hAnsi="Times New Roman" w:cs="Times New Roman"/>
          <w:sz w:val="24"/>
          <w:szCs w:val="24"/>
        </w:rPr>
        <w:t>ricing mechanism” to “Scarcity pricing p</w:t>
      </w:r>
      <w:r w:rsidR="008B7BA2">
        <w:rPr>
          <w:rFonts w:ascii="Times New Roman" w:hAnsi="Times New Roman" w:cs="Times New Roman"/>
          <w:sz w:val="24"/>
          <w:szCs w:val="24"/>
        </w:rPr>
        <w:t>arameters”</w:t>
      </w:r>
      <w:r>
        <w:rPr>
          <w:rFonts w:ascii="Times New Roman" w:hAnsi="Times New Roman" w:cs="Times New Roman"/>
          <w:sz w:val="24"/>
          <w:szCs w:val="24"/>
        </w:rPr>
        <w:t xml:space="preserve"> </w:t>
      </w:r>
      <w:r w:rsidR="008B7BA2">
        <w:rPr>
          <w:rFonts w:ascii="Times New Roman" w:hAnsi="Times New Roman" w:cs="Times New Roman"/>
          <w:sz w:val="24"/>
          <w:szCs w:val="24"/>
        </w:rPr>
        <w:t>to more accurately describe the contents of the subsection.</w:t>
      </w:r>
    </w:p>
    <w:p w:rsidR="008B7BA2" w:rsidRPr="003F7944" w:rsidRDefault="008B7BA2" w:rsidP="003F7944">
      <w:pPr>
        <w:pStyle w:val="ListParagraph"/>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The subsection should remain as subsection (f), if the Commission agrees with TCPA to retain existing subsection (f) requiring certain ERCOT reports.</w:t>
      </w:r>
    </w:p>
    <w:p w:rsidR="008B7BA2" w:rsidRPr="007E1926" w:rsidRDefault="007E1926" w:rsidP="007E1926">
      <w:pPr>
        <w:spacing w:before="240" w:after="240" w:line="360" w:lineRule="auto"/>
        <w:ind w:firstLine="720"/>
        <w:jc w:val="both"/>
        <w:rPr>
          <w:rFonts w:ascii="Times New Roman" w:hAnsi="Times New Roman" w:cs="Times New Roman"/>
          <w:sz w:val="24"/>
          <w:szCs w:val="24"/>
        </w:rPr>
      </w:pPr>
      <w:r>
        <w:rPr>
          <w:rFonts w:ascii="Times New Roman" w:hAnsi="Times New Roman" w:cs="Times New Roman"/>
          <w:sz w:val="24"/>
          <w:szCs w:val="24"/>
        </w:rPr>
        <w:t>TCPA provides a redline to subsection (g) below to reflect the above alternative recommendations (i.e., in the event the Commission decides to retain the LCAP).</w:t>
      </w:r>
      <w:r>
        <w:rPr>
          <w:rStyle w:val="FootnoteReference"/>
          <w:rFonts w:ascii="Times New Roman" w:hAnsi="Times New Roman" w:cs="Times New Roman"/>
          <w:sz w:val="24"/>
          <w:szCs w:val="24"/>
        </w:rPr>
        <w:footnoteReference w:id="12"/>
      </w:r>
    </w:p>
    <w:p w:rsidR="00023A1F" w:rsidRPr="003C2E95" w:rsidRDefault="008B7BA2" w:rsidP="003129AE">
      <w:pPr>
        <w:spacing w:after="0" w:line="240" w:lineRule="auto"/>
        <w:ind w:left="360"/>
        <w:jc w:val="both"/>
        <w:rPr>
          <w:rFonts w:ascii="Times New Roman" w:hAnsi="Times New Roman" w:cs="Times New Roman"/>
          <w:szCs w:val="24"/>
        </w:rPr>
      </w:pPr>
      <w:r w:rsidRPr="003C2E95">
        <w:rPr>
          <w:rFonts w:ascii="Times New Roman" w:hAnsi="Times New Roman" w:cs="Times New Roman"/>
          <w:szCs w:val="24"/>
        </w:rPr>
        <w:t xml:space="preserve"> </w:t>
      </w:r>
      <w:r w:rsidR="00023A1F" w:rsidRPr="003C2E95">
        <w:rPr>
          <w:rFonts w:ascii="Times New Roman" w:hAnsi="Times New Roman" w:cs="Times New Roman"/>
          <w:szCs w:val="24"/>
        </w:rPr>
        <w:t>(</w:t>
      </w:r>
      <w:proofErr w:type="spellStart"/>
      <w:r w:rsidR="00023A1F" w:rsidRPr="003129AE">
        <w:rPr>
          <w:rFonts w:ascii="Times New Roman" w:hAnsi="Times New Roman" w:cs="Times New Roman"/>
          <w:strike/>
          <w:szCs w:val="24"/>
        </w:rPr>
        <w:t>f</w:t>
      </w:r>
      <w:r w:rsidR="003129AE">
        <w:rPr>
          <w:rFonts w:ascii="Times New Roman" w:hAnsi="Times New Roman" w:cs="Times New Roman"/>
          <w:szCs w:val="24"/>
          <w:u w:val="single"/>
        </w:rPr>
        <w:t>g</w:t>
      </w:r>
      <w:proofErr w:type="spellEnd"/>
      <w:r w:rsidR="00023A1F" w:rsidRPr="003C2E95">
        <w:rPr>
          <w:rFonts w:ascii="Times New Roman" w:hAnsi="Times New Roman" w:cs="Times New Roman"/>
          <w:szCs w:val="24"/>
        </w:rPr>
        <w:t>)</w:t>
      </w:r>
      <w:r w:rsidR="00023A1F" w:rsidRPr="003C2E95">
        <w:rPr>
          <w:rFonts w:ascii="Times New Roman" w:hAnsi="Times New Roman" w:cs="Times New Roman"/>
          <w:szCs w:val="24"/>
        </w:rPr>
        <w:tab/>
      </w:r>
      <w:r w:rsidR="00023A1F" w:rsidRPr="003C2E95">
        <w:rPr>
          <w:rFonts w:ascii="Times New Roman" w:hAnsi="Times New Roman" w:cs="Times New Roman"/>
          <w:b/>
          <w:strike/>
          <w:szCs w:val="24"/>
        </w:rPr>
        <w:t>Scarcity pricing mechanism (SPM)</w:t>
      </w:r>
      <w:r w:rsidR="003C2E95">
        <w:rPr>
          <w:rFonts w:ascii="Times New Roman" w:hAnsi="Times New Roman" w:cs="Times New Roman"/>
          <w:b/>
          <w:szCs w:val="24"/>
        </w:rPr>
        <w:t xml:space="preserve"> </w:t>
      </w:r>
      <w:r w:rsidR="0099153A">
        <w:rPr>
          <w:rFonts w:ascii="Times New Roman" w:hAnsi="Times New Roman" w:cs="Times New Roman"/>
          <w:b/>
          <w:szCs w:val="24"/>
          <w:u w:val="single"/>
        </w:rPr>
        <w:t>Scarcity pricing p</w:t>
      </w:r>
      <w:r w:rsidR="003C2E95" w:rsidRPr="001F281C">
        <w:rPr>
          <w:rFonts w:ascii="Times New Roman" w:hAnsi="Times New Roman" w:cs="Times New Roman"/>
          <w:b/>
          <w:szCs w:val="24"/>
          <w:u w:val="single"/>
        </w:rPr>
        <w:t>arameters</w:t>
      </w:r>
      <w:r w:rsidR="00023A1F" w:rsidRPr="003C2E95">
        <w:rPr>
          <w:rFonts w:ascii="Times New Roman" w:hAnsi="Times New Roman" w:cs="Times New Roman"/>
          <w:b/>
          <w:szCs w:val="24"/>
        </w:rPr>
        <w:t>.</w:t>
      </w:r>
      <w:r w:rsidR="00023A1F" w:rsidRPr="003C2E95">
        <w:rPr>
          <w:rFonts w:ascii="Times New Roman" w:hAnsi="Times New Roman" w:cs="Times New Roman"/>
          <w:szCs w:val="24"/>
        </w:rPr>
        <w:t xml:space="preserve">  ERCOT will administer the </w:t>
      </w:r>
      <w:r w:rsidR="00023A1F" w:rsidRPr="003C2E95">
        <w:rPr>
          <w:rFonts w:ascii="Times New Roman" w:hAnsi="Times New Roman" w:cs="Times New Roman"/>
          <w:strike/>
          <w:szCs w:val="24"/>
        </w:rPr>
        <w:t>SPM</w:t>
      </w:r>
      <w:r w:rsidR="003C2E95">
        <w:rPr>
          <w:rFonts w:ascii="Times New Roman" w:hAnsi="Times New Roman" w:cs="Times New Roman"/>
          <w:szCs w:val="24"/>
        </w:rPr>
        <w:t xml:space="preserve"> </w:t>
      </w:r>
      <w:r w:rsidR="00EC659B">
        <w:rPr>
          <w:rFonts w:ascii="Times New Roman" w:hAnsi="Times New Roman" w:cs="Times New Roman"/>
          <w:szCs w:val="24"/>
          <w:u w:val="single"/>
        </w:rPr>
        <w:t>scarcity pricing parameters</w:t>
      </w:r>
      <w:r w:rsidR="00023A1F" w:rsidRPr="003C2E95">
        <w:rPr>
          <w:rFonts w:ascii="Times New Roman" w:hAnsi="Times New Roman" w:cs="Times New Roman"/>
          <w:szCs w:val="24"/>
        </w:rPr>
        <w:t xml:space="preserve">.  The </w:t>
      </w:r>
      <w:r w:rsidR="003C2E95" w:rsidRPr="003C2E95">
        <w:rPr>
          <w:rFonts w:ascii="Times New Roman" w:hAnsi="Times New Roman" w:cs="Times New Roman"/>
          <w:strike/>
          <w:szCs w:val="24"/>
        </w:rPr>
        <w:t>SPM</w:t>
      </w:r>
      <w:r w:rsidR="003C2E95">
        <w:rPr>
          <w:rFonts w:ascii="Times New Roman" w:hAnsi="Times New Roman" w:cs="Times New Roman"/>
          <w:szCs w:val="24"/>
        </w:rPr>
        <w:t xml:space="preserve"> </w:t>
      </w:r>
      <w:r w:rsidR="00EC659B">
        <w:rPr>
          <w:rFonts w:ascii="Times New Roman" w:hAnsi="Times New Roman" w:cs="Times New Roman"/>
          <w:szCs w:val="24"/>
          <w:u w:val="single"/>
        </w:rPr>
        <w:t>scarcity pricing parameters</w:t>
      </w:r>
      <w:r w:rsidR="00EC659B" w:rsidRPr="003C2E95">
        <w:rPr>
          <w:rFonts w:ascii="Times New Roman" w:hAnsi="Times New Roman" w:cs="Times New Roman"/>
          <w:szCs w:val="24"/>
        </w:rPr>
        <w:t xml:space="preserve"> </w:t>
      </w:r>
      <w:r w:rsidR="00023A1F" w:rsidRPr="003C2E95">
        <w:rPr>
          <w:rFonts w:ascii="Times New Roman" w:hAnsi="Times New Roman" w:cs="Times New Roman"/>
          <w:szCs w:val="24"/>
        </w:rPr>
        <w:t>will operate as follows:</w:t>
      </w:r>
    </w:p>
    <w:p w:rsidR="00023A1F" w:rsidRPr="003C2E95" w:rsidRDefault="00023A1F" w:rsidP="003129AE">
      <w:pPr>
        <w:spacing w:after="0" w:line="240" w:lineRule="auto"/>
        <w:ind w:firstLine="720"/>
        <w:jc w:val="both"/>
        <w:rPr>
          <w:rFonts w:ascii="Times New Roman" w:hAnsi="Times New Roman" w:cs="Times New Roman"/>
          <w:szCs w:val="24"/>
        </w:rPr>
      </w:pPr>
      <w:r w:rsidRPr="003C2E95">
        <w:rPr>
          <w:rFonts w:ascii="Times New Roman" w:hAnsi="Times New Roman" w:cs="Times New Roman"/>
          <w:szCs w:val="24"/>
        </w:rPr>
        <w:t>(1)</w:t>
      </w:r>
      <w:r w:rsidRPr="003C2E95">
        <w:rPr>
          <w:rFonts w:ascii="Times New Roman" w:hAnsi="Times New Roman" w:cs="Times New Roman"/>
          <w:szCs w:val="24"/>
        </w:rPr>
        <w:tab/>
        <w:t xml:space="preserve">The </w:t>
      </w:r>
      <w:r w:rsidR="003C2E95" w:rsidRPr="003C2E95">
        <w:rPr>
          <w:rFonts w:ascii="Times New Roman" w:hAnsi="Times New Roman" w:cs="Times New Roman"/>
          <w:strike/>
          <w:szCs w:val="24"/>
        </w:rPr>
        <w:t>SPM</w:t>
      </w:r>
      <w:r w:rsidR="003C2E95">
        <w:rPr>
          <w:rFonts w:ascii="Times New Roman" w:hAnsi="Times New Roman" w:cs="Times New Roman"/>
          <w:szCs w:val="24"/>
        </w:rPr>
        <w:t xml:space="preserve"> </w:t>
      </w:r>
      <w:r w:rsidR="00EC659B">
        <w:rPr>
          <w:rFonts w:ascii="Times New Roman" w:hAnsi="Times New Roman" w:cs="Times New Roman"/>
          <w:szCs w:val="24"/>
          <w:u w:val="single"/>
        </w:rPr>
        <w:t>scarcity pricing parameter</w:t>
      </w:r>
      <w:r w:rsidR="001F281C">
        <w:rPr>
          <w:rFonts w:ascii="Times New Roman" w:hAnsi="Times New Roman" w:cs="Times New Roman"/>
          <w:szCs w:val="24"/>
          <w:u w:val="single"/>
        </w:rPr>
        <w:t>s</w:t>
      </w:r>
      <w:r w:rsidR="003C2E95" w:rsidRPr="003C2E95">
        <w:rPr>
          <w:rFonts w:ascii="Times New Roman" w:hAnsi="Times New Roman" w:cs="Times New Roman"/>
          <w:szCs w:val="24"/>
        </w:rPr>
        <w:t xml:space="preserve"> </w:t>
      </w:r>
      <w:r w:rsidRPr="003C2E95">
        <w:rPr>
          <w:rFonts w:ascii="Times New Roman" w:hAnsi="Times New Roman" w:cs="Times New Roman"/>
          <w:szCs w:val="24"/>
        </w:rPr>
        <w:t>will operate on an annual calendar year basis.</w:t>
      </w:r>
    </w:p>
    <w:p w:rsidR="00023A1F" w:rsidRPr="003C2E95" w:rsidRDefault="00023A1F" w:rsidP="00E830C1">
      <w:pPr>
        <w:pStyle w:val="ListParagraph"/>
        <w:spacing w:line="240" w:lineRule="auto"/>
        <w:ind w:left="1440" w:hanging="720"/>
        <w:jc w:val="both"/>
        <w:rPr>
          <w:rFonts w:ascii="Times New Roman" w:hAnsi="Times New Roman" w:cs="Times New Roman"/>
          <w:szCs w:val="24"/>
        </w:rPr>
      </w:pPr>
      <w:r w:rsidRPr="003C2E95">
        <w:rPr>
          <w:rFonts w:ascii="Times New Roman" w:hAnsi="Times New Roman" w:cs="Times New Roman"/>
          <w:szCs w:val="24"/>
        </w:rPr>
        <w:lastRenderedPageBreak/>
        <w:t>(2)</w:t>
      </w:r>
      <w:r w:rsidRPr="003C2E95">
        <w:rPr>
          <w:rFonts w:ascii="Times New Roman" w:hAnsi="Times New Roman" w:cs="Times New Roman"/>
          <w:szCs w:val="24"/>
        </w:rPr>
        <w:tab/>
        <w:t>For each day, the peaking operating cost (POC) will be 10 times the natural gas price index value determined by ERCOT.  The POC is calculated in dollars per megawatt-hour (MWh).</w:t>
      </w:r>
    </w:p>
    <w:p w:rsidR="00023A1F" w:rsidRPr="003C2E95" w:rsidRDefault="00023A1F" w:rsidP="00E830C1">
      <w:pPr>
        <w:pStyle w:val="ListParagraph"/>
        <w:spacing w:line="240" w:lineRule="auto"/>
        <w:ind w:left="1440" w:hanging="720"/>
        <w:jc w:val="both"/>
        <w:rPr>
          <w:rFonts w:ascii="Times New Roman" w:hAnsi="Times New Roman" w:cs="Times New Roman"/>
          <w:szCs w:val="24"/>
        </w:rPr>
      </w:pPr>
      <w:r w:rsidRPr="003C2E95">
        <w:rPr>
          <w:rFonts w:ascii="Times New Roman" w:hAnsi="Times New Roman" w:cs="Times New Roman"/>
          <w:szCs w:val="24"/>
        </w:rPr>
        <w:t>(3)</w:t>
      </w:r>
      <w:r w:rsidRPr="003C2E95">
        <w:rPr>
          <w:rFonts w:ascii="Times New Roman" w:hAnsi="Times New Roman" w:cs="Times New Roman"/>
          <w:szCs w:val="24"/>
        </w:rPr>
        <w:tab/>
        <w:t>For the purpose of this section, the real-time energy price (RTEP) shall be measured as an average system-wide price as determined by ERCOT.</w:t>
      </w:r>
    </w:p>
    <w:p w:rsidR="00023A1F" w:rsidRPr="003C2E95" w:rsidRDefault="00023A1F" w:rsidP="00E830C1">
      <w:pPr>
        <w:pStyle w:val="ListParagraph"/>
        <w:spacing w:line="240" w:lineRule="auto"/>
        <w:ind w:left="1440" w:hanging="720"/>
        <w:jc w:val="both"/>
        <w:rPr>
          <w:rFonts w:ascii="Times New Roman" w:hAnsi="Times New Roman" w:cs="Times New Roman"/>
          <w:szCs w:val="24"/>
        </w:rPr>
      </w:pPr>
      <w:r w:rsidRPr="003C2E95">
        <w:rPr>
          <w:rFonts w:ascii="Times New Roman" w:hAnsi="Times New Roman" w:cs="Times New Roman"/>
          <w:szCs w:val="24"/>
        </w:rPr>
        <w:t>(4)</w:t>
      </w:r>
      <w:r w:rsidRPr="003C2E95">
        <w:rPr>
          <w:rFonts w:ascii="Times New Roman" w:hAnsi="Times New Roman" w:cs="Times New Roman"/>
          <w:szCs w:val="24"/>
        </w:rPr>
        <w:tab/>
        <w:t xml:space="preserve">In the annual resource adequacy cycle, the peaker net margin will be calculated as: </w:t>
      </w:r>
      <w:proofErr w:type="gramStart"/>
      <w:r w:rsidRPr="003C2E95">
        <w:rPr>
          <w:rFonts w:ascii="Times New Roman" w:hAnsi="Times New Roman" w:cs="Times New Roman"/>
          <w:szCs w:val="24"/>
        </w:rPr>
        <w:t>∑(</w:t>
      </w:r>
      <w:proofErr w:type="gramEnd"/>
      <w:r w:rsidRPr="003C2E95">
        <w:rPr>
          <w:rFonts w:ascii="Times New Roman" w:hAnsi="Times New Roman" w:cs="Times New Roman"/>
          <w:szCs w:val="24"/>
        </w:rPr>
        <w:t>(RTEP – POC) * (number of minutes in a settlement interval / 60 minutes per hour)) for each settlement interval when RTEP – POC &gt;0.</w:t>
      </w:r>
    </w:p>
    <w:p w:rsidR="00023A1F" w:rsidRPr="003C2E95" w:rsidRDefault="00023A1F" w:rsidP="00E830C1">
      <w:pPr>
        <w:pStyle w:val="ListParagraph"/>
        <w:spacing w:line="240" w:lineRule="auto"/>
        <w:ind w:left="1440" w:hanging="720"/>
        <w:jc w:val="both"/>
        <w:rPr>
          <w:rFonts w:ascii="Times New Roman" w:hAnsi="Times New Roman" w:cs="Times New Roman"/>
          <w:szCs w:val="24"/>
        </w:rPr>
      </w:pPr>
      <w:r w:rsidRPr="003C2E95">
        <w:rPr>
          <w:rFonts w:ascii="Times New Roman" w:hAnsi="Times New Roman" w:cs="Times New Roman"/>
          <w:szCs w:val="24"/>
        </w:rPr>
        <w:t>(5)</w:t>
      </w:r>
      <w:r w:rsidRPr="003C2E95">
        <w:rPr>
          <w:rFonts w:ascii="Times New Roman" w:hAnsi="Times New Roman" w:cs="Times New Roman"/>
          <w:szCs w:val="24"/>
        </w:rPr>
        <w:tab/>
        <w:t>Each day, ERCOT will post at a publicly accessible location on its website the updated value of the peaker net margin, in dollars per megawatt (MW).</w:t>
      </w:r>
    </w:p>
    <w:p w:rsidR="00023A1F" w:rsidRPr="003C2E95" w:rsidRDefault="00023A1F" w:rsidP="00E830C1">
      <w:pPr>
        <w:pStyle w:val="ListParagraph"/>
        <w:spacing w:line="240" w:lineRule="auto"/>
        <w:ind w:left="1440" w:hanging="720"/>
        <w:jc w:val="both"/>
        <w:rPr>
          <w:rFonts w:ascii="Times New Roman" w:hAnsi="Times New Roman" w:cs="Times New Roman"/>
          <w:szCs w:val="24"/>
        </w:rPr>
      </w:pPr>
      <w:r w:rsidRPr="003C2E95">
        <w:rPr>
          <w:rFonts w:ascii="Times New Roman" w:hAnsi="Times New Roman" w:cs="Times New Roman"/>
          <w:szCs w:val="24"/>
        </w:rPr>
        <w:t>(6)</w:t>
      </w:r>
      <w:r w:rsidRPr="003C2E95">
        <w:rPr>
          <w:rFonts w:ascii="Times New Roman" w:hAnsi="Times New Roman" w:cs="Times New Roman"/>
          <w:szCs w:val="24"/>
        </w:rPr>
        <w:tab/>
        <w:t xml:space="preserve">The system-wide offer caps </w:t>
      </w:r>
      <w:r w:rsidR="003C2E95" w:rsidRPr="001F281C">
        <w:rPr>
          <w:rFonts w:ascii="Times New Roman" w:hAnsi="Times New Roman" w:cs="Times New Roman"/>
          <w:szCs w:val="24"/>
          <w:u w:val="single"/>
        </w:rPr>
        <w:t>(SWOCs) and</w:t>
      </w:r>
      <w:r w:rsidR="003C2E95" w:rsidRPr="003C2E95">
        <w:rPr>
          <w:rFonts w:ascii="Times New Roman" w:hAnsi="Times New Roman" w:cs="Times New Roman"/>
          <w:szCs w:val="24"/>
          <w:u w:val="single"/>
        </w:rPr>
        <w:t xml:space="preserve"> Value of Lost Load (VOLL)</w:t>
      </w:r>
      <w:r w:rsidR="003C2E95">
        <w:rPr>
          <w:rFonts w:ascii="Times New Roman" w:hAnsi="Times New Roman" w:cs="Times New Roman"/>
          <w:szCs w:val="24"/>
        </w:rPr>
        <w:t xml:space="preserve"> </w:t>
      </w:r>
      <w:r w:rsidRPr="003C2E95">
        <w:rPr>
          <w:rFonts w:ascii="Times New Roman" w:hAnsi="Times New Roman" w:cs="Times New Roman"/>
          <w:szCs w:val="24"/>
        </w:rPr>
        <w:t>will be as follows:</w:t>
      </w:r>
    </w:p>
    <w:p w:rsidR="00023A1F" w:rsidRPr="003C2E95" w:rsidRDefault="00023A1F" w:rsidP="00E830C1">
      <w:pPr>
        <w:pStyle w:val="ListParagraph"/>
        <w:spacing w:line="240" w:lineRule="auto"/>
        <w:ind w:left="2160" w:hanging="720"/>
        <w:jc w:val="both"/>
        <w:rPr>
          <w:rFonts w:ascii="Times New Roman" w:hAnsi="Times New Roman" w:cs="Times New Roman"/>
          <w:szCs w:val="24"/>
        </w:rPr>
      </w:pPr>
      <w:r w:rsidRPr="003C2E95">
        <w:rPr>
          <w:rFonts w:ascii="Times New Roman" w:hAnsi="Times New Roman" w:cs="Times New Roman"/>
          <w:szCs w:val="24"/>
        </w:rPr>
        <w:t>(A)</w:t>
      </w:r>
      <w:r w:rsidRPr="003C2E95">
        <w:rPr>
          <w:rFonts w:ascii="Times New Roman" w:hAnsi="Times New Roman" w:cs="Times New Roman"/>
          <w:szCs w:val="24"/>
        </w:rPr>
        <w:tab/>
        <w:t xml:space="preserve">The low system-wide offer cap (LCAP) will be set </w:t>
      </w:r>
      <w:proofErr w:type="gramStart"/>
      <w:r w:rsidRPr="003C2E95">
        <w:rPr>
          <w:rFonts w:ascii="Times New Roman" w:hAnsi="Times New Roman" w:cs="Times New Roman"/>
          <w:szCs w:val="24"/>
        </w:rPr>
        <w:t>on a daily basis</w:t>
      </w:r>
      <w:proofErr w:type="gramEnd"/>
      <w:r w:rsidRPr="003C2E95">
        <w:rPr>
          <w:rFonts w:ascii="Times New Roman" w:hAnsi="Times New Roman" w:cs="Times New Roman"/>
          <w:szCs w:val="24"/>
        </w:rPr>
        <w:t xml:space="preserve"> at the greater of:</w:t>
      </w:r>
    </w:p>
    <w:p w:rsidR="00023A1F" w:rsidRPr="003C2E95" w:rsidRDefault="00023A1F" w:rsidP="003129AE">
      <w:pPr>
        <w:pStyle w:val="ListParagraph"/>
        <w:spacing w:line="240" w:lineRule="auto"/>
        <w:ind w:left="2160"/>
        <w:jc w:val="both"/>
        <w:rPr>
          <w:rFonts w:ascii="Times New Roman" w:hAnsi="Times New Roman" w:cs="Times New Roman"/>
          <w:szCs w:val="24"/>
        </w:rPr>
      </w:pPr>
      <w:r w:rsidRPr="003C2E95">
        <w:rPr>
          <w:rFonts w:ascii="Times New Roman" w:hAnsi="Times New Roman" w:cs="Times New Roman"/>
          <w:szCs w:val="24"/>
        </w:rPr>
        <w:t>(</w:t>
      </w:r>
      <w:proofErr w:type="spellStart"/>
      <w:r w:rsidRPr="003C2E95">
        <w:rPr>
          <w:rFonts w:ascii="Times New Roman" w:hAnsi="Times New Roman" w:cs="Times New Roman"/>
          <w:szCs w:val="24"/>
        </w:rPr>
        <w:t>i</w:t>
      </w:r>
      <w:proofErr w:type="spellEnd"/>
      <w:r w:rsidRPr="003C2E95">
        <w:rPr>
          <w:rFonts w:ascii="Times New Roman" w:hAnsi="Times New Roman" w:cs="Times New Roman"/>
          <w:szCs w:val="24"/>
        </w:rPr>
        <w:t>)</w:t>
      </w:r>
      <w:r w:rsidRPr="003C2E95">
        <w:rPr>
          <w:rFonts w:ascii="Times New Roman" w:hAnsi="Times New Roman" w:cs="Times New Roman"/>
          <w:szCs w:val="24"/>
        </w:rPr>
        <w:tab/>
      </w:r>
      <w:r w:rsidRPr="003C2E95">
        <w:rPr>
          <w:rFonts w:ascii="Times New Roman" w:hAnsi="Times New Roman" w:cs="Times New Roman"/>
          <w:strike/>
          <w:szCs w:val="24"/>
        </w:rPr>
        <w:t>$2,000</w:t>
      </w:r>
      <w:r w:rsidRPr="003C2E95">
        <w:rPr>
          <w:rFonts w:ascii="Times New Roman" w:hAnsi="Times New Roman" w:cs="Times New Roman"/>
          <w:szCs w:val="24"/>
        </w:rPr>
        <w:t xml:space="preserve"> </w:t>
      </w:r>
      <w:r w:rsidR="003C2E95" w:rsidRPr="003C2E95">
        <w:rPr>
          <w:rFonts w:ascii="Times New Roman" w:hAnsi="Times New Roman" w:cs="Times New Roman"/>
          <w:szCs w:val="24"/>
          <w:u w:val="single"/>
        </w:rPr>
        <w:t>$4,500</w:t>
      </w:r>
      <w:r w:rsidR="003C2E95">
        <w:rPr>
          <w:rFonts w:ascii="Times New Roman" w:hAnsi="Times New Roman" w:cs="Times New Roman"/>
          <w:szCs w:val="24"/>
        </w:rPr>
        <w:t xml:space="preserve"> </w:t>
      </w:r>
      <w:r w:rsidRPr="003C2E95">
        <w:rPr>
          <w:rFonts w:ascii="Times New Roman" w:hAnsi="Times New Roman" w:cs="Times New Roman"/>
          <w:szCs w:val="24"/>
        </w:rPr>
        <w:t xml:space="preserve">per MWh and </w:t>
      </w:r>
      <w:r w:rsidR="003C2E95" w:rsidRPr="003C2E95">
        <w:rPr>
          <w:rFonts w:ascii="Times New Roman" w:hAnsi="Times New Roman" w:cs="Times New Roman"/>
          <w:strike/>
          <w:szCs w:val="24"/>
        </w:rPr>
        <w:t>$2,000</w:t>
      </w:r>
      <w:r w:rsidR="003C2E95" w:rsidRPr="003C2E95">
        <w:rPr>
          <w:rFonts w:ascii="Times New Roman" w:hAnsi="Times New Roman" w:cs="Times New Roman"/>
          <w:szCs w:val="24"/>
        </w:rPr>
        <w:t xml:space="preserve"> </w:t>
      </w:r>
      <w:r w:rsidR="003C2E95" w:rsidRPr="003C2E95">
        <w:rPr>
          <w:rFonts w:ascii="Times New Roman" w:hAnsi="Times New Roman" w:cs="Times New Roman"/>
          <w:szCs w:val="24"/>
          <w:u w:val="single"/>
        </w:rPr>
        <w:t>$4,500</w:t>
      </w:r>
      <w:r w:rsidR="003C2E95">
        <w:rPr>
          <w:rFonts w:ascii="Times New Roman" w:hAnsi="Times New Roman" w:cs="Times New Roman"/>
          <w:szCs w:val="24"/>
        </w:rPr>
        <w:t xml:space="preserve"> </w:t>
      </w:r>
      <w:r w:rsidRPr="003C2E95">
        <w:rPr>
          <w:rFonts w:ascii="Times New Roman" w:hAnsi="Times New Roman" w:cs="Times New Roman"/>
          <w:szCs w:val="24"/>
        </w:rPr>
        <w:t>per MW per hour; or</w:t>
      </w:r>
    </w:p>
    <w:p w:rsidR="00023A1F" w:rsidRPr="003C2E95" w:rsidRDefault="00023A1F" w:rsidP="00E830C1">
      <w:pPr>
        <w:pStyle w:val="ListParagraph"/>
        <w:spacing w:line="240" w:lineRule="auto"/>
        <w:ind w:left="2880" w:hanging="720"/>
        <w:jc w:val="both"/>
        <w:rPr>
          <w:rFonts w:ascii="Times New Roman" w:hAnsi="Times New Roman" w:cs="Times New Roman"/>
          <w:szCs w:val="24"/>
        </w:rPr>
      </w:pPr>
      <w:r w:rsidRPr="003C2E95">
        <w:rPr>
          <w:rFonts w:ascii="Times New Roman" w:hAnsi="Times New Roman" w:cs="Times New Roman"/>
          <w:szCs w:val="24"/>
        </w:rPr>
        <w:t>(ii)</w:t>
      </w:r>
      <w:r w:rsidRPr="003C2E95">
        <w:rPr>
          <w:rFonts w:ascii="Times New Roman" w:hAnsi="Times New Roman" w:cs="Times New Roman"/>
          <w:szCs w:val="24"/>
        </w:rPr>
        <w:tab/>
        <w:t>50 times the natural gas price index value determined by ERCOT, expressed in dollars per MWh and dollars per MW per hour.</w:t>
      </w:r>
    </w:p>
    <w:p w:rsidR="00023A1F" w:rsidRPr="003C2E95" w:rsidRDefault="00023A1F" w:rsidP="00E830C1">
      <w:pPr>
        <w:pStyle w:val="ListParagraph"/>
        <w:spacing w:line="240" w:lineRule="auto"/>
        <w:ind w:left="2160" w:hanging="720"/>
        <w:jc w:val="both"/>
        <w:rPr>
          <w:rFonts w:ascii="Times New Roman" w:hAnsi="Times New Roman" w:cs="Times New Roman"/>
          <w:szCs w:val="24"/>
        </w:rPr>
      </w:pPr>
      <w:r w:rsidRPr="003C2E95">
        <w:rPr>
          <w:rFonts w:ascii="Times New Roman" w:hAnsi="Times New Roman" w:cs="Times New Roman"/>
          <w:szCs w:val="24"/>
        </w:rPr>
        <w:t>(B)</w:t>
      </w:r>
      <w:r w:rsidRPr="003C2E95">
        <w:rPr>
          <w:rFonts w:ascii="Times New Roman" w:hAnsi="Times New Roman" w:cs="Times New Roman"/>
          <w:szCs w:val="24"/>
        </w:rPr>
        <w:tab/>
        <w:t xml:space="preserve">The </w:t>
      </w:r>
      <w:bookmarkStart w:id="3" w:name="OLE_LINK1"/>
      <w:r w:rsidRPr="003C2E95">
        <w:rPr>
          <w:rFonts w:ascii="Times New Roman" w:hAnsi="Times New Roman" w:cs="Times New Roman"/>
          <w:szCs w:val="24"/>
        </w:rPr>
        <w:t>high system-wide offer cap (HCAP)</w:t>
      </w:r>
      <w:bookmarkEnd w:id="3"/>
      <w:r w:rsidRPr="003C2E95">
        <w:rPr>
          <w:rFonts w:ascii="Times New Roman" w:hAnsi="Times New Roman" w:cs="Times New Roman"/>
          <w:szCs w:val="24"/>
        </w:rPr>
        <w:t xml:space="preserve"> will be $9,000 per MWh and $9,000 per MW per hour.</w:t>
      </w:r>
      <w:r w:rsidRPr="003C2E95">
        <w:rPr>
          <w:rStyle w:val="CommentReference"/>
          <w:rFonts w:ascii="Times New Roman" w:hAnsi="Times New Roman" w:cs="Times New Roman"/>
        </w:rPr>
        <w:t xml:space="preserve"> </w:t>
      </w:r>
    </w:p>
    <w:p w:rsidR="00023A1F" w:rsidRPr="003C2E95" w:rsidRDefault="00023A1F" w:rsidP="00E830C1">
      <w:pPr>
        <w:pStyle w:val="ListParagraph"/>
        <w:spacing w:line="240" w:lineRule="auto"/>
        <w:ind w:left="2160" w:hanging="720"/>
        <w:rPr>
          <w:rFonts w:ascii="Times New Roman" w:hAnsi="Times New Roman" w:cs="Times New Roman"/>
        </w:rPr>
      </w:pPr>
      <w:r w:rsidRPr="003C2E95">
        <w:rPr>
          <w:rFonts w:ascii="Times New Roman" w:hAnsi="Times New Roman" w:cs="Times New Roman"/>
        </w:rPr>
        <w:t>(C)</w:t>
      </w:r>
      <w:r w:rsidRPr="003C2E95">
        <w:rPr>
          <w:rFonts w:ascii="Times New Roman" w:hAnsi="Times New Roman" w:cs="Times New Roman"/>
        </w:rPr>
        <w:tab/>
        <w:t xml:space="preserve">The </w:t>
      </w:r>
      <w:r w:rsidRPr="003C2E95">
        <w:rPr>
          <w:rFonts w:ascii="Times New Roman" w:hAnsi="Times New Roman" w:cs="Times New Roman"/>
          <w:strike/>
        </w:rPr>
        <w:t>system-wide offer cap</w:t>
      </w:r>
      <w:r w:rsidRPr="003C2E95">
        <w:rPr>
          <w:rFonts w:ascii="Times New Roman" w:hAnsi="Times New Roman" w:cs="Times New Roman"/>
        </w:rPr>
        <w:t xml:space="preserve"> </w:t>
      </w:r>
      <w:r w:rsidR="003C2E95" w:rsidRPr="003C2E95">
        <w:rPr>
          <w:rFonts w:ascii="Times New Roman" w:hAnsi="Times New Roman" w:cs="Times New Roman"/>
          <w:u w:val="single"/>
        </w:rPr>
        <w:t>SWOC</w:t>
      </w:r>
      <w:r w:rsidR="003C2E95">
        <w:rPr>
          <w:rFonts w:ascii="Times New Roman" w:hAnsi="Times New Roman" w:cs="Times New Roman"/>
          <w:u w:val="single"/>
        </w:rPr>
        <w:t xml:space="preserve"> and VOLL</w:t>
      </w:r>
      <w:r w:rsidR="003C2E95">
        <w:rPr>
          <w:rFonts w:ascii="Times New Roman" w:hAnsi="Times New Roman" w:cs="Times New Roman"/>
        </w:rPr>
        <w:t xml:space="preserve"> </w:t>
      </w:r>
      <w:r w:rsidRPr="003C2E95">
        <w:rPr>
          <w:rFonts w:ascii="Times New Roman" w:hAnsi="Times New Roman" w:cs="Times New Roman"/>
        </w:rPr>
        <w:t xml:space="preserve">will be set equal to the HCAP at the beginning of each calendar year and maintained at this level </w:t>
      </w:r>
      <w:proofErr w:type="gramStart"/>
      <w:r w:rsidRPr="003C2E95">
        <w:rPr>
          <w:rFonts w:ascii="Times New Roman" w:hAnsi="Times New Roman" w:cs="Times New Roman"/>
        </w:rPr>
        <w:t>as long as</w:t>
      </w:r>
      <w:proofErr w:type="gramEnd"/>
      <w:r w:rsidRPr="003C2E95">
        <w:rPr>
          <w:rFonts w:ascii="Times New Roman" w:hAnsi="Times New Roman" w:cs="Times New Roman"/>
        </w:rPr>
        <w:t xml:space="preserve"> the peaker net margin during a calendar year does not exceed a threshold of three times the cost of new entry of new generation plants. </w:t>
      </w:r>
    </w:p>
    <w:p w:rsidR="00023A1F" w:rsidRPr="00F31F87" w:rsidRDefault="00023A1F" w:rsidP="00E830C1">
      <w:pPr>
        <w:pStyle w:val="ListParagraph"/>
        <w:spacing w:line="240" w:lineRule="auto"/>
        <w:ind w:left="2160" w:hanging="720"/>
        <w:jc w:val="both"/>
        <w:rPr>
          <w:rFonts w:ascii="Times New Roman" w:hAnsi="Times New Roman" w:cs="Times New Roman"/>
          <w:strike/>
          <w:szCs w:val="24"/>
        </w:rPr>
      </w:pPr>
      <w:r w:rsidRPr="003C2E95">
        <w:rPr>
          <w:rFonts w:ascii="Times New Roman" w:hAnsi="Times New Roman" w:cs="Times New Roman"/>
          <w:szCs w:val="24"/>
        </w:rPr>
        <w:t>(D)</w:t>
      </w:r>
      <w:r w:rsidRPr="003C2E95">
        <w:rPr>
          <w:rFonts w:ascii="Times New Roman" w:hAnsi="Times New Roman" w:cs="Times New Roman"/>
          <w:szCs w:val="24"/>
        </w:rPr>
        <w:tab/>
        <w:t xml:space="preserve">If the peaker net margin exceeds the threshold established in subparagraph (C) of this paragraph during a calendar year, the </w:t>
      </w:r>
      <w:r w:rsidR="003C2E95" w:rsidRPr="003C2E95">
        <w:rPr>
          <w:rFonts w:ascii="Times New Roman" w:hAnsi="Times New Roman" w:cs="Times New Roman"/>
          <w:strike/>
        </w:rPr>
        <w:t>system-wide offer cap</w:t>
      </w:r>
      <w:r w:rsidR="003C2E95" w:rsidRPr="003C2E95">
        <w:rPr>
          <w:rFonts w:ascii="Times New Roman" w:hAnsi="Times New Roman" w:cs="Times New Roman"/>
        </w:rPr>
        <w:t xml:space="preserve"> </w:t>
      </w:r>
      <w:r w:rsidR="003C2E95" w:rsidRPr="003C2E95">
        <w:rPr>
          <w:rFonts w:ascii="Times New Roman" w:hAnsi="Times New Roman" w:cs="Times New Roman"/>
          <w:u w:val="single"/>
        </w:rPr>
        <w:t>SWOC</w:t>
      </w:r>
      <w:r w:rsidR="003C2E95">
        <w:rPr>
          <w:rFonts w:ascii="Times New Roman" w:hAnsi="Times New Roman" w:cs="Times New Roman"/>
          <w:u w:val="single"/>
        </w:rPr>
        <w:t xml:space="preserve"> and VOLL</w:t>
      </w:r>
      <w:r w:rsidR="003C2E95">
        <w:rPr>
          <w:rFonts w:ascii="Times New Roman" w:hAnsi="Times New Roman" w:cs="Times New Roman"/>
        </w:rPr>
        <w:t xml:space="preserve"> </w:t>
      </w:r>
      <w:r w:rsidRPr="003C2E95">
        <w:rPr>
          <w:rFonts w:ascii="Times New Roman" w:hAnsi="Times New Roman" w:cs="Times New Roman"/>
          <w:szCs w:val="24"/>
        </w:rPr>
        <w:t xml:space="preserve">will be set to the LCAP for the remainder of that calendar year.  In this event, ERCOT will </w:t>
      </w:r>
      <w:r w:rsidRPr="00F31F87">
        <w:rPr>
          <w:rFonts w:ascii="Times New Roman" w:hAnsi="Times New Roman" w:cs="Times New Roman"/>
          <w:strike/>
          <w:szCs w:val="24"/>
        </w:rPr>
        <w:t>not apply</w:t>
      </w:r>
      <w:r w:rsidRPr="003C2E95">
        <w:rPr>
          <w:rFonts w:ascii="Times New Roman" w:hAnsi="Times New Roman" w:cs="Times New Roman"/>
          <w:szCs w:val="24"/>
        </w:rPr>
        <w:t xml:space="preserve"> </w:t>
      </w:r>
      <w:r w:rsidR="00F31F87">
        <w:rPr>
          <w:rFonts w:ascii="Times New Roman" w:hAnsi="Times New Roman" w:cs="Times New Roman"/>
          <w:szCs w:val="24"/>
          <w:u w:val="single"/>
        </w:rPr>
        <w:t xml:space="preserve">utilize these inputs for </w:t>
      </w:r>
      <w:r w:rsidRPr="003C2E95">
        <w:rPr>
          <w:rFonts w:ascii="Times New Roman" w:hAnsi="Times New Roman" w:cs="Times New Roman"/>
          <w:szCs w:val="24"/>
        </w:rPr>
        <w:t xml:space="preserve">any administrative pricing mechanism, such as the operating reserve demand curve or the reliability deployment price adder, for the remainder of that calendar year.  </w:t>
      </w:r>
      <w:r w:rsidRPr="00F31F87">
        <w:rPr>
          <w:rFonts w:ascii="Times New Roman" w:hAnsi="Times New Roman" w:cs="Times New Roman"/>
          <w:strike/>
          <w:szCs w:val="24"/>
        </w:rPr>
        <w:t>Energy prices will not exceed the LCAP for the remainder of that calendar year.</w:t>
      </w:r>
    </w:p>
    <w:p w:rsidR="00023A1F" w:rsidRPr="003C2E95" w:rsidRDefault="00023A1F" w:rsidP="00E830C1">
      <w:pPr>
        <w:pStyle w:val="ListParagraph"/>
        <w:spacing w:after="240" w:line="240" w:lineRule="auto"/>
        <w:ind w:left="2160" w:hanging="720"/>
        <w:contextualSpacing w:val="0"/>
        <w:jc w:val="both"/>
        <w:rPr>
          <w:rFonts w:ascii="Times New Roman" w:hAnsi="Times New Roman" w:cs="Times New Roman"/>
          <w:szCs w:val="24"/>
        </w:rPr>
      </w:pPr>
      <w:r w:rsidRPr="003C2E95">
        <w:rPr>
          <w:rFonts w:ascii="Times New Roman" w:hAnsi="Times New Roman" w:cs="Times New Roman"/>
          <w:szCs w:val="24"/>
        </w:rPr>
        <w:t>(E)</w:t>
      </w:r>
      <w:r w:rsidRPr="003C2E95">
        <w:rPr>
          <w:rFonts w:ascii="Times New Roman" w:hAnsi="Times New Roman" w:cs="Times New Roman"/>
          <w:szCs w:val="24"/>
        </w:rPr>
        <w:tab/>
        <w:t xml:space="preserve">The Independent Market Monitor, as part of its responsibilities under Public Utility Regulatory Act §39.1515(h), may conduct an annual review of the effectiveness of the </w:t>
      </w:r>
      <w:r w:rsidR="006C7213" w:rsidRPr="003C2E95">
        <w:rPr>
          <w:rFonts w:ascii="Times New Roman" w:hAnsi="Times New Roman" w:cs="Times New Roman"/>
          <w:strike/>
          <w:szCs w:val="24"/>
        </w:rPr>
        <w:t>SPM</w:t>
      </w:r>
      <w:r w:rsidR="006C7213">
        <w:rPr>
          <w:rFonts w:ascii="Times New Roman" w:hAnsi="Times New Roman" w:cs="Times New Roman"/>
          <w:szCs w:val="24"/>
        </w:rPr>
        <w:t xml:space="preserve"> </w:t>
      </w:r>
      <w:r w:rsidR="00EC659B">
        <w:rPr>
          <w:rFonts w:ascii="Times New Roman" w:hAnsi="Times New Roman" w:cs="Times New Roman"/>
          <w:szCs w:val="24"/>
          <w:u w:val="single"/>
        </w:rPr>
        <w:t xml:space="preserve">scarcity pricing parameters </w:t>
      </w:r>
      <w:r w:rsidR="006C7213">
        <w:rPr>
          <w:rFonts w:ascii="Times New Roman" w:hAnsi="Times New Roman" w:cs="Times New Roman"/>
          <w:szCs w:val="24"/>
          <w:u w:val="single"/>
        </w:rPr>
        <w:t>at incentivizing an appropriate level of resource adequacy</w:t>
      </w:r>
      <w:r w:rsidRPr="003C2E95">
        <w:rPr>
          <w:rFonts w:ascii="Times New Roman" w:hAnsi="Times New Roman" w:cs="Times New Roman"/>
          <w:szCs w:val="24"/>
        </w:rPr>
        <w:t xml:space="preserve">. </w:t>
      </w:r>
    </w:p>
    <w:p w:rsidR="001A76B9" w:rsidRPr="00AE4425" w:rsidRDefault="001A76B9" w:rsidP="001A76B9">
      <w:pPr>
        <w:pStyle w:val="annettes"/>
        <w:spacing w:before="240" w:after="240" w:line="240" w:lineRule="auto"/>
        <w:ind w:left="1440" w:hanging="720"/>
        <w:rPr>
          <w:rFonts w:cs="Times New Roman"/>
          <w:szCs w:val="24"/>
          <w:u w:val="single"/>
        </w:rPr>
      </w:pPr>
      <w:r>
        <w:rPr>
          <w:rFonts w:cs="Times New Roman"/>
          <w:szCs w:val="24"/>
        </w:rPr>
        <w:t>B.</w:t>
      </w:r>
      <w:r>
        <w:rPr>
          <w:rFonts w:cs="Times New Roman"/>
          <w:szCs w:val="24"/>
        </w:rPr>
        <w:tab/>
      </w:r>
      <w:r w:rsidR="001F347E" w:rsidRPr="00D75D66">
        <w:rPr>
          <w:rFonts w:cs="Times New Roman"/>
          <w:szCs w:val="24"/>
          <w:u w:val="single"/>
        </w:rPr>
        <w:t>Commission’s</w:t>
      </w:r>
      <w:r w:rsidR="001F347E">
        <w:rPr>
          <w:rFonts w:cs="Times New Roman"/>
          <w:szCs w:val="24"/>
        </w:rPr>
        <w:t xml:space="preserve"> </w:t>
      </w:r>
      <w:r w:rsidR="001F347E">
        <w:rPr>
          <w:rFonts w:cs="Times New Roman"/>
          <w:szCs w:val="24"/>
          <w:u w:val="single"/>
        </w:rPr>
        <w:t>p</w:t>
      </w:r>
      <w:r w:rsidRPr="00AE4425">
        <w:rPr>
          <w:rFonts w:cs="Times New Roman"/>
          <w:szCs w:val="24"/>
          <w:u w:val="single"/>
        </w:rPr>
        <w:t xml:space="preserve">roposed </w:t>
      </w:r>
      <w:r>
        <w:rPr>
          <w:rFonts w:cs="Times New Roman"/>
          <w:szCs w:val="24"/>
          <w:u w:val="single"/>
        </w:rPr>
        <w:t>r</w:t>
      </w:r>
      <w:r w:rsidRPr="00AE4425">
        <w:rPr>
          <w:rFonts w:cs="Times New Roman"/>
          <w:szCs w:val="24"/>
          <w:u w:val="single"/>
        </w:rPr>
        <w:t xml:space="preserve">ule </w:t>
      </w:r>
      <w:r>
        <w:rPr>
          <w:rFonts w:cs="Times New Roman"/>
          <w:szCs w:val="24"/>
          <w:u w:val="single"/>
        </w:rPr>
        <w:t>s</w:t>
      </w:r>
      <w:r w:rsidRPr="00AE4425">
        <w:rPr>
          <w:rFonts w:cs="Times New Roman"/>
          <w:szCs w:val="24"/>
          <w:u w:val="single"/>
        </w:rPr>
        <w:t xml:space="preserve">tyle change from “Resource Adequacy” to “Requirements and the Scarcity Pricing </w:t>
      </w:r>
      <w:r w:rsidR="001F347E">
        <w:rPr>
          <w:rFonts w:cs="Times New Roman"/>
          <w:szCs w:val="24"/>
          <w:u w:val="single"/>
        </w:rPr>
        <w:t>Mechanism</w:t>
      </w:r>
      <w:r w:rsidRPr="00AE4425">
        <w:rPr>
          <w:rFonts w:cs="Times New Roman"/>
          <w:szCs w:val="24"/>
          <w:u w:val="single"/>
        </w:rPr>
        <w:t>”</w:t>
      </w:r>
    </w:p>
    <w:p w:rsidR="001A76B9" w:rsidRPr="00E626DE" w:rsidRDefault="001A76B9" w:rsidP="001A76B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an initial matter, the </w:t>
      </w:r>
      <w:r w:rsidR="00935DE5">
        <w:rPr>
          <w:rFonts w:ascii="Times New Roman" w:hAnsi="Times New Roman" w:cs="Times New Roman"/>
          <w:sz w:val="24"/>
          <w:szCs w:val="24"/>
        </w:rPr>
        <w:t xml:space="preserve">proposed </w:t>
      </w:r>
      <w:r>
        <w:rPr>
          <w:rFonts w:ascii="Times New Roman" w:hAnsi="Times New Roman" w:cs="Times New Roman"/>
          <w:sz w:val="24"/>
          <w:szCs w:val="24"/>
        </w:rPr>
        <w:t>title “Scarcity Pricing Mechanism” is a bit of a misnomer for a rule that defines a trigger for reducing the SWOC to the LCAP and thus places a limit on scarcity pricing rather than creates a mechanism for scarcity pricing to occur. T</w:t>
      </w:r>
      <w:r w:rsidRPr="00E626DE">
        <w:rPr>
          <w:rFonts w:ascii="Times New Roman" w:hAnsi="Times New Roman" w:cs="Times New Roman"/>
          <w:sz w:val="24"/>
          <w:szCs w:val="24"/>
        </w:rPr>
        <w:t xml:space="preserve">he Commission </w:t>
      </w:r>
      <w:r>
        <w:rPr>
          <w:rFonts w:ascii="Times New Roman" w:hAnsi="Times New Roman" w:cs="Times New Roman"/>
          <w:sz w:val="24"/>
          <w:szCs w:val="24"/>
        </w:rPr>
        <w:t>should</w:t>
      </w:r>
      <w:r w:rsidRPr="00E626DE">
        <w:rPr>
          <w:rFonts w:ascii="Times New Roman" w:hAnsi="Times New Roman" w:cs="Times New Roman"/>
          <w:sz w:val="24"/>
          <w:szCs w:val="24"/>
        </w:rPr>
        <w:t xml:space="preserve"> consider a more descriptive titling, such as </w:t>
      </w:r>
      <w:r>
        <w:rPr>
          <w:rFonts w:ascii="Times New Roman" w:hAnsi="Times New Roman" w:cs="Times New Roman"/>
          <w:sz w:val="24"/>
          <w:szCs w:val="24"/>
        </w:rPr>
        <w:t>“Scarcity P</w:t>
      </w:r>
      <w:r w:rsidRPr="00E626DE">
        <w:rPr>
          <w:rFonts w:ascii="Times New Roman" w:hAnsi="Times New Roman" w:cs="Times New Roman"/>
          <w:sz w:val="24"/>
          <w:szCs w:val="24"/>
        </w:rPr>
        <w:t>ricing Parameters</w:t>
      </w:r>
      <w:r>
        <w:rPr>
          <w:rFonts w:ascii="Times New Roman" w:hAnsi="Times New Roman" w:cs="Times New Roman"/>
          <w:sz w:val="24"/>
          <w:szCs w:val="24"/>
        </w:rPr>
        <w:t>.</w:t>
      </w:r>
      <w:r w:rsidRPr="00E626DE">
        <w:rPr>
          <w:rFonts w:ascii="Times New Roman" w:hAnsi="Times New Roman" w:cs="Times New Roman"/>
          <w:sz w:val="24"/>
          <w:szCs w:val="24"/>
        </w:rPr>
        <w:t>”</w:t>
      </w:r>
      <w:r>
        <w:rPr>
          <w:rFonts w:ascii="Times New Roman" w:hAnsi="Times New Roman" w:cs="Times New Roman"/>
          <w:sz w:val="24"/>
          <w:szCs w:val="24"/>
        </w:rPr>
        <w:t xml:space="preserve"> The latter would be especially appropriate if the Commission implements TCPA’s suggestion to define VOLL in the rule, since VOLL is one of the primary inputs to the ORDC, which is more accurately described as the scarcity pricing mechanism for the ERCOT market.</w:t>
      </w:r>
      <w:r w:rsidRPr="00E626DE">
        <w:rPr>
          <w:rFonts w:ascii="Times New Roman" w:hAnsi="Times New Roman" w:cs="Times New Roman"/>
          <w:sz w:val="24"/>
          <w:szCs w:val="24"/>
        </w:rPr>
        <w:t xml:space="preserve"> </w:t>
      </w:r>
    </w:p>
    <w:p w:rsidR="00AC27BE" w:rsidRPr="00AE4425" w:rsidRDefault="00E830C1" w:rsidP="00E830C1">
      <w:pPr>
        <w:pStyle w:val="annettes"/>
        <w:spacing w:after="240" w:line="240" w:lineRule="auto"/>
        <w:ind w:left="1440" w:hanging="720"/>
        <w:rPr>
          <w:rFonts w:cs="Times New Roman"/>
          <w:szCs w:val="24"/>
          <w:u w:val="single"/>
        </w:rPr>
      </w:pPr>
      <w:r>
        <w:rPr>
          <w:rFonts w:cs="Times New Roman"/>
          <w:szCs w:val="24"/>
        </w:rPr>
        <w:t>C.</w:t>
      </w:r>
      <w:r>
        <w:rPr>
          <w:rFonts w:cs="Times New Roman"/>
          <w:szCs w:val="24"/>
        </w:rPr>
        <w:tab/>
      </w:r>
      <w:r w:rsidR="001F347E" w:rsidRPr="00D75D66">
        <w:rPr>
          <w:rFonts w:cs="Times New Roman"/>
          <w:szCs w:val="24"/>
          <w:u w:val="single"/>
        </w:rPr>
        <w:t>Commission’s p</w:t>
      </w:r>
      <w:r>
        <w:rPr>
          <w:rFonts w:cs="Times New Roman"/>
          <w:szCs w:val="24"/>
          <w:u w:val="single"/>
        </w:rPr>
        <w:t>roposed d</w:t>
      </w:r>
      <w:r w:rsidR="0057686D" w:rsidRPr="00AE4425">
        <w:rPr>
          <w:rFonts w:cs="Times New Roman"/>
          <w:szCs w:val="24"/>
          <w:u w:val="single"/>
        </w:rPr>
        <w:t xml:space="preserve">eletion of </w:t>
      </w:r>
      <w:r w:rsidR="00AE4425">
        <w:rPr>
          <w:rFonts w:cs="Times New Roman"/>
          <w:szCs w:val="24"/>
          <w:u w:val="single"/>
        </w:rPr>
        <w:t xml:space="preserve">current </w:t>
      </w:r>
      <w:r w:rsidR="0057686D" w:rsidRPr="00AE4425">
        <w:rPr>
          <w:rFonts w:cs="Times New Roman"/>
          <w:szCs w:val="24"/>
          <w:u w:val="single"/>
        </w:rPr>
        <w:t>subsection (f)</w:t>
      </w:r>
    </w:p>
    <w:p w:rsidR="008B7BA2" w:rsidRDefault="0057686D" w:rsidP="008B7BA2">
      <w:pPr>
        <w:pStyle w:val="annettes"/>
        <w:rPr>
          <w:rFonts w:cs="Times New Roman"/>
          <w:szCs w:val="24"/>
        </w:rPr>
      </w:pPr>
      <w:r>
        <w:rPr>
          <w:rFonts w:cs="Times New Roman"/>
          <w:szCs w:val="24"/>
        </w:rPr>
        <w:lastRenderedPageBreak/>
        <w:tab/>
        <w:t>TCPA appreciates the intent of streamlining the rule and current subsection (f)</w:t>
      </w:r>
      <w:r w:rsidRPr="0057686D">
        <w:rPr>
          <w:rFonts w:cs="Times New Roman"/>
          <w:szCs w:val="24"/>
        </w:rPr>
        <w:t xml:space="preserve"> </w:t>
      </w:r>
      <w:proofErr w:type="gramStart"/>
      <w:r>
        <w:rPr>
          <w:rFonts w:cs="Times New Roman"/>
          <w:szCs w:val="24"/>
        </w:rPr>
        <w:t>in particular, but</w:t>
      </w:r>
      <w:proofErr w:type="gramEnd"/>
      <w:r>
        <w:rPr>
          <w:rFonts w:cs="Times New Roman"/>
          <w:szCs w:val="24"/>
        </w:rPr>
        <w:t xml:space="preserve"> TCPA believes a whole-cloth deletion of current subsection (f) is an over-correction.</w:t>
      </w:r>
      <w:r w:rsidR="00CD2228">
        <w:rPr>
          <w:rFonts w:cs="Times New Roman"/>
          <w:szCs w:val="24"/>
        </w:rPr>
        <w:t xml:space="preserve"> </w:t>
      </w:r>
      <w:r>
        <w:rPr>
          <w:rFonts w:cs="Times New Roman"/>
          <w:szCs w:val="24"/>
        </w:rPr>
        <w:t xml:space="preserve">The data that the rule requires ERCOT to publish in that subsection includes information that is critical to supporting transparency of the ERCOT wholesale electricity market. Market participants use that information to calibrate their market models, evaluate proposed market design changes, and most importantly, quickly identify and support policy discussions to address market issues when they arise. </w:t>
      </w:r>
      <w:r w:rsidR="008B7BA2">
        <w:rPr>
          <w:rFonts w:cs="Times New Roman"/>
          <w:szCs w:val="24"/>
        </w:rPr>
        <w:t>Accordingly</w:t>
      </w:r>
      <w:r>
        <w:rPr>
          <w:rFonts w:cs="Times New Roman"/>
          <w:szCs w:val="24"/>
        </w:rPr>
        <w:t>, TCPA recommends retaining the current subsection (f) while streamlining to eliminate outdated references and making other minor clean-ups</w:t>
      </w:r>
      <w:r w:rsidR="00F23D52">
        <w:rPr>
          <w:rFonts w:cs="Times New Roman"/>
          <w:szCs w:val="24"/>
        </w:rPr>
        <w:t>; should the Commission adopt this suggestion then the definition of “event trigger” in subsection (b) of the existing rule also should be retained</w:t>
      </w:r>
      <w:r>
        <w:rPr>
          <w:rFonts w:cs="Times New Roman"/>
          <w:szCs w:val="24"/>
        </w:rPr>
        <w:t>.</w:t>
      </w:r>
      <w:r w:rsidR="008B7BA2">
        <w:rPr>
          <w:rFonts w:cs="Times New Roman"/>
          <w:szCs w:val="24"/>
        </w:rPr>
        <w:t xml:space="preserve"> In addition, as noted above under the response to the preamble question, </w:t>
      </w:r>
      <w:r w:rsidR="0099153A">
        <w:rPr>
          <w:rFonts w:cs="Times New Roman"/>
          <w:szCs w:val="24"/>
        </w:rPr>
        <w:t>if</w:t>
      </w:r>
      <w:r w:rsidR="00CD2228">
        <w:rPr>
          <w:rFonts w:cs="Times New Roman"/>
          <w:szCs w:val="24"/>
        </w:rPr>
        <w:t xml:space="preserve"> the Commission accepts TCPA’s suggestion to strike the LCAP, </w:t>
      </w:r>
      <w:r w:rsidR="008B7BA2">
        <w:rPr>
          <w:rFonts w:cs="Times New Roman"/>
          <w:szCs w:val="24"/>
        </w:rPr>
        <w:t xml:space="preserve">TCPA recommends moving the requirement for ERCOT to report the PNM on a daily basis to </w:t>
      </w:r>
      <w:r w:rsidR="00CD2228">
        <w:rPr>
          <w:rFonts w:cs="Times New Roman"/>
          <w:szCs w:val="24"/>
        </w:rPr>
        <w:t>subsection (f)</w:t>
      </w:r>
      <w:r w:rsidR="008B7BA2">
        <w:rPr>
          <w:rFonts w:cs="Times New Roman"/>
          <w:szCs w:val="24"/>
        </w:rPr>
        <w:t xml:space="preserve">, as reflected below; otherwise, if the Commission retains the LCAP, then </w:t>
      </w:r>
      <w:r w:rsidR="00CD2228">
        <w:rPr>
          <w:rFonts w:cs="Times New Roman"/>
          <w:szCs w:val="24"/>
        </w:rPr>
        <w:t xml:space="preserve">there is no need to add the proposed </w:t>
      </w:r>
      <w:r w:rsidR="008B7BA2">
        <w:rPr>
          <w:rFonts w:cs="Times New Roman"/>
          <w:szCs w:val="24"/>
        </w:rPr>
        <w:t xml:space="preserve">subsection (1) </w:t>
      </w:r>
      <w:r w:rsidR="00CD2228">
        <w:rPr>
          <w:rFonts w:cs="Times New Roman"/>
          <w:szCs w:val="24"/>
        </w:rPr>
        <w:t>shown below</w:t>
      </w:r>
      <w:r w:rsidR="001F347E">
        <w:rPr>
          <w:rFonts w:cs="Times New Roman"/>
          <w:szCs w:val="24"/>
        </w:rPr>
        <w:t xml:space="preserve"> (but TCPA still urges the other changes shown regardless of the Commission’s LCAP decision)</w:t>
      </w:r>
      <w:r w:rsidR="008B7BA2">
        <w:rPr>
          <w:rFonts w:cs="Times New Roman"/>
          <w:szCs w:val="24"/>
        </w:rPr>
        <w:t>.</w:t>
      </w:r>
      <w:r w:rsidR="008B7BA2" w:rsidRPr="008B7BA2">
        <w:rPr>
          <w:rStyle w:val="FootnoteReference"/>
          <w:rFonts w:cs="Times New Roman"/>
          <w:szCs w:val="24"/>
        </w:rPr>
        <w:t xml:space="preserve"> </w:t>
      </w:r>
      <w:r w:rsidR="008B7BA2">
        <w:rPr>
          <w:rStyle w:val="FootnoteReference"/>
          <w:rFonts w:cs="Times New Roman"/>
          <w:szCs w:val="24"/>
        </w:rPr>
        <w:footnoteReference w:id="13"/>
      </w:r>
    </w:p>
    <w:p w:rsidR="003129AE" w:rsidRPr="008B7BA2" w:rsidRDefault="003129AE" w:rsidP="003129AE">
      <w:pPr>
        <w:pStyle w:val="Default"/>
        <w:ind w:left="720" w:hanging="720"/>
        <w:jc w:val="both"/>
        <w:rPr>
          <w:rFonts w:ascii="Times New Roman" w:hAnsi="Times New Roman" w:cs="Times New Roman"/>
          <w:sz w:val="22"/>
          <w:szCs w:val="22"/>
        </w:rPr>
      </w:pPr>
      <w:r w:rsidRPr="008B7BA2">
        <w:rPr>
          <w:rFonts w:ascii="Times New Roman" w:hAnsi="Times New Roman" w:cs="Times New Roman"/>
          <w:sz w:val="22"/>
          <w:szCs w:val="22"/>
        </w:rPr>
        <w:t xml:space="preserve">(f) </w:t>
      </w:r>
      <w:r w:rsidRPr="008B7BA2">
        <w:rPr>
          <w:rFonts w:ascii="Times New Roman" w:hAnsi="Times New Roman" w:cs="Times New Roman"/>
          <w:sz w:val="22"/>
          <w:szCs w:val="22"/>
        </w:rPr>
        <w:tab/>
      </w:r>
      <w:r w:rsidRPr="008B7BA2">
        <w:rPr>
          <w:rFonts w:ascii="Times New Roman" w:hAnsi="Times New Roman" w:cs="Times New Roman"/>
          <w:b/>
          <w:bCs/>
          <w:sz w:val="22"/>
          <w:szCs w:val="22"/>
        </w:rPr>
        <w:t xml:space="preserve">Publication of resource and load information in ERCOT markets. </w:t>
      </w:r>
      <w:r w:rsidRPr="008B7BA2">
        <w:rPr>
          <w:rFonts w:ascii="Times New Roman" w:hAnsi="Times New Roman" w:cs="Times New Roman"/>
          <w:sz w:val="22"/>
          <w:szCs w:val="22"/>
        </w:rPr>
        <w:t xml:space="preserve">To </w:t>
      </w:r>
      <w:r w:rsidRPr="008B7BA2">
        <w:rPr>
          <w:rFonts w:ascii="Times New Roman" w:hAnsi="Times New Roman" w:cs="Times New Roman"/>
          <w:strike/>
          <w:sz w:val="22"/>
          <w:szCs w:val="22"/>
        </w:rPr>
        <w:t>increase</w:t>
      </w:r>
      <w:r w:rsidRPr="008B7BA2">
        <w:rPr>
          <w:rFonts w:ascii="Times New Roman" w:hAnsi="Times New Roman" w:cs="Times New Roman"/>
          <w:sz w:val="22"/>
          <w:szCs w:val="22"/>
        </w:rPr>
        <w:t xml:space="preserve"> </w:t>
      </w:r>
      <w:r w:rsidRPr="008B7BA2">
        <w:rPr>
          <w:rFonts w:ascii="Times New Roman" w:hAnsi="Times New Roman" w:cs="Times New Roman"/>
          <w:sz w:val="22"/>
          <w:szCs w:val="22"/>
          <w:u w:val="single"/>
        </w:rPr>
        <w:t xml:space="preserve">support </w:t>
      </w:r>
      <w:r w:rsidRPr="008B7BA2">
        <w:rPr>
          <w:rFonts w:ascii="Times New Roman" w:hAnsi="Times New Roman" w:cs="Times New Roman"/>
          <w:sz w:val="22"/>
          <w:szCs w:val="22"/>
        </w:rPr>
        <w:t xml:space="preserve">the transparency of the ERCOT-administered markets, ERCOT </w:t>
      </w:r>
      <w:r w:rsidRPr="008B7BA2">
        <w:rPr>
          <w:rFonts w:ascii="Times New Roman" w:hAnsi="Times New Roman" w:cs="Times New Roman"/>
          <w:strike/>
          <w:sz w:val="22"/>
          <w:szCs w:val="22"/>
        </w:rPr>
        <w:t>shall</w:t>
      </w:r>
      <w:r w:rsidRPr="008B7BA2">
        <w:rPr>
          <w:rFonts w:ascii="Times New Roman" w:hAnsi="Times New Roman" w:cs="Times New Roman"/>
          <w:sz w:val="22"/>
          <w:szCs w:val="22"/>
        </w:rPr>
        <w:t xml:space="preserve"> </w:t>
      </w:r>
      <w:r w:rsidR="00441E6D" w:rsidRPr="008B7BA2">
        <w:rPr>
          <w:rFonts w:ascii="Times New Roman" w:hAnsi="Times New Roman" w:cs="Times New Roman"/>
          <w:sz w:val="22"/>
          <w:szCs w:val="22"/>
          <w:u w:val="single"/>
        </w:rPr>
        <w:t xml:space="preserve">will </w:t>
      </w:r>
      <w:r w:rsidRPr="008B7BA2">
        <w:rPr>
          <w:rFonts w:ascii="Times New Roman" w:hAnsi="Times New Roman" w:cs="Times New Roman"/>
          <w:sz w:val="22"/>
          <w:szCs w:val="22"/>
        </w:rPr>
        <w:t>post at a publicly accessible location on its website</w:t>
      </w:r>
      <w:r w:rsidRPr="008B7BA2">
        <w:rPr>
          <w:rFonts w:ascii="Times New Roman" w:hAnsi="Times New Roman" w:cs="Times New Roman"/>
          <w:strike/>
          <w:sz w:val="22"/>
          <w:szCs w:val="22"/>
        </w:rPr>
        <w:t>, beginning no later than October 1, 2006,</w:t>
      </w:r>
      <w:r w:rsidRPr="008B7BA2">
        <w:rPr>
          <w:rFonts w:ascii="Times New Roman" w:hAnsi="Times New Roman" w:cs="Times New Roman"/>
          <w:sz w:val="22"/>
          <w:szCs w:val="22"/>
        </w:rPr>
        <w:t xml:space="preserve"> the information required pursuant to this subsection</w:t>
      </w:r>
      <w:r w:rsidRPr="008B7BA2">
        <w:rPr>
          <w:rFonts w:ascii="Times New Roman" w:hAnsi="Times New Roman" w:cs="Times New Roman"/>
          <w:strike/>
          <w:sz w:val="22"/>
          <w:szCs w:val="22"/>
        </w:rPr>
        <w:t>, unless a different date is specified by a paragraph of this subsection</w:t>
      </w:r>
      <w:r w:rsidRPr="008B7BA2">
        <w:rPr>
          <w:rFonts w:ascii="Times New Roman" w:hAnsi="Times New Roman" w:cs="Times New Roman"/>
          <w:sz w:val="22"/>
          <w:szCs w:val="22"/>
        </w:rPr>
        <w:t xml:space="preserve">. </w:t>
      </w:r>
    </w:p>
    <w:p w:rsidR="008B7BA2" w:rsidRPr="008B7BA2" w:rsidRDefault="003129AE" w:rsidP="008B7BA2">
      <w:pPr>
        <w:pStyle w:val="ListParagraph"/>
        <w:spacing w:line="240" w:lineRule="auto"/>
        <w:ind w:left="1440" w:hanging="720"/>
        <w:jc w:val="both"/>
        <w:rPr>
          <w:rFonts w:ascii="Times New Roman" w:hAnsi="Times New Roman" w:cs="Times New Roman"/>
          <w:u w:val="single"/>
        </w:rPr>
      </w:pPr>
      <w:r w:rsidRPr="008B7BA2">
        <w:rPr>
          <w:rFonts w:ascii="Times New Roman" w:hAnsi="Times New Roman" w:cs="Times New Roman"/>
        </w:rPr>
        <w:t>(1)</w:t>
      </w:r>
      <w:r w:rsidRPr="008B7BA2">
        <w:rPr>
          <w:rFonts w:ascii="Times New Roman" w:hAnsi="Times New Roman" w:cs="Times New Roman"/>
          <w:u w:val="single"/>
        </w:rPr>
        <w:t xml:space="preserve"> </w:t>
      </w:r>
      <w:r w:rsidRPr="008B7BA2">
        <w:rPr>
          <w:rFonts w:ascii="Times New Roman" w:hAnsi="Times New Roman" w:cs="Times New Roman"/>
          <w:u w:val="single"/>
        </w:rPr>
        <w:tab/>
      </w:r>
      <w:r w:rsidR="008B7BA2" w:rsidRPr="008B7BA2">
        <w:rPr>
          <w:rFonts w:ascii="Times New Roman" w:hAnsi="Times New Roman" w:cs="Times New Roman"/>
          <w:u w:val="single"/>
        </w:rPr>
        <w:t>Each day, ERCOT will post the updated value of the peaker net margin for the current calendar year, in dollars per megawatt</w:t>
      </w:r>
      <w:r w:rsidR="008B7BA2" w:rsidRPr="00F23D52">
        <w:rPr>
          <w:rFonts w:ascii="Times New Roman" w:hAnsi="Times New Roman" w:cs="Times New Roman"/>
          <w:u w:val="single"/>
        </w:rPr>
        <w:t xml:space="preserve"> (MW), </w:t>
      </w:r>
      <w:r w:rsidR="008B7BA2" w:rsidRPr="008B7BA2">
        <w:rPr>
          <w:rFonts w:ascii="Times New Roman" w:hAnsi="Times New Roman" w:cs="Times New Roman"/>
          <w:u w:val="single"/>
        </w:rPr>
        <w:t>which will be calculated as follows:</w:t>
      </w:r>
    </w:p>
    <w:p w:rsidR="008B7BA2" w:rsidRPr="008B7BA2" w:rsidRDefault="008B7BA2" w:rsidP="008B7BA2">
      <w:pPr>
        <w:pStyle w:val="ListParagraph"/>
        <w:spacing w:line="240" w:lineRule="auto"/>
        <w:ind w:left="2160" w:hanging="720"/>
        <w:jc w:val="both"/>
        <w:rPr>
          <w:rFonts w:ascii="Times New Roman" w:hAnsi="Times New Roman" w:cs="Times New Roman"/>
          <w:u w:val="single"/>
        </w:rPr>
      </w:pPr>
      <w:r w:rsidRPr="008B7BA2">
        <w:rPr>
          <w:rFonts w:ascii="Times New Roman" w:hAnsi="Times New Roman" w:cs="Times New Roman"/>
          <w:u w:val="single"/>
        </w:rPr>
        <w:t>(A)</w:t>
      </w:r>
      <w:r w:rsidRPr="008B7BA2">
        <w:rPr>
          <w:rFonts w:ascii="Times New Roman" w:hAnsi="Times New Roman" w:cs="Times New Roman"/>
          <w:u w:val="single"/>
        </w:rPr>
        <w:tab/>
        <w:t>The peaking operating cost (POC) will be 10 times the natural gas price index value determined by ERCOT.  The POC is calculated in dollars per megawatt-hour (MWh).</w:t>
      </w:r>
    </w:p>
    <w:p w:rsidR="008B7BA2" w:rsidRPr="008B7BA2" w:rsidRDefault="008B7BA2" w:rsidP="008B7BA2">
      <w:pPr>
        <w:pStyle w:val="ListParagraph"/>
        <w:spacing w:line="240" w:lineRule="auto"/>
        <w:ind w:left="2160" w:hanging="720"/>
        <w:jc w:val="both"/>
        <w:rPr>
          <w:rFonts w:ascii="Times New Roman" w:hAnsi="Times New Roman" w:cs="Times New Roman"/>
          <w:u w:val="single"/>
        </w:rPr>
      </w:pPr>
      <w:r w:rsidRPr="008B7BA2">
        <w:rPr>
          <w:rFonts w:ascii="Times New Roman" w:hAnsi="Times New Roman" w:cs="Times New Roman"/>
          <w:u w:val="single"/>
        </w:rPr>
        <w:t>(B)</w:t>
      </w:r>
      <w:r w:rsidRPr="008B7BA2">
        <w:rPr>
          <w:rFonts w:ascii="Times New Roman" w:hAnsi="Times New Roman" w:cs="Times New Roman"/>
          <w:u w:val="single"/>
        </w:rPr>
        <w:tab/>
        <w:t>For the purpose of this section, the real-time energy price (RTEP) shall be measured as an average system-wide price as determined by ERCOT.</w:t>
      </w:r>
    </w:p>
    <w:p w:rsidR="008B7BA2" w:rsidRPr="008B7BA2" w:rsidRDefault="008B7BA2" w:rsidP="008B7BA2">
      <w:pPr>
        <w:pStyle w:val="ListParagraph"/>
        <w:spacing w:line="240" w:lineRule="auto"/>
        <w:ind w:left="2160" w:hanging="720"/>
        <w:jc w:val="both"/>
        <w:rPr>
          <w:rFonts w:ascii="Times New Roman" w:hAnsi="Times New Roman" w:cs="Times New Roman"/>
          <w:u w:val="single"/>
        </w:rPr>
      </w:pPr>
      <w:r w:rsidRPr="008B7BA2">
        <w:rPr>
          <w:rFonts w:ascii="Times New Roman" w:hAnsi="Times New Roman" w:cs="Times New Roman"/>
          <w:u w:val="single"/>
        </w:rPr>
        <w:t>(C)</w:t>
      </w:r>
      <w:r w:rsidRPr="008B7BA2">
        <w:rPr>
          <w:rFonts w:ascii="Times New Roman" w:hAnsi="Times New Roman" w:cs="Times New Roman"/>
          <w:u w:val="single"/>
        </w:rPr>
        <w:tab/>
        <w:t xml:space="preserve">The peaker net margin will be calculated as: </w:t>
      </w:r>
      <w:proofErr w:type="gramStart"/>
      <w:r w:rsidRPr="008B7BA2">
        <w:rPr>
          <w:rFonts w:ascii="Times New Roman" w:hAnsi="Times New Roman" w:cs="Times New Roman"/>
          <w:u w:val="single"/>
        </w:rPr>
        <w:t>∑(</w:t>
      </w:r>
      <w:proofErr w:type="gramEnd"/>
      <w:r w:rsidRPr="008B7BA2">
        <w:rPr>
          <w:rFonts w:ascii="Times New Roman" w:hAnsi="Times New Roman" w:cs="Times New Roman"/>
          <w:u w:val="single"/>
        </w:rPr>
        <w:t>(RTEP – POC) * (number of minutes in a settlement interval / 60 minutes per hour)) for each settlement interval when RTEP – POC &gt;0.</w:t>
      </w:r>
    </w:p>
    <w:p w:rsidR="003129AE" w:rsidRPr="008B7BA2" w:rsidRDefault="008B7BA2" w:rsidP="003129AE">
      <w:pPr>
        <w:pStyle w:val="Default"/>
        <w:ind w:left="1440" w:hanging="720"/>
        <w:jc w:val="both"/>
        <w:rPr>
          <w:rFonts w:ascii="Times New Roman" w:hAnsi="Times New Roman" w:cs="Times New Roman"/>
          <w:sz w:val="22"/>
          <w:szCs w:val="22"/>
        </w:rPr>
      </w:pPr>
      <w:r w:rsidRPr="008B7BA2">
        <w:rPr>
          <w:rFonts w:ascii="Times New Roman" w:hAnsi="Times New Roman" w:cs="Times New Roman"/>
          <w:sz w:val="22"/>
          <w:szCs w:val="22"/>
          <w:u w:val="single"/>
        </w:rPr>
        <w:t>(2)</w:t>
      </w:r>
      <w:r w:rsidRPr="008B7BA2">
        <w:rPr>
          <w:rFonts w:ascii="Times New Roman" w:hAnsi="Times New Roman" w:cs="Times New Roman"/>
          <w:sz w:val="22"/>
          <w:szCs w:val="22"/>
          <w:u w:val="single"/>
        </w:rPr>
        <w:tab/>
      </w:r>
      <w:r w:rsidR="003129AE" w:rsidRPr="008B7BA2">
        <w:rPr>
          <w:rFonts w:ascii="Times New Roman" w:hAnsi="Times New Roman" w:cs="Times New Roman"/>
          <w:sz w:val="22"/>
          <w:szCs w:val="22"/>
        </w:rPr>
        <w:t xml:space="preserve">The following information in aggregated form, for each settlement interval and for each area where available, </w:t>
      </w:r>
      <w:r w:rsidR="003129AE" w:rsidRPr="008B7BA2">
        <w:rPr>
          <w:rFonts w:ascii="Times New Roman" w:hAnsi="Times New Roman" w:cs="Times New Roman"/>
          <w:strike/>
          <w:sz w:val="22"/>
          <w:szCs w:val="22"/>
        </w:rPr>
        <w:t>shall</w:t>
      </w:r>
      <w:r w:rsidR="003129AE" w:rsidRPr="008B7BA2">
        <w:rPr>
          <w:rFonts w:ascii="Times New Roman" w:hAnsi="Times New Roman" w:cs="Times New Roman"/>
          <w:sz w:val="22"/>
          <w:szCs w:val="22"/>
        </w:rPr>
        <w:t xml:space="preserve"> </w:t>
      </w:r>
      <w:r w:rsidR="00441E6D" w:rsidRPr="008B7BA2">
        <w:rPr>
          <w:rFonts w:ascii="Times New Roman" w:hAnsi="Times New Roman" w:cs="Times New Roman"/>
          <w:sz w:val="22"/>
          <w:szCs w:val="22"/>
          <w:u w:val="single"/>
        </w:rPr>
        <w:t xml:space="preserve">will </w:t>
      </w:r>
      <w:r w:rsidR="003129AE" w:rsidRPr="008B7BA2">
        <w:rPr>
          <w:rFonts w:ascii="Times New Roman" w:hAnsi="Times New Roman" w:cs="Times New Roman"/>
          <w:sz w:val="22"/>
          <w:szCs w:val="22"/>
        </w:rPr>
        <w:t xml:space="preserve">be posted two calendar days after the day for which the information is accumulated. </w:t>
      </w:r>
    </w:p>
    <w:p w:rsidR="003129AE" w:rsidRPr="008B7BA2" w:rsidRDefault="003129AE" w:rsidP="003129AE">
      <w:pPr>
        <w:pStyle w:val="Default"/>
        <w:ind w:left="2160" w:hanging="720"/>
        <w:jc w:val="both"/>
        <w:rPr>
          <w:rFonts w:ascii="Times New Roman" w:hAnsi="Times New Roman" w:cs="Times New Roman"/>
          <w:sz w:val="22"/>
          <w:szCs w:val="22"/>
        </w:rPr>
      </w:pPr>
      <w:r w:rsidRPr="008B7BA2">
        <w:rPr>
          <w:rFonts w:ascii="Times New Roman" w:hAnsi="Times New Roman" w:cs="Times New Roman"/>
          <w:sz w:val="22"/>
          <w:szCs w:val="22"/>
        </w:rPr>
        <w:t xml:space="preserve">(A) </w:t>
      </w:r>
      <w:r w:rsidRPr="008B7BA2">
        <w:rPr>
          <w:rFonts w:ascii="Times New Roman" w:hAnsi="Times New Roman" w:cs="Times New Roman"/>
          <w:sz w:val="22"/>
          <w:szCs w:val="22"/>
        </w:rPr>
        <w:tab/>
        <w:t xml:space="preserve">Quantities and prices of offers for energy and each type of ancillary capacity service, in the form of supply curves. </w:t>
      </w:r>
    </w:p>
    <w:p w:rsidR="003129AE" w:rsidRPr="008B7BA2" w:rsidRDefault="003129AE" w:rsidP="003129AE">
      <w:pPr>
        <w:pStyle w:val="Default"/>
        <w:ind w:left="2160" w:hanging="720"/>
        <w:jc w:val="both"/>
        <w:rPr>
          <w:rFonts w:ascii="Times New Roman" w:hAnsi="Times New Roman" w:cs="Times New Roman"/>
          <w:sz w:val="22"/>
          <w:szCs w:val="22"/>
        </w:rPr>
      </w:pPr>
      <w:r w:rsidRPr="008B7BA2">
        <w:rPr>
          <w:rFonts w:ascii="Times New Roman" w:hAnsi="Times New Roman" w:cs="Times New Roman"/>
          <w:sz w:val="22"/>
          <w:szCs w:val="22"/>
        </w:rPr>
        <w:t xml:space="preserve">(B) </w:t>
      </w:r>
      <w:r w:rsidRPr="008B7BA2">
        <w:rPr>
          <w:rFonts w:ascii="Times New Roman" w:hAnsi="Times New Roman" w:cs="Times New Roman"/>
          <w:sz w:val="22"/>
          <w:szCs w:val="22"/>
        </w:rPr>
        <w:tab/>
        <w:t xml:space="preserve">Self-arranged energy and ancillary capacity services, for each type of service. </w:t>
      </w:r>
    </w:p>
    <w:p w:rsidR="003129AE" w:rsidRPr="008B7BA2" w:rsidRDefault="003129AE" w:rsidP="003129AE">
      <w:pPr>
        <w:pStyle w:val="Default"/>
        <w:ind w:left="2160" w:hanging="720"/>
        <w:jc w:val="both"/>
        <w:rPr>
          <w:rFonts w:ascii="Times New Roman" w:hAnsi="Times New Roman" w:cs="Times New Roman"/>
          <w:sz w:val="22"/>
          <w:szCs w:val="22"/>
        </w:rPr>
      </w:pPr>
      <w:r w:rsidRPr="008B7BA2">
        <w:rPr>
          <w:rFonts w:ascii="Times New Roman" w:hAnsi="Times New Roman" w:cs="Times New Roman"/>
          <w:sz w:val="22"/>
          <w:szCs w:val="22"/>
        </w:rPr>
        <w:t xml:space="preserve">(C) </w:t>
      </w:r>
      <w:r w:rsidRPr="008B7BA2">
        <w:rPr>
          <w:rFonts w:ascii="Times New Roman" w:hAnsi="Times New Roman" w:cs="Times New Roman"/>
          <w:sz w:val="22"/>
          <w:szCs w:val="22"/>
        </w:rPr>
        <w:tab/>
        <w:t xml:space="preserve">Actual resource output. </w:t>
      </w:r>
    </w:p>
    <w:p w:rsidR="003129AE" w:rsidRPr="008B7BA2" w:rsidRDefault="003129AE" w:rsidP="003129AE">
      <w:pPr>
        <w:pStyle w:val="Default"/>
        <w:ind w:left="2160" w:hanging="720"/>
        <w:jc w:val="both"/>
        <w:rPr>
          <w:rFonts w:ascii="Times New Roman" w:hAnsi="Times New Roman" w:cs="Times New Roman"/>
          <w:sz w:val="22"/>
          <w:szCs w:val="22"/>
        </w:rPr>
      </w:pPr>
      <w:r w:rsidRPr="008B7BA2">
        <w:rPr>
          <w:rFonts w:ascii="Times New Roman" w:hAnsi="Times New Roman" w:cs="Times New Roman"/>
          <w:sz w:val="22"/>
          <w:szCs w:val="22"/>
        </w:rPr>
        <w:t xml:space="preserve">(D) </w:t>
      </w:r>
      <w:r w:rsidRPr="008B7BA2">
        <w:rPr>
          <w:rFonts w:ascii="Times New Roman" w:hAnsi="Times New Roman" w:cs="Times New Roman"/>
          <w:sz w:val="22"/>
          <w:szCs w:val="22"/>
        </w:rPr>
        <w:tab/>
        <w:t xml:space="preserve">Load and resource output for all entities that dynamically schedule their resources. </w:t>
      </w:r>
    </w:p>
    <w:p w:rsidR="003129AE" w:rsidRPr="008B7BA2" w:rsidRDefault="003129AE" w:rsidP="003129AE">
      <w:pPr>
        <w:pStyle w:val="Default"/>
        <w:ind w:left="2160" w:hanging="720"/>
        <w:jc w:val="both"/>
        <w:rPr>
          <w:rFonts w:ascii="Times New Roman" w:hAnsi="Times New Roman" w:cs="Times New Roman"/>
          <w:sz w:val="22"/>
          <w:szCs w:val="22"/>
        </w:rPr>
      </w:pPr>
      <w:r w:rsidRPr="008B7BA2">
        <w:rPr>
          <w:rFonts w:ascii="Times New Roman" w:hAnsi="Times New Roman" w:cs="Times New Roman"/>
          <w:sz w:val="22"/>
          <w:szCs w:val="22"/>
        </w:rPr>
        <w:lastRenderedPageBreak/>
        <w:t xml:space="preserve">(E) </w:t>
      </w:r>
      <w:r w:rsidRPr="008B7BA2">
        <w:rPr>
          <w:rFonts w:ascii="Times New Roman" w:hAnsi="Times New Roman" w:cs="Times New Roman"/>
          <w:sz w:val="22"/>
          <w:szCs w:val="22"/>
        </w:rPr>
        <w:tab/>
      </w:r>
      <w:r w:rsidRPr="008B7BA2">
        <w:rPr>
          <w:rFonts w:ascii="Times New Roman" w:hAnsi="Times New Roman" w:cs="Times New Roman"/>
          <w:strike/>
          <w:sz w:val="22"/>
          <w:szCs w:val="22"/>
        </w:rPr>
        <w:t>During the operation of the market under a zonal market design, scheduled load and actual load. During the operation of the market under a nodal market design, firm</w:t>
      </w:r>
      <w:r w:rsidRPr="008B7BA2">
        <w:rPr>
          <w:rFonts w:ascii="Times New Roman" w:hAnsi="Times New Roman" w:cs="Times New Roman"/>
          <w:sz w:val="22"/>
          <w:szCs w:val="22"/>
        </w:rPr>
        <w:t xml:space="preserve"> </w:t>
      </w:r>
      <w:proofErr w:type="spellStart"/>
      <w:r w:rsidRPr="008B7BA2">
        <w:rPr>
          <w:rFonts w:ascii="Times New Roman" w:hAnsi="Times New Roman" w:cs="Times New Roman"/>
          <w:sz w:val="22"/>
          <w:szCs w:val="22"/>
          <w:u w:val="single"/>
        </w:rPr>
        <w:t>Firm</w:t>
      </w:r>
      <w:proofErr w:type="spellEnd"/>
      <w:r w:rsidRPr="008B7BA2">
        <w:rPr>
          <w:rFonts w:ascii="Times New Roman" w:hAnsi="Times New Roman" w:cs="Times New Roman"/>
          <w:sz w:val="22"/>
          <w:szCs w:val="22"/>
          <w:u w:val="single"/>
        </w:rPr>
        <w:t xml:space="preserve"> </w:t>
      </w:r>
      <w:r w:rsidRPr="008B7BA2">
        <w:rPr>
          <w:rFonts w:ascii="Times New Roman" w:hAnsi="Times New Roman" w:cs="Times New Roman"/>
          <w:sz w:val="22"/>
          <w:szCs w:val="22"/>
        </w:rPr>
        <w:t xml:space="preserve">scheduled load, scheduled load with “up to” limits on congestion charges, and actual load. </w:t>
      </w:r>
    </w:p>
    <w:p w:rsidR="003129AE" w:rsidRPr="008B7BA2" w:rsidRDefault="003129AE" w:rsidP="003129AE">
      <w:pPr>
        <w:pStyle w:val="Default"/>
        <w:ind w:left="2160" w:hanging="720"/>
        <w:jc w:val="both"/>
        <w:rPr>
          <w:rFonts w:ascii="Times New Roman" w:hAnsi="Times New Roman" w:cs="Times New Roman"/>
          <w:sz w:val="22"/>
          <w:szCs w:val="22"/>
        </w:rPr>
      </w:pPr>
      <w:r w:rsidRPr="008B7BA2">
        <w:rPr>
          <w:rFonts w:ascii="Times New Roman" w:hAnsi="Times New Roman" w:cs="Times New Roman"/>
          <w:sz w:val="22"/>
          <w:szCs w:val="22"/>
        </w:rPr>
        <w:t>(</w:t>
      </w:r>
      <w:r w:rsidRPr="008B7BA2">
        <w:rPr>
          <w:rFonts w:ascii="Times New Roman" w:hAnsi="Times New Roman" w:cs="Times New Roman"/>
          <w:strike/>
          <w:sz w:val="22"/>
          <w:szCs w:val="22"/>
        </w:rPr>
        <w:t>2</w:t>
      </w:r>
      <w:r w:rsidRPr="008B7BA2">
        <w:rPr>
          <w:rFonts w:ascii="Times New Roman" w:hAnsi="Times New Roman" w:cs="Times New Roman"/>
          <w:sz w:val="22"/>
          <w:szCs w:val="22"/>
          <w:u w:val="single"/>
        </w:rPr>
        <w:t>F</w:t>
      </w:r>
      <w:r w:rsidRPr="008B7BA2">
        <w:rPr>
          <w:rFonts w:ascii="Times New Roman" w:hAnsi="Times New Roman" w:cs="Times New Roman"/>
          <w:sz w:val="22"/>
          <w:szCs w:val="22"/>
        </w:rPr>
        <w:t xml:space="preserve">) </w:t>
      </w:r>
      <w:r w:rsidRPr="008B7BA2">
        <w:rPr>
          <w:rFonts w:ascii="Times New Roman" w:hAnsi="Times New Roman" w:cs="Times New Roman"/>
          <w:sz w:val="22"/>
          <w:szCs w:val="22"/>
        </w:rPr>
        <w:tab/>
      </w:r>
      <w:r w:rsidRPr="008B7BA2">
        <w:rPr>
          <w:rFonts w:ascii="Times New Roman" w:hAnsi="Times New Roman" w:cs="Times New Roman"/>
          <w:strike/>
          <w:sz w:val="22"/>
          <w:szCs w:val="22"/>
        </w:rPr>
        <w:t>During the operation of the market under a nodal market design, the following day-ahead market information in aggregate form shall be posted two calendar days after the day for which the information is accumulated: load</w:t>
      </w:r>
      <w:r w:rsidRPr="008B7BA2">
        <w:rPr>
          <w:rFonts w:ascii="Times New Roman" w:hAnsi="Times New Roman" w:cs="Times New Roman"/>
          <w:sz w:val="22"/>
          <w:szCs w:val="22"/>
        </w:rPr>
        <w:t xml:space="preserve"> </w:t>
      </w:r>
      <w:proofErr w:type="spellStart"/>
      <w:r w:rsidRPr="008B7BA2">
        <w:rPr>
          <w:rFonts w:ascii="Times New Roman" w:hAnsi="Times New Roman" w:cs="Times New Roman"/>
          <w:sz w:val="22"/>
          <w:szCs w:val="22"/>
          <w:u w:val="single"/>
        </w:rPr>
        <w:t>Load</w:t>
      </w:r>
      <w:proofErr w:type="spellEnd"/>
      <w:r w:rsidRPr="008B7BA2">
        <w:rPr>
          <w:rFonts w:ascii="Times New Roman" w:hAnsi="Times New Roman" w:cs="Times New Roman"/>
          <w:sz w:val="22"/>
          <w:szCs w:val="22"/>
          <w:u w:val="single"/>
        </w:rPr>
        <w:t xml:space="preserve"> </w:t>
      </w:r>
      <w:r w:rsidRPr="008B7BA2">
        <w:rPr>
          <w:rFonts w:ascii="Times New Roman" w:hAnsi="Times New Roman" w:cs="Times New Roman"/>
          <w:sz w:val="22"/>
          <w:szCs w:val="22"/>
        </w:rPr>
        <w:t xml:space="preserve">bids, including virtual loads, in the form of day-ahead bid curves, and cleared load. </w:t>
      </w:r>
    </w:p>
    <w:p w:rsidR="003129AE" w:rsidRPr="008B7BA2" w:rsidRDefault="003129AE" w:rsidP="003129AE">
      <w:pPr>
        <w:pStyle w:val="Default"/>
        <w:ind w:left="1440" w:hanging="720"/>
        <w:jc w:val="both"/>
        <w:rPr>
          <w:rFonts w:ascii="Times New Roman" w:hAnsi="Times New Roman" w:cs="Times New Roman"/>
          <w:sz w:val="22"/>
          <w:szCs w:val="22"/>
        </w:rPr>
      </w:pPr>
      <w:r w:rsidRPr="008B7BA2">
        <w:rPr>
          <w:rFonts w:ascii="Times New Roman" w:hAnsi="Times New Roman" w:cs="Times New Roman"/>
          <w:sz w:val="22"/>
          <w:szCs w:val="22"/>
        </w:rPr>
        <w:t xml:space="preserve">(3) </w:t>
      </w:r>
      <w:r w:rsidRPr="008B7BA2">
        <w:rPr>
          <w:rFonts w:ascii="Times New Roman" w:hAnsi="Times New Roman" w:cs="Times New Roman"/>
          <w:sz w:val="22"/>
          <w:szCs w:val="22"/>
        </w:rPr>
        <w:tab/>
        <w:t xml:space="preserve">The following information in entity-specific form, for each settlement interval, </w:t>
      </w:r>
      <w:r w:rsidRPr="008B7BA2">
        <w:rPr>
          <w:rFonts w:ascii="Times New Roman" w:hAnsi="Times New Roman" w:cs="Times New Roman"/>
          <w:strike/>
          <w:sz w:val="22"/>
          <w:szCs w:val="22"/>
        </w:rPr>
        <w:t>shall</w:t>
      </w:r>
      <w:r w:rsidRPr="008B7BA2">
        <w:rPr>
          <w:rFonts w:ascii="Times New Roman" w:hAnsi="Times New Roman" w:cs="Times New Roman"/>
          <w:sz w:val="22"/>
          <w:szCs w:val="22"/>
        </w:rPr>
        <w:t xml:space="preserve"> </w:t>
      </w:r>
      <w:r w:rsidR="00441E6D" w:rsidRPr="008B7BA2">
        <w:rPr>
          <w:rFonts w:ascii="Times New Roman" w:hAnsi="Times New Roman" w:cs="Times New Roman"/>
          <w:sz w:val="22"/>
          <w:szCs w:val="22"/>
          <w:u w:val="single"/>
        </w:rPr>
        <w:t xml:space="preserve">will </w:t>
      </w:r>
      <w:r w:rsidRPr="008B7BA2">
        <w:rPr>
          <w:rFonts w:ascii="Times New Roman" w:hAnsi="Times New Roman" w:cs="Times New Roman"/>
          <w:sz w:val="22"/>
          <w:szCs w:val="22"/>
        </w:rPr>
        <w:t xml:space="preserve">be posted as specified </w:t>
      </w:r>
      <w:r w:rsidRPr="008B7BA2">
        <w:rPr>
          <w:rFonts w:ascii="Times New Roman" w:hAnsi="Times New Roman" w:cs="Times New Roman"/>
          <w:strike/>
          <w:sz w:val="22"/>
          <w:szCs w:val="22"/>
        </w:rPr>
        <w:t>in subparagraphs (A) - (E) of this paragraph</w:t>
      </w:r>
      <w:r w:rsidR="00441E6D" w:rsidRPr="008B7BA2">
        <w:rPr>
          <w:rFonts w:ascii="Times New Roman" w:hAnsi="Times New Roman" w:cs="Times New Roman"/>
          <w:strike/>
          <w:sz w:val="22"/>
          <w:szCs w:val="22"/>
        </w:rPr>
        <w:t xml:space="preserve"> </w:t>
      </w:r>
      <w:r w:rsidR="00441E6D" w:rsidRPr="008B7BA2">
        <w:rPr>
          <w:rFonts w:ascii="Times New Roman" w:hAnsi="Times New Roman" w:cs="Times New Roman"/>
          <w:sz w:val="22"/>
          <w:szCs w:val="22"/>
          <w:u w:val="single"/>
        </w:rPr>
        <w:t>below</w:t>
      </w:r>
      <w:r w:rsidRPr="008B7BA2">
        <w:rPr>
          <w:rFonts w:ascii="Times New Roman" w:hAnsi="Times New Roman" w:cs="Times New Roman"/>
          <w:sz w:val="22"/>
          <w:szCs w:val="22"/>
        </w:rPr>
        <w:t xml:space="preserve">.  </w:t>
      </w:r>
    </w:p>
    <w:p w:rsidR="003129AE" w:rsidRPr="008B7BA2" w:rsidRDefault="003129AE" w:rsidP="003129AE">
      <w:pPr>
        <w:pStyle w:val="Default"/>
        <w:ind w:left="2160" w:hanging="720"/>
        <w:jc w:val="both"/>
        <w:rPr>
          <w:rFonts w:ascii="Times New Roman" w:hAnsi="Times New Roman" w:cs="Times New Roman"/>
          <w:strike/>
          <w:sz w:val="22"/>
          <w:szCs w:val="22"/>
        </w:rPr>
      </w:pPr>
      <w:r w:rsidRPr="008B7BA2">
        <w:rPr>
          <w:rFonts w:ascii="Times New Roman" w:hAnsi="Times New Roman" w:cs="Times New Roman"/>
          <w:strike/>
          <w:sz w:val="22"/>
          <w:szCs w:val="22"/>
        </w:rPr>
        <w:t xml:space="preserve">(A) </w:t>
      </w:r>
      <w:r w:rsidRPr="008B7BA2">
        <w:rPr>
          <w:rFonts w:ascii="Times New Roman" w:hAnsi="Times New Roman" w:cs="Times New Roman"/>
          <w:strike/>
          <w:sz w:val="22"/>
          <w:szCs w:val="22"/>
        </w:rPr>
        <w:tab/>
        <w:t xml:space="preserve">During the operation of the market under a zonal market design: </w:t>
      </w:r>
    </w:p>
    <w:p w:rsidR="003129AE" w:rsidRPr="008B7BA2" w:rsidRDefault="003129AE" w:rsidP="003129AE">
      <w:pPr>
        <w:pStyle w:val="Default"/>
        <w:ind w:left="2880" w:hanging="720"/>
        <w:jc w:val="both"/>
        <w:rPr>
          <w:rFonts w:ascii="Times New Roman" w:hAnsi="Times New Roman" w:cs="Times New Roman"/>
          <w:strike/>
          <w:sz w:val="22"/>
          <w:szCs w:val="22"/>
        </w:rPr>
      </w:pPr>
      <w:r w:rsidRPr="008B7BA2">
        <w:rPr>
          <w:rFonts w:ascii="Times New Roman" w:hAnsi="Times New Roman" w:cs="Times New Roman"/>
          <w:strike/>
          <w:sz w:val="22"/>
          <w:szCs w:val="22"/>
        </w:rPr>
        <w:t>(</w:t>
      </w:r>
      <w:proofErr w:type="spellStart"/>
      <w:r w:rsidRPr="008B7BA2">
        <w:rPr>
          <w:rFonts w:ascii="Times New Roman" w:hAnsi="Times New Roman" w:cs="Times New Roman"/>
          <w:strike/>
          <w:sz w:val="22"/>
          <w:szCs w:val="22"/>
        </w:rPr>
        <w:t>i</w:t>
      </w:r>
      <w:proofErr w:type="spellEnd"/>
      <w:r w:rsidRPr="008B7BA2">
        <w:rPr>
          <w:rFonts w:ascii="Times New Roman" w:hAnsi="Times New Roman" w:cs="Times New Roman"/>
          <w:strike/>
          <w:sz w:val="22"/>
          <w:szCs w:val="22"/>
        </w:rPr>
        <w:t xml:space="preserve">) </w:t>
      </w:r>
      <w:r w:rsidRPr="008B7BA2">
        <w:rPr>
          <w:rFonts w:ascii="Times New Roman" w:hAnsi="Times New Roman" w:cs="Times New Roman"/>
          <w:strike/>
          <w:sz w:val="22"/>
          <w:szCs w:val="22"/>
        </w:rPr>
        <w:tab/>
        <w:t xml:space="preserve">Portfolio offer curves for balancing energy and for each type of ancillary service, for each area where available, shall be posted 60 days after the day for which the information is accumulated beginning September 1, 2007, except that, for the highest-priced offer selected or dispatched by ERCOT for each interval after January 12, 2007, ERCOT shall post the offer price and the name of the entity submitting the offer 48 hours after the day for which the information is accumulated. In the event of interzonal congestion, ERCOT shall post, separately for each zone, the offer price and the name of the entity submitting the highest-priced offer selected or dispatched. </w:t>
      </w:r>
    </w:p>
    <w:p w:rsidR="003129AE" w:rsidRPr="008B7BA2" w:rsidRDefault="003129AE" w:rsidP="003129AE">
      <w:pPr>
        <w:pStyle w:val="Default"/>
        <w:ind w:left="2880" w:hanging="720"/>
        <w:jc w:val="both"/>
        <w:rPr>
          <w:rFonts w:ascii="Times New Roman" w:hAnsi="Times New Roman" w:cs="Times New Roman"/>
          <w:strike/>
          <w:sz w:val="22"/>
          <w:szCs w:val="22"/>
        </w:rPr>
      </w:pPr>
      <w:r w:rsidRPr="008B7BA2">
        <w:rPr>
          <w:rFonts w:ascii="Times New Roman" w:hAnsi="Times New Roman" w:cs="Times New Roman"/>
          <w:strike/>
          <w:sz w:val="22"/>
          <w:szCs w:val="22"/>
        </w:rPr>
        <w:t xml:space="preserve">(ii) </w:t>
      </w:r>
      <w:r w:rsidRPr="008B7BA2">
        <w:rPr>
          <w:rFonts w:ascii="Times New Roman" w:hAnsi="Times New Roman" w:cs="Times New Roman"/>
          <w:strike/>
          <w:sz w:val="22"/>
          <w:szCs w:val="22"/>
        </w:rPr>
        <w:tab/>
        <w:t xml:space="preserve">If the market clearing price for energy (MCPE) or the market clearing price for capacity (MCPC) exceeds the event trigger during any interval, the portion of every market participant’s price-quantity offer pair for balancing energy service and each other ancillary service that is at or above the event trigger for that service and that interval shall be posted seven (7) days after the day for which the offer is submitted. ERCOT shall implement the requirements of this clause by September 1, 2007. </w:t>
      </w:r>
    </w:p>
    <w:p w:rsidR="003129AE" w:rsidRPr="008B7BA2" w:rsidRDefault="003129AE" w:rsidP="003129AE">
      <w:pPr>
        <w:pStyle w:val="Default"/>
        <w:ind w:left="2880" w:hanging="720"/>
        <w:jc w:val="both"/>
        <w:rPr>
          <w:rFonts w:ascii="Times New Roman" w:hAnsi="Times New Roman" w:cs="Times New Roman"/>
          <w:strike/>
          <w:sz w:val="22"/>
          <w:szCs w:val="22"/>
        </w:rPr>
      </w:pPr>
      <w:r w:rsidRPr="008B7BA2">
        <w:rPr>
          <w:rFonts w:ascii="Times New Roman" w:hAnsi="Times New Roman" w:cs="Times New Roman"/>
          <w:strike/>
          <w:sz w:val="22"/>
          <w:szCs w:val="22"/>
        </w:rPr>
        <w:t xml:space="preserve">(iii) </w:t>
      </w:r>
      <w:r w:rsidRPr="008B7BA2">
        <w:rPr>
          <w:rFonts w:ascii="Times New Roman" w:hAnsi="Times New Roman" w:cs="Times New Roman"/>
          <w:strike/>
          <w:sz w:val="22"/>
          <w:szCs w:val="22"/>
        </w:rPr>
        <w:tab/>
        <w:t xml:space="preserve">Other offer-specific information for each type of service and for each area where available shall be posted 90 days after the day for which the information is accumulated beginning March 1, 2007. Effective March 1, 2008, this information shall be posted 60 days after the day the information was accumulated. The information subject to this disclosure requirement is as follows: </w:t>
      </w:r>
    </w:p>
    <w:p w:rsidR="003129AE" w:rsidRPr="008B7BA2" w:rsidRDefault="003129AE" w:rsidP="003129AE">
      <w:pPr>
        <w:pStyle w:val="Default"/>
        <w:ind w:left="3600" w:hanging="720"/>
        <w:jc w:val="both"/>
        <w:rPr>
          <w:rFonts w:ascii="Times New Roman" w:hAnsi="Times New Roman" w:cs="Times New Roman"/>
          <w:strike/>
          <w:sz w:val="22"/>
          <w:szCs w:val="22"/>
        </w:rPr>
      </w:pPr>
      <w:r w:rsidRPr="008B7BA2">
        <w:rPr>
          <w:rFonts w:ascii="Times New Roman" w:hAnsi="Times New Roman" w:cs="Times New Roman"/>
          <w:strike/>
          <w:sz w:val="22"/>
          <w:szCs w:val="22"/>
        </w:rPr>
        <w:t>(I)</w:t>
      </w:r>
      <w:r w:rsidRPr="008B7BA2">
        <w:rPr>
          <w:rFonts w:ascii="Times New Roman" w:hAnsi="Times New Roman" w:cs="Times New Roman"/>
          <w:strike/>
          <w:sz w:val="22"/>
          <w:szCs w:val="22"/>
        </w:rPr>
        <w:tab/>
        <w:t xml:space="preserve">final energy schedules for each QSE; </w:t>
      </w:r>
    </w:p>
    <w:p w:rsidR="003129AE" w:rsidRPr="008B7BA2" w:rsidRDefault="003129AE" w:rsidP="003129AE">
      <w:pPr>
        <w:pStyle w:val="Default"/>
        <w:ind w:left="3600" w:hanging="720"/>
        <w:jc w:val="both"/>
        <w:rPr>
          <w:rFonts w:ascii="Times New Roman" w:hAnsi="Times New Roman" w:cs="Times New Roman"/>
          <w:strike/>
          <w:sz w:val="22"/>
          <w:szCs w:val="22"/>
        </w:rPr>
      </w:pPr>
      <w:r w:rsidRPr="008B7BA2">
        <w:rPr>
          <w:rFonts w:ascii="Times New Roman" w:hAnsi="Times New Roman" w:cs="Times New Roman"/>
          <w:strike/>
          <w:sz w:val="22"/>
          <w:szCs w:val="22"/>
        </w:rPr>
        <w:t>(II)</w:t>
      </w:r>
      <w:r w:rsidRPr="008B7BA2">
        <w:rPr>
          <w:rFonts w:ascii="Times New Roman" w:hAnsi="Times New Roman" w:cs="Times New Roman"/>
          <w:strike/>
          <w:sz w:val="22"/>
          <w:szCs w:val="22"/>
        </w:rPr>
        <w:tab/>
        <w:t xml:space="preserve">final ancillary services schedules for each QSE; </w:t>
      </w:r>
    </w:p>
    <w:p w:rsidR="003129AE" w:rsidRPr="008B7BA2" w:rsidRDefault="003129AE" w:rsidP="003129AE">
      <w:pPr>
        <w:pStyle w:val="Default"/>
        <w:ind w:left="3600" w:hanging="720"/>
        <w:jc w:val="both"/>
        <w:rPr>
          <w:rFonts w:ascii="Times New Roman" w:hAnsi="Times New Roman" w:cs="Times New Roman"/>
          <w:strike/>
          <w:sz w:val="22"/>
          <w:szCs w:val="22"/>
        </w:rPr>
      </w:pPr>
      <w:r w:rsidRPr="008B7BA2">
        <w:rPr>
          <w:rFonts w:ascii="Times New Roman" w:hAnsi="Times New Roman" w:cs="Times New Roman"/>
          <w:strike/>
          <w:sz w:val="22"/>
          <w:szCs w:val="22"/>
        </w:rPr>
        <w:t>(III)</w:t>
      </w:r>
      <w:r w:rsidRPr="008B7BA2">
        <w:rPr>
          <w:rFonts w:ascii="Times New Roman" w:hAnsi="Times New Roman" w:cs="Times New Roman"/>
          <w:strike/>
          <w:sz w:val="22"/>
          <w:szCs w:val="22"/>
        </w:rPr>
        <w:tab/>
        <w:t xml:space="preserve">resource plans for each QSE representing a resource; </w:t>
      </w:r>
    </w:p>
    <w:p w:rsidR="003129AE" w:rsidRPr="008B7BA2" w:rsidRDefault="003129AE" w:rsidP="003129AE">
      <w:pPr>
        <w:pStyle w:val="Default"/>
        <w:ind w:left="3600" w:hanging="720"/>
        <w:jc w:val="both"/>
        <w:rPr>
          <w:rFonts w:ascii="Times New Roman" w:hAnsi="Times New Roman" w:cs="Times New Roman"/>
          <w:strike/>
          <w:sz w:val="22"/>
          <w:szCs w:val="22"/>
        </w:rPr>
      </w:pPr>
      <w:r w:rsidRPr="008B7BA2">
        <w:rPr>
          <w:rFonts w:ascii="Times New Roman" w:hAnsi="Times New Roman" w:cs="Times New Roman"/>
          <w:strike/>
          <w:sz w:val="22"/>
          <w:szCs w:val="22"/>
        </w:rPr>
        <w:t>(IV)</w:t>
      </w:r>
      <w:r w:rsidRPr="008B7BA2">
        <w:rPr>
          <w:rFonts w:ascii="Times New Roman" w:hAnsi="Times New Roman" w:cs="Times New Roman"/>
          <w:strike/>
          <w:sz w:val="22"/>
          <w:szCs w:val="22"/>
        </w:rPr>
        <w:tab/>
        <w:t xml:space="preserve">actual output from each resource; and </w:t>
      </w:r>
    </w:p>
    <w:p w:rsidR="003129AE" w:rsidRPr="008B7BA2" w:rsidRDefault="003129AE" w:rsidP="003129AE">
      <w:pPr>
        <w:pStyle w:val="Default"/>
        <w:ind w:left="3600" w:hanging="720"/>
        <w:jc w:val="both"/>
        <w:rPr>
          <w:rFonts w:ascii="Times New Roman" w:hAnsi="Times New Roman" w:cs="Times New Roman"/>
          <w:strike/>
          <w:sz w:val="22"/>
          <w:szCs w:val="22"/>
        </w:rPr>
      </w:pPr>
      <w:r w:rsidRPr="008B7BA2">
        <w:rPr>
          <w:rFonts w:ascii="Times New Roman" w:hAnsi="Times New Roman" w:cs="Times New Roman"/>
          <w:strike/>
          <w:sz w:val="22"/>
          <w:szCs w:val="22"/>
        </w:rPr>
        <w:t xml:space="preserve">(V) </w:t>
      </w:r>
      <w:r w:rsidRPr="008B7BA2">
        <w:rPr>
          <w:rFonts w:ascii="Times New Roman" w:hAnsi="Times New Roman" w:cs="Times New Roman"/>
          <w:strike/>
          <w:sz w:val="22"/>
          <w:szCs w:val="22"/>
        </w:rPr>
        <w:tab/>
        <w:t xml:space="preserve">all dispatch instructions from ERCOT for balancing energy and ancillary services. </w:t>
      </w:r>
    </w:p>
    <w:p w:rsidR="003129AE" w:rsidRPr="008B7BA2" w:rsidRDefault="003129AE" w:rsidP="003129AE">
      <w:pPr>
        <w:pStyle w:val="Default"/>
        <w:ind w:left="2880" w:hanging="720"/>
        <w:jc w:val="both"/>
        <w:rPr>
          <w:rFonts w:ascii="Times New Roman" w:hAnsi="Times New Roman" w:cs="Times New Roman"/>
          <w:strike/>
          <w:sz w:val="22"/>
          <w:szCs w:val="22"/>
        </w:rPr>
      </w:pPr>
      <w:r w:rsidRPr="008B7BA2">
        <w:rPr>
          <w:rFonts w:ascii="Times New Roman" w:hAnsi="Times New Roman" w:cs="Times New Roman"/>
          <w:strike/>
          <w:sz w:val="22"/>
          <w:szCs w:val="22"/>
        </w:rPr>
        <w:t xml:space="preserve">(iv) </w:t>
      </w:r>
      <w:r w:rsidRPr="008B7BA2">
        <w:rPr>
          <w:rFonts w:ascii="Times New Roman" w:hAnsi="Times New Roman" w:cs="Times New Roman"/>
          <w:strike/>
          <w:sz w:val="22"/>
          <w:szCs w:val="22"/>
        </w:rPr>
        <w:tab/>
        <w:t xml:space="preserve">The information posted shall include the names of the resources in the portfolio that were committed, the name of the entity submitting the information, the name of the entity controlling each resource in the portfolio. </w:t>
      </w:r>
    </w:p>
    <w:p w:rsidR="003129AE" w:rsidRPr="008B7BA2" w:rsidRDefault="003129AE" w:rsidP="003129AE">
      <w:pPr>
        <w:pStyle w:val="Default"/>
        <w:ind w:left="2160" w:hanging="720"/>
        <w:jc w:val="both"/>
        <w:rPr>
          <w:rFonts w:ascii="Times New Roman" w:hAnsi="Times New Roman" w:cs="Times New Roman"/>
          <w:strike/>
          <w:sz w:val="22"/>
          <w:szCs w:val="22"/>
        </w:rPr>
      </w:pPr>
      <w:r w:rsidRPr="008B7BA2">
        <w:rPr>
          <w:rFonts w:ascii="Times New Roman" w:hAnsi="Times New Roman" w:cs="Times New Roman"/>
          <w:strike/>
          <w:sz w:val="22"/>
          <w:szCs w:val="22"/>
        </w:rPr>
        <w:t xml:space="preserve">(B) </w:t>
      </w:r>
      <w:r w:rsidRPr="008B7BA2">
        <w:rPr>
          <w:rFonts w:ascii="Times New Roman" w:hAnsi="Times New Roman" w:cs="Times New Roman"/>
          <w:strike/>
          <w:sz w:val="22"/>
          <w:szCs w:val="22"/>
        </w:rPr>
        <w:tab/>
        <w:t xml:space="preserve">Two months after the start of operation of the market under a nodal market design: </w:t>
      </w:r>
    </w:p>
    <w:p w:rsidR="003129AE" w:rsidRPr="008B7BA2" w:rsidRDefault="003129AE" w:rsidP="00441E6D">
      <w:pPr>
        <w:pStyle w:val="Default"/>
        <w:ind w:left="2160" w:hanging="720"/>
        <w:jc w:val="both"/>
        <w:rPr>
          <w:rFonts w:ascii="Times New Roman" w:hAnsi="Times New Roman" w:cs="Times New Roman"/>
          <w:sz w:val="22"/>
          <w:szCs w:val="22"/>
        </w:rPr>
      </w:pPr>
      <w:r w:rsidRPr="008B7BA2">
        <w:rPr>
          <w:rFonts w:ascii="Times New Roman" w:hAnsi="Times New Roman" w:cs="Times New Roman"/>
          <w:sz w:val="22"/>
          <w:szCs w:val="22"/>
        </w:rPr>
        <w:t>(</w:t>
      </w:r>
      <w:proofErr w:type="spellStart"/>
      <w:r w:rsidRPr="008B7BA2">
        <w:rPr>
          <w:rFonts w:ascii="Times New Roman" w:hAnsi="Times New Roman" w:cs="Times New Roman"/>
          <w:strike/>
          <w:sz w:val="22"/>
          <w:szCs w:val="22"/>
        </w:rPr>
        <w:t>i</w:t>
      </w:r>
      <w:r w:rsidR="00441E6D" w:rsidRPr="008B7BA2">
        <w:rPr>
          <w:rFonts w:ascii="Times New Roman" w:hAnsi="Times New Roman" w:cs="Times New Roman"/>
          <w:sz w:val="22"/>
          <w:szCs w:val="22"/>
          <w:u w:val="single"/>
        </w:rPr>
        <w:t>A</w:t>
      </w:r>
      <w:proofErr w:type="spellEnd"/>
      <w:r w:rsidRPr="008B7BA2">
        <w:rPr>
          <w:rFonts w:ascii="Times New Roman" w:hAnsi="Times New Roman" w:cs="Times New Roman"/>
          <w:sz w:val="22"/>
          <w:szCs w:val="22"/>
        </w:rPr>
        <w:t xml:space="preserve">) </w:t>
      </w:r>
      <w:r w:rsidRPr="008B7BA2">
        <w:rPr>
          <w:rFonts w:ascii="Times New Roman" w:hAnsi="Times New Roman" w:cs="Times New Roman"/>
          <w:sz w:val="22"/>
          <w:szCs w:val="22"/>
        </w:rPr>
        <w:tab/>
        <w:t xml:space="preserve">Offer curves (prices and quantities) for each type of ancillary service and for energy at each settlement point in the real time market, </w:t>
      </w:r>
      <w:r w:rsidRPr="008B7BA2">
        <w:rPr>
          <w:rFonts w:ascii="Times New Roman" w:hAnsi="Times New Roman" w:cs="Times New Roman"/>
          <w:strike/>
          <w:sz w:val="22"/>
          <w:szCs w:val="22"/>
        </w:rPr>
        <w:t>shall</w:t>
      </w:r>
      <w:r w:rsidRPr="008B7BA2">
        <w:rPr>
          <w:rFonts w:ascii="Times New Roman" w:hAnsi="Times New Roman" w:cs="Times New Roman"/>
          <w:sz w:val="22"/>
          <w:szCs w:val="22"/>
        </w:rPr>
        <w:t xml:space="preserve"> </w:t>
      </w:r>
      <w:r w:rsidR="00441E6D" w:rsidRPr="008B7BA2">
        <w:rPr>
          <w:rFonts w:ascii="Times New Roman" w:hAnsi="Times New Roman" w:cs="Times New Roman"/>
          <w:sz w:val="22"/>
          <w:szCs w:val="22"/>
          <w:u w:val="single"/>
        </w:rPr>
        <w:t xml:space="preserve">will </w:t>
      </w:r>
      <w:r w:rsidRPr="008B7BA2">
        <w:rPr>
          <w:rFonts w:ascii="Times New Roman" w:hAnsi="Times New Roman" w:cs="Times New Roman"/>
          <w:sz w:val="22"/>
          <w:szCs w:val="22"/>
        </w:rPr>
        <w:t xml:space="preserve">be posted 60 days after the day for which the information is accumulated except that, for the highest-priced offer selected or dispatched for each interval on an ERCOT-wide basis, ERCOT </w:t>
      </w:r>
      <w:r w:rsidRPr="008B7BA2">
        <w:rPr>
          <w:rFonts w:ascii="Times New Roman" w:hAnsi="Times New Roman" w:cs="Times New Roman"/>
          <w:strike/>
          <w:sz w:val="22"/>
          <w:szCs w:val="22"/>
        </w:rPr>
        <w:t>shall</w:t>
      </w:r>
      <w:r w:rsidRPr="008B7BA2">
        <w:rPr>
          <w:rFonts w:ascii="Times New Roman" w:hAnsi="Times New Roman" w:cs="Times New Roman"/>
          <w:sz w:val="22"/>
          <w:szCs w:val="22"/>
        </w:rPr>
        <w:t xml:space="preserve"> </w:t>
      </w:r>
      <w:r w:rsidR="00441E6D" w:rsidRPr="008B7BA2">
        <w:rPr>
          <w:rFonts w:ascii="Times New Roman" w:hAnsi="Times New Roman" w:cs="Times New Roman"/>
          <w:sz w:val="22"/>
          <w:szCs w:val="22"/>
          <w:u w:val="single"/>
        </w:rPr>
        <w:t xml:space="preserve">will </w:t>
      </w:r>
      <w:r w:rsidRPr="008B7BA2">
        <w:rPr>
          <w:rFonts w:ascii="Times New Roman" w:hAnsi="Times New Roman" w:cs="Times New Roman"/>
          <w:sz w:val="22"/>
          <w:szCs w:val="22"/>
        </w:rPr>
        <w:t xml:space="preserve">post the offer price and the name of the entity submitting the offer 48 hours after the day for which the information is accumulated. </w:t>
      </w:r>
    </w:p>
    <w:p w:rsidR="003129AE" w:rsidRPr="008B7BA2" w:rsidRDefault="003129AE" w:rsidP="00441E6D">
      <w:pPr>
        <w:pStyle w:val="Default"/>
        <w:ind w:left="2160" w:hanging="720"/>
        <w:jc w:val="both"/>
        <w:rPr>
          <w:rFonts w:ascii="Times New Roman" w:hAnsi="Times New Roman" w:cs="Times New Roman"/>
          <w:sz w:val="22"/>
          <w:szCs w:val="22"/>
        </w:rPr>
      </w:pPr>
      <w:r w:rsidRPr="008B7BA2">
        <w:rPr>
          <w:rFonts w:ascii="Times New Roman" w:hAnsi="Times New Roman" w:cs="Times New Roman"/>
          <w:sz w:val="22"/>
          <w:szCs w:val="22"/>
        </w:rPr>
        <w:lastRenderedPageBreak/>
        <w:t>(</w:t>
      </w:r>
      <w:proofErr w:type="spellStart"/>
      <w:r w:rsidRPr="008B7BA2">
        <w:rPr>
          <w:rFonts w:ascii="Times New Roman" w:hAnsi="Times New Roman" w:cs="Times New Roman"/>
          <w:strike/>
          <w:sz w:val="22"/>
          <w:szCs w:val="22"/>
        </w:rPr>
        <w:t>ii</w:t>
      </w:r>
      <w:r w:rsidR="00441E6D" w:rsidRPr="008B7BA2">
        <w:rPr>
          <w:rFonts w:ascii="Times New Roman" w:hAnsi="Times New Roman" w:cs="Times New Roman"/>
          <w:sz w:val="22"/>
          <w:szCs w:val="22"/>
          <w:u w:val="single"/>
        </w:rPr>
        <w:t>B</w:t>
      </w:r>
      <w:proofErr w:type="spellEnd"/>
      <w:r w:rsidRPr="008B7BA2">
        <w:rPr>
          <w:rFonts w:ascii="Times New Roman" w:hAnsi="Times New Roman" w:cs="Times New Roman"/>
          <w:sz w:val="22"/>
          <w:szCs w:val="22"/>
        </w:rPr>
        <w:t xml:space="preserve">) </w:t>
      </w:r>
      <w:r w:rsidRPr="008B7BA2">
        <w:rPr>
          <w:rFonts w:ascii="Times New Roman" w:hAnsi="Times New Roman" w:cs="Times New Roman"/>
          <w:sz w:val="22"/>
          <w:szCs w:val="22"/>
        </w:rPr>
        <w:tab/>
        <w:t xml:space="preserve">If the </w:t>
      </w:r>
      <w:r w:rsidR="00F23D52">
        <w:rPr>
          <w:rFonts w:ascii="Times New Roman" w:hAnsi="Times New Roman" w:cs="Times New Roman"/>
          <w:sz w:val="22"/>
          <w:szCs w:val="22"/>
          <w:u w:val="single"/>
        </w:rPr>
        <w:t>market clearing price for energy (</w:t>
      </w:r>
      <w:r w:rsidRPr="008B7BA2">
        <w:rPr>
          <w:rFonts w:ascii="Times New Roman" w:hAnsi="Times New Roman" w:cs="Times New Roman"/>
          <w:sz w:val="22"/>
          <w:szCs w:val="22"/>
        </w:rPr>
        <w:t>MCPE</w:t>
      </w:r>
      <w:r w:rsidR="00F23D52">
        <w:rPr>
          <w:rFonts w:ascii="Times New Roman" w:hAnsi="Times New Roman" w:cs="Times New Roman"/>
          <w:sz w:val="22"/>
          <w:szCs w:val="22"/>
          <w:u w:val="single"/>
        </w:rPr>
        <w:t>)</w:t>
      </w:r>
      <w:r w:rsidRPr="008B7BA2">
        <w:rPr>
          <w:rFonts w:ascii="Times New Roman" w:hAnsi="Times New Roman" w:cs="Times New Roman"/>
          <w:sz w:val="22"/>
          <w:szCs w:val="22"/>
        </w:rPr>
        <w:t xml:space="preserve"> or the </w:t>
      </w:r>
      <w:r w:rsidR="00F23D52">
        <w:rPr>
          <w:rFonts w:ascii="Times New Roman" w:hAnsi="Times New Roman" w:cs="Times New Roman"/>
          <w:sz w:val="22"/>
          <w:szCs w:val="22"/>
          <w:u w:val="single"/>
        </w:rPr>
        <w:t>market clearing price for capacity (</w:t>
      </w:r>
      <w:r w:rsidRPr="008B7BA2">
        <w:rPr>
          <w:rFonts w:ascii="Times New Roman" w:hAnsi="Times New Roman" w:cs="Times New Roman"/>
          <w:sz w:val="22"/>
          <w:szCs w:val="22"/>
        </w:rPr>
        <w:t>MCPC</w:t>
      </w:r>
      <w:r w:rsidR="00F23D52">
        <w:rPr>
          <w:rFonts w:ascii="Times New Roman" w:hAnsi="Times New Roman" w:cs="Times New Roman"/>
          <w:sz w:val="22"/>
          <w:szCs w:val="22"/>
          <w:u w:val="single"/>
        </w:rPr>
        <w:t>)</w:t>
      </w:r>
      <w:r w:rsidRPr="008B7BA2">
        <w:rPr>
          <w:rFonts w:ascii="Times New Roman" w:hAnsi="Times New Roman" w:cs="Times New Roman"/>
          <w:sz w:val="22"/>
          <w:szCs w:val="22"/>
        </w:rPr>
        <w:t xml:space="preserve"> exceeds the event trigger during any interval, the portion of every market participant’s price-quantity offer pairs for balancing energy service and each other ancillary service that is at or above the event trigger for that service and that interval </w:t>
      </w:r>
      <w:r w:rsidRPr="008B7BA2">
        <w:rPr>
          <w:rFonts w:ascii="Times New Roman" w:hAnsi="Times New Roman" w:cs="Times New Roman"/>
          <w:strike/>
          <w:sz w:val="22"/>
          <w:szCs w:val="22"/>
        </w:rPr>
        <w:t>shall</w:t>
      </w:r>
      <w:r w:rsidRPr="008B7BA2">
        <w:rPr>
          <w:rFonts w:ascii="Times New Roman" w:hAnsi="Times New Roman" w:cs="Times New Roman"/>
          <w:sz w:val="22"/>
          <w:szCs w:val="22"/>
        </w:rPr>
        <w:t xml:space="preserve"> </w:t>
      </w:r>
      <w:r w:rsidR="00441E6D" w:rsidRPr="008B7BA2">
        <w:rPr>
          <w:rFonts w:ascii="Times New Roman" w:hAnsi="Times New Roman" w:cs="Times New Roman"/>
          <w:sz w:val="22"/>
          <w:szCs w:val="22"/>
          <w:u w:val="single"/>
        </w:rPr>
        <w:t xml:space="preserve">will </w:t>
      </w:r>
      <w:r w:rsidRPr="008B7BA2">
        <w:rPr>
          <w:rFonts w:ascii="Times New Roman" w:hAnsi="Times New Roman" w:cs="Times New Roman"/>
          <w:sz w:val="22"/>
          <w:szCs w:val="22"/>
        </w:rPr>
        <w:t xml:space="preserve">be posted seven (7) days after the day for which the offer is submitted. </w:t>
      </w:r>
      <w:r w:rsidRPr="008B7BA2">
        <w:rPr>
          <w:rFonts w:ascii="Times New Roman" w:hAnsi="Times New Roman" w:cs="Times New Roman"/>
          <w:sz w:val="22"/>
          <w:szCs w:val="22"/>
        </w:rPr>
        <w:tab/>
      </w:r>
    </w:p>
    <w:p w:rsidR="003129AE" w:rsidRPr="008B7BA2" w:rsidRDefault="003129AE" w:rsidP="00441E6D">
      <w:pPr>
        <w:pStyle w:val="Default"/>
        <w:ind w:left="2160" w:hanging="720"/>
        <w:jc w:val="both"/>
        <w:rPr>
          <w:rFonts w:ascii="Times New Roman" w:hAnsi="Times New Roman" w:cs="Times New Roman"/>
          <w:sz w:val="22"/>
          <w:szCs w:val="22"/>
        </w:rPr>
      </w:pPr>
      <w:r w:rsidRPr="008B7BA2">
        <w:rPr>
          <w:rFonts w:ascii="Times New Roman" w:hAnsi="Times New Roman" w:cs="Times New Roman"/>
          <w:sz w:val="22"/>
          <w:szCs w:val="22"/>
        </w:rPr>
        <w:t>(</w:t>
      </w:r>
      <w:proofErr w:type="spellStart"/>
      <w:r w:rsidRPr="008B7BA2">
        <w:rPr>
          <w:rFonts w:ascii="Times New Roman" w:hAnsi="Times New Roman" w:cs="Times New Roman"/>
          <w:strike/>
          <w:sz w:val="22"/>
          <w:szCs w:val="22"/>
        </w:rPr>
        <w:t>iii</w:t>
      </w:r>
      <w:r w:rsidR="00441E6D" w:rsidRPr="008B7BA2">
        <w:rPr>
          <w:rFonts w:ascii="Times New Roman" w:hAnsi="Times New Roman" w:cs="Times New Roman"/>
          <w:sz w:val="22"/>
          <w:szCs w:val="22"/>
          <w:u w:val="single"/>
        </w:rPr>
        <w:t>C</w:t>
      </w:r>
      <w:proofErr w:type="spellEnd"/>
      <w:r w:rsidRPr="008B7BA2">
        <w:rPr>
          <w:rFonts w:ascii="Times New Roman" w:hAnsi="Times New Roman" w:cs="Times New Roman"/>
          <w:sz w:val="22"/>
          <w:szCs w:val="22"/>
        </w:rPr>
        <w:t xml:space="preserve">) </w:t>
      </w:r>
      <w:r w:rsidRPr="008B7BA2">
        <w:rPr>
          <w:rFonts w:ascii="Times New Roman" w:hAnsi="Times New Roman" w:cs="Times New Roman"/>
          <w:sz w:val="22"/>
          <w:szCs w:val="22"/>
        </w:rPr>
        <w:tab/>
        <w:t xml:space="preserve">Other resource-specific information, as well as self-arranged energy and ancillary capacity services, and actual resource output, for each type of service and for each resource at each settlement point </w:t>
      </w:r>
      <w:r w:rsidRPr="008B7BA2">
        <w:rPr>
          <w:rFonts w:ascii="Times New Roman" w:hAnsi="Times New Roman" w:cs="Times New Roman"/>
          <w:strike/>
          <w:sz w:val="22"/>
          <w:szCs w:val="22"/>
        </w:rPr>
        <w:t>shall</w:t>
      </w:r>
      <w:r w:rsidRPr="008B7BA2">
        <w:rPr>
          <w:rFonts w:ascii="Times New Roman" w:hAnsi="Times New Roman" w:cs="Times New Roman"/>
          <w:sz w:val="22"/>
          <w:szCs w:val="22"/>
        </w:rPr>
        <w:t xml:space="preserve"> </w:t>
      </w:r>
      <w:r w:rsidR="00441E6D" w:rsidRPr="008B7BA2">
        <w:rPr>
          <w:rFonts w:ascii="Times New Roman" w:hAnsi="Times New Roman" w:cs="Times New Roman"/>
          <w:sz w:val="22"/>
          <w:szCs w:val="22"/>
          <w:u w:val="single"/>
        </w:rPr>
        <w:t xml:space="preserve">will </w:t>
      </w:r>
      <w:r w:rsidRPr="008B7BA2">
        <w:rPr>
          <w:rFonts w:ascii="Times New Roman" w:hAnsi="Times New Roman" w:cs="Times New Roman"/>
          <w:sz w:val="22"/>
          <w:szCs w:val="22"/>
        </w:rPr>
        <w:t xml:space="preserve">be posted 60 days after the day for which the information is accumulated. </w:t>
      </w:r>
    </w:p>
    <w:p w:rsidR="003129AE" w:rsidRPr="008B7BA2" w:rsidRDefault="003129AE" w:rsidP="00441E6D">
      <w:pPr>
        <w:pStyle w:val="Default"/>
        <w:ind w:left="2160" w:hanging="720"/>
        <w:jc w:val="both"/>
        <w:rPr>
          <w:rFonts w:ascii="Times New Roman" w:hAnsi="Times New Roman" w:cs="Times New Roman"/>
          <w:sz w:val="22"/>
          <w:szCs w:val="22"/>
        </w:rPr>
      </w:pPr>
      <w:r w:rsidRPr="008B7BA2">
        <w:rPr>
          <w:rFonts w:ascii="Times New Roman" w:hAnsi="Times New Roman" w:cs="Times New Roman"/>
          <w:sz w:val="22"/>
          <w:szCs w:val="22"/>
        </w:rPr>
        <w:t>(</w:t>
      </w:r>
      <w:proofErr w:type="spellStart"/>
      <w:r w:rsidRPr="008B7BA2">
        <w:rPr>
          <w:rFonts w:ascii="Times New Roman" w:hAnsi="Times New Roman" w:cs="Times New Roman"/>
          <w:strike/>
          <w:sz w:val="22"/>
          <w:szCs w:val="22"/>
        </w:rPr>
        <w:t>iv</w:t>
      </w:r>
      <w:r w:rsidR="00441E6D" w:rsidRPr="008B7BA2">
        <w:rPr>
          <w:rFonts w:ascii="Times New Roman" w:hAnsi="Times New Roman" w:cs="Times New Roman"/>
          <w:sz w:val="22"/>
          <w:szCs w:val="22"/>
          <w:u w:val="single"/>
        </w:rPr>
        <w:t>D</w:t>
      </w:r>
      <w:proofErr w:type="spellEnd"/>
      <w:r w:rsidRPr="008B7BA2">
        <w:rPr>
          <w:rFonts w:ascii="Times New Roman" w:hAnsi="Times New Roman" w:cs="Times New Roman"/>
          <w:sz w:val="22"/>
          <w:szCs w:val="22"/>
        </w:rPr>
        <w:t>)</w:t>
      </w:r>
      <w:r w:rsidRPr="008B7BA2">
        <w:rPr>
          <w:rFonts w:ascii="Times New Roman" w:hAnsi="Times New Roman" w:cs="Times New Roman"/>
          <w:sz w:val="22"/>
          <w:szCs w:val="22"/>
        </w:rPr>
        <w:tab/>
        <w:t xml:space="preserve">The posted information </w:t>
      </w:r>
      <w:r w:rsidRPr="008B7BA2">
        <w:rPr>
          <w:rFonts w:ascii="Times New Roman" w:hAnsi="Times New Roman" w:cs="Times New Roman"/>
          <w:strike/>
          <w:sz w:val="22"/>
          <w:szCs w:val="22"/>
        </w:rPr>
        <w:t>shall</w:t>
      </w:r>
      <w:r w:rsidRPr="008B7BA2">
        <w:rPr>
          <w:rFonts w:ascii="Times New Roman" w:hAnsi="Times New Roman" w:cs="Times New Roman"/>
          <w:sz w:val="22"/>
          <w:szCs w:val="22"/>
        </w:rPr>
        <w:t xml:space="preserve"> </w:t>
      </w:r>
      <w:r w:rsidR="00441E6D" w:rsidRPr="008B7BA2">
        <w:rPr>
          <w:rFonts w:ascii="Times New Roman" w:hAnsi="Times New Roman" w:cs="Times New Roman"/>
          <w:sz w:val="22"/>
          <w:szCs w:val="22"/>
          <w:u w:val="single"/>
        </w:rPr>
        <w:t xml:space="preserve">will </w:t>
      </w:r>
      <w:r w:rsidRPr="008B7BA2">
        <w:rPr>
          <w:rFonts w:ascii="Times New Roman" w:hAnsi="Times New Roman" w:cs="Times New Roman"/>
          <w:sz w:val="22"/>
          <w:szCs w:val="22"/>
        </w:rPr>
        <w:t xml:space="preserve">be linked to the name of the resource (or identified as a virtual offer), the name of the entity submitting the information, and the name of the entity controlling the resource. If there are multiple offers for the resource, ERCOT </w:t>
      </w:r>
      <w:r w:rsidRPr="008B7BA2">
        <w:rPr>
          <w:rFonts w:ascii="Times New Roman" w:hAnsi="Times New Roman" w:cs="Times New Roman"/>
          <w:strike/>
          <w:sz w:val="22"/>
          <w:szCs w:val="22"/>
        </w:rPr>
        <w:t>shall</w:t>
      </w:r>
      <w:r w:rsidRPr="008B7BA2">
        <w:rPr>
          <w:rFonts w:ascii="Times New Roman" w:hAnsi="Times New Roman" w:cs="Times New Roman"/>
          <w:sz w:val="22"/>
          <w:szCs w:val="22"/>
        </w:rPr>
        <w:t xml:space="preserve"> </w:t>
      </w:r>
      <w:r w:rsidR="00441E6D" w:rsidRPr="008B7BA2">
        <w:rPr>
          <w:rFonts w:ascii="Times New Roman" w:hAnsi="Times New Roman" w:cs="Times New Roman"/>
          <w:sz w:val="22"/>
          <w:szCs w:val="22"/>
          <w:u w:val="single"/>
        </w:rPr>
        <w:t xml:space="preserve">will </w:t>
      </w:r>
      <w:r w:rsidRPr="008B7BA2">
        <w:rPr>
          <w:rFonts w:ascii="Times New Roman" w:hAnsi="Times New Roman" w:cs="Times New Roman"/>
          <w:sz w:val="22"/>
          <w:szCs w:val="22"/>
        </w:rPr>
        <w:t xml:space="preserve">post the specified information for each offer for the resource, including the name of the entity submitting the offer and the name of the entity controlling the resource. </w:t>
      </w:r>
    </w:p>
    <w:p w:rsidR="003129AE" w:rsidRPr="008B7BA2" w:rsidRDefault="003129AE" w:rsidP="003129AE">
      <w:pPr>
        <w:pStyle w:val="Default"/>
        <w:ind w:left="2160" w:hanging="720"/>
        <w:jc w:val="both"/>
        <w:rPr>
          <w:rFonts w:ascii="Times New Roman" w:hAnsi="Times New Roman" w:cs="Times New Roman"/>
          <w:sz w:val="22"/>
          <w:szCs w:val="22"/>
        </w:rPr>
      </w:pPr>
      <w:r w:rsidRPr="008B7BA2">
        <w:rPr>
          <w:rFonts w:ascii="Times New Roman" w:hAnsi="Times New Roman" w:cs="Times New Roman"/>
          <w:sz w:val="22"/>
          <w:szCs w:val="22"/>
        </w:rPr>
        <w:t>(</w:t>
      </w:r>
      <w:r w:rsidRPr="008B7BA2">
        <w:rPr>
          <w:rFonts w:ascii="Times New Roman" w:hAnsi="Times New Roman" w:cs="Times New Roman"/>
          <w:strike/>
          <w:sz w:val="22"/>
          <w:szCs w:val="22"/>
        </w:rPr>
        <w:t>C</w:t>
      </w:r>
      <w:r w:rsidR="00441E6D" w:rsidRPr="008B7BA2">
        <w:rPr>
          <w:rFonts w:ascii="Times New Roman" w:hAnsi="Times New Roman" w:cs="Times New Roman"/>
          <w:sz w:val="22"/>
          <w:szCs w:val="22"/>
          <w:u w:val="single"/>
        </w:rPr>
        <w:t>E</w:t>
      </w:r>
      <w:r w:rsidRPr="008B7BA2">
        <w:rPr>
          <w:rFonts w:ascii="Times New Roman" w:hAnsi="Times New Roman" w:cs="Times New Roman"/>
          <w:sz w:val="22"/>
          <w:szCs w:val="22"/>
        </w:rPr>
        <w:t xml:space="preserve">) </w:t>
      </w:r>
      <w:r w:rsidRPr="008B7BA2">
        <w:rPr>
          <w:rFonts w:ascii="Times New Roman" w:hAnsi="Times New Roman" w:cs="Times New Roman"/>
          <w:sz w:val="22"/>
          <w:szCs w:val="22"/>
        </w:rPr>
        <w:tab/>
        <w:t>The load and generation resource output for each zone, for each entity that dynamically schedules its resources</w:t>
      </w:r>
      <w:r w:rsidRPr="00FF6A5A">
        <w:rPr>
          <w:rFonts w:ascii="Times New Roman" w:hAnsi="Times New Roman" w:cs="Times New Roman"/>
          <w:sz w:val="22"/>
          <w:szCs w:val="22"/>
        </w:rPr>
        <w:t>,</w:t>
      </w:r>
      <w:r w:rsidRPr="008B7BA2">
        <w:rPr>
          <w:rFonts w:ascii="Times New Roman" w:hAnsi="Times New Roman" w:cs="Times New Roman"/>
          <w:strike/>
          <w:sz w:val="22"/>
          <w:szCs w:val="22"/>
        </w:rPr>
        <w:t xml:space="preserve"> shall be posted 90 days after the day for which the information is accumulated beginning March 1, 2007. Effective March 1, 2008, the information required by this subparagraph shall</w:t>
      </w:r>
      <w:r w:rsidRPr="008B7BA2">
        <w:rPr>
          <w:rFonts w:ascii="Times New Roman" w:hAnsi="Times New Roman" w:cs="Times New Roman"/>
          <w:sz w:val="22"/>
          <w:szCs w:val="22"/>
        </w:rPr>
        <w:t xml:space="preserve"> </w:t>
      </w:r>
      <w:r w:rsidR="00441E6D" w:rsidRPr="008B7BA2">
        <w:rPr>
          <w:rFonts w:ascii="Times New Roman" w:hAnsi="Times New Roman" w:cs="Times New Roman"/>
          <w:sz w:val="22"/>
          <w:szCs w:val="22"/>
          <w:u w:val="single"/>
        </w:rPr>
        <w:t xml:space="preserve">will </w:t>
      </w:r>
      <w:r w:rsidRPr="008B7BA2">
        <w:rPr>
          <w:rFonts w:ascii="Times New Roman" w:hAnsi="Times New Roman" w:cs="Times New Roman"/>
          <w:sz w:val="22"/>
          <w:szCs w:val="22"/>
        </w:rPr>
        <w:t xml:space="preserve">be posted 60 days after the day for which the information is accumulated. </w:t>
      </w:r>
    </w:p>
    <w:p w:rsidR="003129AE" w:rsidRPr="008B7BA2" w:rsidRDefault="003129AE" w:rsidP="003129AE">
      <w:pPr>
        <w:pStyle w:val="Default"/>
        <w:ind w:left="2160" w:hanging="720"/>
        <w:jc w:val="both"/>
        <w:rPr>
          <w:rFonts w:ascii="Times New Roman" w:hAnsi="Times New Roman" w:cs="Times New Roman"/>
          <w:sz w:val="22"/>
          <w:szCs w:val="22"/>
        </w:rPr>
      </w:pPr>
      <w:r w:rsidRPr="008B7BA2">
        <w:rPr>
          <w:rFonts w:ascii="Times New Roman" w:hAnsi="Times New Roman" w:cs="Times New Roman"/>
          <w:sz w:val="22"/>
          <w:szCs w:val="22"/>
        </w:rPr>
        <w:t>(</w:t>
      </w:r>
      <w:r w:rsidRPr="008B7BA2">
        <w:rPr>
          <w:rFonts w:ascii="Times New Roman" w:hAnsi="Times New Roman" w:cs="Times New Roman"/>
          <w:strike/>
          <w:sz w:val="22"/>
          <w:szCs w:val="22"/>
        </w:rPr>
        <w:t>D</w:t>
      </w:r>
      <w:r w:rsidR="00441E6D" w:rsidRPr="008B7BA2">
        <w:rPr>
          <w:rFonts w:ascii="Times New Roman" w:hAnsi="Times New Roman" w:cs="Times New Roman"/>
          <w:sz w:val="22"/>
          <w:szCs w:val="22"/>
          <w:u w:val="single"/>
        </w:rPr>
        <w:t>F</w:t>
      </w:r>
      <w:r w:rsidRPr="008B7BA2">
        <w:rPr>
          <w:rFonts w:ascii="Times New Roman" w:hAnsi="Times New Roman" w:cs="Times New Roman"/>
          <w:sz w:val="22"/>
          <w:szCs w:val="22"/>
        </w:rPr>
        <w:t xml:space="preserve">) </w:t>
      </w:r>
      <w:r w:rsidRPr="008B7BA2">
        <w:rPr>
          <w:rFonts w:ascii="Times New Roman" w:hAnsi="Times New Roman" w:cs="Times New Roman"/>
          <w:sz w:val="22"/>
          <w:szCs w:val="22"/>
        </w:rPr>
        <w:tab/>
        <w:t xml:space="preserve">ERCOT </w:t>
      </w:r>
      <w:r w:rsidRPr="008B7BA2">
        <w:rPr>
          <w:rFonts w:ascii="Times New Roman" w:hAnsi="Times New Roman" w:cs="Times New Roman"/>
          <w:strike/>
          <w:sz w:val="22"/>
          <w:szCs w:val="22"/>
        </w:rPr>
        <w:t>shall</w:t>
      </w:r>
      <w:r w:rsidRPr="008B7BA2">
        <w:rPr>
          <w:rFonts w:ascii="Times New Roman" w:hAnsi="Times New Roman" w:cs="Times New Roman"/>
          <w:sz w:val="22"/>
          <w:szCs w:val="22"/>
        </w:rPr>
        <w:t xml:space="preserve"> </w:t>
      </w:r>
      <w:r w:rsidR="00441E6D" w:rsidRPr="008B7BA2">
        <w:rPr>
          <w:rFonts w:ascii="Times New Roman" w:hAnsi="Times New Roman" w:cs="Times New Roman"/>
          <w:sz w:val="22"/>
          <w:szCs w:val="22"/>
          <w:u w:val="single"/>
        </w:rPr>
        <w:t xml:space="preserve">will </w:t>
      </w:r>
      <w:r w:rsidRPr="008B7BA2">
        <w:rPr>
          <w:rFonts w:ascii="Times New Roman" w:hAnsi="Times New Roman" w:cs="Times New Roman"/>
          <w:sz w:val="22"/>
          <w:szCs w:val="22"/>
        </w:rPr>
        <w:t xml:space="preserve">use §25.502(d) of this title (relating to Pricing Safeguards in Markets Operated by the Electric Reliability Council of Texas) as a basis for determining the control of a resource and </w:t>
      </w:r>
      <w:r w:rsidRPr="008B7BA2">
        <w:rPr>
          <w:rFonts w:ascii="Times New Roman" w:hAnsi="Times New Roman" w:cs="Times New Roman"/>
          <w:strike/>
          <w:sz w:val="22"/>
          <w:szCs w:val="22"/>
        </w:rPr>
        <w:t>shall</w:t>
      </w:r>
      <w:r w:rsidRPr="008B7BA2">
        <w:rPr>
          <w:rFonts w:ascii="Times New Roman" w:hAnsi="Times New Roman" w:cs="Times New Roman"/>
          <w:sz w:val="22"/>
          <w:szCs w:val="22"/>
        </w:rPr>
        <w:t xml:space="preserve"> </w:t>
      </w:r>
      <w:r w:rsidR="00441E6D" w:rsidRPr="008B7BA2">
        <w:rPr>
          <w:rFonts w:ascii="Times New Roman" w:hAnsi="Times New Roman" w:cs="Times New Roman"/>
          <w:sz w:val="22"/>
          <w:szCs w:val="22"/>
          <w:u w:val="single"/>
        </w:rPr>
        <w:t xml:space="preserve">will </w:t>
      </w:r>
      <w:r w:rsidRPr="008B7BA2">
        <w:rPr>
          <w:rFonts w:ascii="Times New Roman" w:hAnsi="Times New Roman" w:cs="Times New Roman"/>
          <w:sz w:val="22"/>
          <w:szCs w:val="22"/>
        </w:rPr>
        <w:t xml:space="preserve">include this information in its market operations data system. </w:t>
      </w:r>
    </w:p>
    <w:p w:rsidR="003129AE" w:rsidRPr="008B7BA2" w:rsidRDefault="003129AE" w:rsidP="003129AE">
      <w:pPr>
        <w:pStyle w:val="Default"/>
        <w:ind w:left="2160" w:hanging="720"/>
        <w:jc w:val="both"/>
        <w:rPr>
          <w:rFonts w:ascii="Times New Roman" w:hAnsi="Times New Roman" w:cs="Times New Roman"/>
          <w:sz w:val="22"/>
          <w:szCs w:val="22"/>
        </w:rPr>
      </w:pPr>
      <w:r w:rsidRPr="008B7BA2">
        <w:rPr>
          <w:rFonts w:ascii="Times New Roman" w:hAnsi="Times New Roman" w:cs="Times New Roman"/>
          <w:sz w:val="22"/>
          <w:szCs w:val="22"/>
        </w:rPr>
        <w:t>(</w:t>
      </w:r>
      <w:r w:rsidRPr="008B7BA2">
        <w:rPr>
          <w:rFonts w:ascii="Times New Roman" w:hAnsi="Times New Roman" w:cs="Times New Roman"/>
          <w:strike/>
          <w:sz w:val="22"/>
          <w:szCs w:val="22"/>
        </w:rPr>
        <w:t>E</w:t>
      </w:r>
      <w:r w:rsidR="00441E6D" w:rsidRPr="008B7BA2">
        <w:rPr>
          <w:rFonts w:ascii="Times New Roman" w:hAnsi="Times New Roman" w:cs="Times New Roman"/>
          <w:sz w:val="22"/>
          <w:szCs w:val="22"/>
          <w:u w:val="single"/>
        </w:rPr>
        <w:t>G</w:t>
      </w:r>
      <w:r w:rsidRPr="008B7BA2">
        <w:rPr>
          <w:rFonts w:ascii="Times New Roman" w:hAnsi="Times New Roman" w:cs="Times New Roman"/>
          <w:sz w:val="22"/>
          <w:szCs w:val="22"/>
        </w:rPr>
        <w:t xml:space="preserve">) </w:t>
      </w:r>
      <w:r w:rsidRPr="008B7BA2">
        <w:rPr>
          <w:rFonts w:ascii="Times New Roman" w:hAnsi="Times New Roman" w:cs="Times New Roman"/>
          <w:sz w:val="22"/>
          <w:szCs w:val="22"/>
        </w:rPr>
        <w:tab/>
      </w:r>
      <w:r w:rsidRPr="008B7BA2">
        <w:rPr>
          <w:rFonts w:ascii="Times New Roman" w:hAnsi="Times New Roman" w:cs="Times New Roman"/>
          <w:strike/>
          <w:sz w:val="22"/>
          <w:szCs w:val="22"/>
        </w:rPr>
        <w:t>After the start of operation of the market under a nodal market design,</w:t>
      </w:r>
      <w:r w:rsidRPr="008B7BA2">
        <w:rPr>
          <w:rFonts w:ascii="Times New Roman" w:hAnsi="Times New Roman" w:cs="Times New Roman"/>
          <w:sz w:val="22"/>
          <w:szCs w:val="22"/>
        </w:rPr>
        <w:t xml:space="preserve"> ERCOT </w:t>
      </w:r>
      <w:r w:rsidRPr="008B7BA2">
        <w:rPr>
          <w:rFonts w:ascii="Times New Roman" w:hAnsi="Times New Roman" w:cs="Times New Roman"/>
          <w:strike/>
          <w:sz w:val="22"/>
          <w:szCs w:val="22"/>
        </w:rPr>
        <w:t>shall</w:t>
      </w:r>
      <w:r w:rsidRPr="008B7BA2">
        <w:rPr>
          <w:rFonts w:ascii="Times New Roman" w:hAnsi="Times New Roman" w:cs="Times New Roman"/>
          <w:sz w:val="22"/>
          <w:szCs w:val="22"/>
        </w:rPr>
        <w:t xml:space="preserve"> </w:t>
      </w:r>
      <w:r w:rsidR="00441E6D" w:rsidRPr="008B7BA2">
        <w:rPr>
          <w:rFonts w:ascii="Times New Roman" w:hAnsi="Times New Roman" w:cs="Times New Roman"/>
          <w:sz w:val="22"/>
          <w:szCs w:val="22"/>
          <w:u w:val="single"/>
        </w:rPr>
        <w:t xml:space="preserve">will </w:t>
      </w:r>
      <w:r w:rsidRPr="008B7BA2">
        <w:rPr>
          <w:rFonts w:ascii="Times New Roman" w:hAnsi="Times New Roman" w:cs="Times New Roman"/>
          <w:strike/>
          <w:sz w:val="22"/>
          <w:szCs w:val="22"/>
        </w:rPr>
        <w:t>begin posting</w:t>
      </w:r>
      <w:r w:rsidRPr="008B7BA2">
        <w:rPr>
          <w:rFonts w:ascii="Times New Roman" w:hAnsi="Times New Roman" w:cs="Times New Roman"/>
          <w:sz w:val="22"/>
          <w:szCs w:val="22"/>
        </w:rPr>
        <w:t xml:space="preserve"> </w:t>
      </w:r>
      <w:r w:rsidR="00441E6D" w:rsidRPr="008B7BA2">
        <w:rPr>
          <w:rFonts w:ascii="Times New Roman" w:hAnsi="Times New Roman" w:cs="Times New Roman"/>
          <w:sz w:val="22"/>
          <w:szCs w:val="22"/>
          <w:u w:val="single"/>
        </w:rPr>
        <w:t xml:space="preserve">post </w:t>
      </w:r>
      <w:r w:rsidRPr="008B7BA2">
        <w:rPr>
          <w:rFonts w:ascii="Times New Roman" w:hAnsi="Times New Roman" w:cs="Times New Roman"/>
          <w:sz w:val="22"/>
          <w:szCs w:val="22"/>
        </w:rPr>
        <w:t xml:space="preserve">transmission flows, voltages, transformer flows, voltages and tap positions (i.e., State Estimator data) 60 days after the day for which the data were accumulated or other time interval as established in clause (ii) of this subparagraph. The data released </w:t>
      </w:r>
      <w:r w:rsidRPr="008B7BA2">
        <w:rPr>
          <w:rFonts w:ascii="Times New Roman" w:hAnsi="Times New Roman" w:cs="Times New Roman"/>
          <w:strike/>
          <w:sz w:val="22"/>
          <w:szCs w:val="22"/>
        </w:rPr>
        <w:t>shall</w:t>
      </w:r>
      <w:r w:rsidRPr="008B7BA2">
        <w:rPr>
          <w:rFonts w:ascii="Times New Roman" w:hAnsi="Times New Roman" w:cs="Times New Roman"/>
          <w:sz w:val="22"/>
          <w:szCs w:val="22"/>
        </w:rPr>
        <w:t xml:space="preserve"> </w:t>
      </w:r>
      <w:r w:rsidR="00441E6D" w:rsidRPr="008B7BA2">
        <w:rPr>
          <w:rFonts w:ascii="Times New Roman" w:hAnsi="Times New Roman" w:cs="Times New Roman"/>
          <w:sz w:val="22"/>
          <w:szCs w:val="22"/>
          <w:u w:val="single"/>
        </w:rPr>
        <w:t xml:space="preserve">will </w:t>
      </w:r>
      <w:r w:rsidRPr="008B7BA2">
        <w:rPr>
          <w:rFonts w:ascii="Times New Roman" w:hAnsi="Times New Roman" w:cs="Times New Roman"/>
          <w:sz w:val="22"/>
          <w:szCs w:val="22"/>
        </w:rPr>
        <w:t xml:space="preserve">be made available simultaneously to all market participants. </w:t>
      </w:r>
    </w:p>
    <w:p w:rsidR="003129AE" w:rsidRPr="008B7BA2" w:rsidRDefault="003129AE" w:rsidP="003129AE">
      <w:pPr>
        <w:pStyle w:val="Default"/>
        <w:ind w:left="2880" w:hanging="720"/>
        <w:jc w:val="both"/>
        <w:rPr>
          <w:rFonts w:ascii="Times New Roman" w:hAnsi="Times New Roman" w:cs="Times New Roman"/>
          <w:sz w:val="22"/>
          <w:szCs w:val="22"/>
        </w:rPr>
      </w:pPr>
      <w:r w:rsidRPr="008B7BA2">
        <w:rPr>
          <w:rFonts w:ascii="Times New Roman" w:hAnsi="Times New Roman" w:cs="Times New Roman"/>
          <w:sz w:val="22"/>
          <w:szCs w:val="22"/>
        </w:rPr>
        <w:t>(</w:t>
      </w:r>
      <w:proofErr w:type="spellStart"/>
      <w:r w:rsidRPr="008B7BA2">
        <w:rPr>
          <w:rFonts w:ascii="Times New Roman" w:hAnsi="Times New Roman" w:cs="Times New Roman"/>
          <w:sz w:val="22"/>
          <w:szCs w:val="22"/>
        </w:rPr>
        <w:t>i</w:t>
      </w:r>
      <w:proofErr w:type="spellEnd"/>
      <w:r w:rsidRPr="008B7BA2">
        <w:rPr>
          <w:rFonts w:ascii="Times New Roman" w:hAnsi="Times New Roman" w:cs="Times New Roman"/>
          <w:sz w:val="22"/>
          <w:szCs w:val="22"/>
        </w:rPr>
        <w:t xml:space="preserve">) </w:t>
      </w:r>
      <w:r w:rsidRPr="008B7BA2">
        <w:rPr>
          <w:rFonts w:ascii="Times New Roman" w:hAnsi="Times New Roman" w:cs="Times New Roman"/>
          <w:sz w:val="22"/>
          <w:szCs w:val="22"/>
        </w:rPr>
        <w:tab/>
        <w:t xml:space="preserve">Notwithstanding </w:t>
      </w:r>
      <w:r w:rsidRPr="008B7BA2">
        <w:rPr>
          <w:rFonts w:ascii="Times New Roman" w:hAnsi="Times New Roman" w:cs="Times New Roman"/>
          <w:strike/>
          <w:sz w:val="22"/>
          <w:szCs w:val="22"/>
        </w:rPr>
        <w:t>the</w:t>
      </w:r>
      <w:r w:rsidRPr="008B7BA2">
        <w:rPr>
          <w:rFonts w:ascii="Times New Roman" w:hAnsi="Times New Roman" w:cs="Times New Roman"/>
          <w:sz w:val="22"/>
          <w:szCs w:val="22"/>
        </w:rPr>
        <w:t xml:space="preserve"> </w:t>
      </w:r>
      <w:r w:rsidR="00BE3A7C" w:rsidRPr="008B7BA2">
        <w:rPr>
          <w:rFonts w:ascii="Times New Roman" w:hAnsi="Times New Roman" w:cs="Times New Roman"/>
          <w:sz w:val="22"/>
          <w:szCs w:val="22"/>
          <w:u w:val="single"/>
        </w:rPr>
        <w:t xml:space="preserve">any other </w:t>
      </w:r>
      <w:r w:rsidRPr="008B7BA2">
        <w:rPr>
          <w:rFonts w:ascii="Times New Roman" w:hAnsi="Times New Roman" w:cs="Times New Roman"/>
          <w:sz w:val="22"/>
          <w:szCs w:val="22"/>
        </w:rPr>
        <w:t xml:space="preserve">provisions of this </w:t>
      </w:r>
      <w:r w:rsidRPr="008B7BA2">
        <w:rPr>
          <w:rFonts w:ascii="Times New Roman" w:hAnsi="Times New Roman" w:cs="Times New Roman"/>
          <w:strike/>
          <w:sz w:val="22"/>
          <w:szCs w:val="22"/>
        </w:rPr>
        <w:t>subparagraph and the provisions of subparagraph (B) of this paragraph</w:t>
      </w:r>
      <w:r w:rsidR="00BE3A7C" w:rsidRPr="008B7BA2">
        <w:rPr>
          <w:rFonts w:ascii="Times New Roman" w:hAnsi="Times New Roman" w:cs="Times New Roman"/>
          <w:sz w:val="22"/>
          <w:szCs w:val="22"/>
          <w:u w:val="single"/>
        </w:rPr>
        <w:t xml:space="preserve"> subsection</w:t>
      </w:r>
      <w:r w:rsidRPr="008B7BA2">
        <w:rPr>
          <w:rFonts w:ascii="Times New Roman" w:hAnsi="Times New Roman" w:cs="Times New Roman"/>
          <w:sz w:val="22"/>
          <w:szCs w:val="22"/>
        </w:rPr>
        <w:t xml:space="preserve">, ERCOT, in its sole discretion, </w:t>
      </w:r>
      <w:r w:rsidRPr="008B7BA2">
        <w:rPr>
          <w:rFonts w:ascii="Times New Roman" w:hAnsi="Times New Roman" w:cs="Times New Roman"/>
          <w:strike/>
          <w:sz w:val="22"/>
          <w:szCs w:val="22"/>
        </w:rPr>
        <w:t>shall</w:t>
      </w:r>
      <w:r w:rsidRPr="008B7BA2">
        <w:rPr>
          <w:rFonts w:ascii="Times New Roman" w:hAnsi="Times New Roman" w:cs="Times New Roman"/>
          <w:sz w:val="22"/>
          <w:szCs w:val="22"/>
        </w:rPr>
        <w:t xml:space="preserve"> </w:t>
      </w:r>
      <w:r w:rsidR="00BE3A7C" w:rsidRPr="008B7BA2">
        <w:rPr>
          <w:rFonts w:ascii="Times New Roman" w:hAnsi="Times New Roman" w:cs="Times New Roman"/>
          <w:sz w:val="22"/>
          <w:szCs w:val="22"/>
          <w:u w:val="single"/>
        </w:rPr>
        <w:t xml:space="preserve">will </w:t>
      </w:r>
      <w:r w:rsidRPr="008B7BA2">
        <w:rPr>
          <w:rFonts w:ascii="Times New Roman" w:hAnsi="Times New Roman" w:cs="Times New Roman"/>
          <w:sz w:val="22"/>
          <w:szCs w:val="22"/>
        </w:rPr>
        <w:t xml:space="preserve">release relevant State Estimator data earlier than 60 days after the day for which the information is accumulated if it determines the release is necessary to provide a complete and timely explanation and analysis of unexpected market operations and results or system events, including but not limited to pricing anomalies, recurring transmission congestion, and system disturbances. ERCOT’s release of data under this clause </w:t>
      </w:r>
      <w:proofErr w:type="gramStart"/>
      <w:r w:rsidRPr="00FF6A5A">
        <w:rPr>
          <w:rFonts w:ascii="Times New Roman" w:hAnsi="Times New Roman" w:cs="Times New Roman"/>
          <w:strike/>
          <w:sz w:val="22"/>
          <w:szCs w:val="22"/>
        </w:rPr>
        <w:t xml:space="preserve">shall </w:t>
      </w:r>
      <w:r w:rsidR="00FF6A5A">
        <w:rPr>
          <w:rFonts w:ascii="Times New Roman" w:hAnsi="Times New Roman" w:cs="Times New Roman"/>
          <w:sz w:val="22"/>
          <w:szCs w:val="22"/>
        </w:rPr>
        <w:t xml:space="preserve"> </w:t>
      </w:r>
      <w:r w:rsidR="00FF6A5A">
        <w:rPr>
          <w:rFonts w:ascii="Times New Roman" w:hAnsi="Times New Roman" w:cs="Times New Roman"/>
          <w:sz w:val="22"/>
          <w:szCs w:val="22"/>
          <w:u w:val="single"/>
        </w:rPr>
        <w:t>will</w:t>
      </w:r>
      <w:proofErr w:type="gramEnd"/>
      <w:r w:rsidR="00FF6A5A">
        <w:rPr>
          <w:rFonts w:ascii="Times New Roman" w:hAnsi="Times New Roman" w:cs="Times New Roman"/>
          <w:sz w:val="22"/>
          <w:szCs w:val="22"/>
          <w:u w:val="single"/>
        </w:rPr>
        <w:t xml:space="preserve"> </w:t>
      </w:r>
      <w:r w:rsidRPr="008B7BA2">
        <w:rPr>
          <w:rFonts w:ascii="Times New Roman" w:hAnsi="Times New Roman" w:cs="Times New Roman"/>
          <w:sz w:val="22"/>
          <w:szCs w:val="22"/>
        </w:rPr>
        <w:t xml:space="preserve">be limited to intervals associated with the unexpected market or system event as determined by ERCOT. The data released </w:t>
      </w:r>
      <w:r w:rsidRPr="00FF6A5A">
        <w:rPr>
          <w:rFonts w:ascii="Times New Roman" w:hAnsi="Times New Roman" w:cs="Times New Roman"/>
          <w:strike/>
          <w:sz w:val="22"/>
          <w:szCs w:val="22"/>
        </w:rPr>
        <w:t>shall</w:t>
      </w:r>
      <w:r w:rsidR="00FF6A5A">
        <w:rPr>
          <w:rFonts w:ascii="Times New Roman" w:hAnsi="Times New Roman" w:cs="Times New Roman"/>
          <w:strike/>
          <w:sz w:val="22"/>
          <w:szCs w:val="22"/>
        </w:rPr>
        <w:t xml:space="preserve"> </w:t>
      </w:r>
      <w:r w:rsidR="00FF6A5A">
        <w:rPr>
          <w:rFonts w:ascii="Times New Roman" w:hAnsi="Times New Roman" w:cs="Times New Roman"/>
          <w:sz w:val="22"/>
          <w:szCs w:val="22"/>
          <w:u w:val="single"/>
        </w:rPr>
        <w:t>will</w:t>
      </w:r>
      <w:r w:rsidRPr="008B7BA2">
        <w:rPr>
          <w:rFonts w:ascii="Times New Roman" w:hAnsi="Times New Roman" w:cs="Times New Roman"/>
          <w:sz w:val="22"/>
          <w:szCs w:val="22"/>
        </w:rPr>
        <w:t xml:space="preserve"> be made available simultaneously to all market participants. </w:t>
      </w:r>
    </w:p>
    <w:p w:rsidR="003129AE" w:rsidRPr="008B7BA2" w:rsidRDefault="003129AE" w:rsidP="003129AE">
      <w:pPr>
        <w:pStyle w:val="Default"/>
        <w:ind w:left="2880" w:hanging="720"/>
        <w:jc w:val="both"/>
        <w:rPr>
          <w:rFonts w:ascii="Times New Roman" w:hAnsi="Times New Roman" w:cs="Times New Roman"/>
          <w:sz w:val="22"/>
          <w:szCs w:val="22"/>
        </w:rPr>
      </w:pPr>
      <w:r w:rsidRPr="008B7BA2">
        <w:rPr>
          <w:rFonts w:ascii="Times New Roman" w:hAnsi="Times New Roman" w:cs="Times New Roman"/>
          <w:sz w:val="22"/>
          <w:szCs w:val="22"/>
        </w:rPr>
        <w:t xml:space="preserve">(ii) </w:t>
      </w:r>
      <w:r w:rsidRPr="008B7BA2">
        <w:rPr>
          <w:rFonts w:ascii="Times New Roman" w:hAnsi="Times New Roman" w:cs="Times New Roman"/>
          <w:sz w:val="22"/>
          <w:szCs w:val="22"/>
        </w:rPr>
        <w:tab/>
        <w:t xml:space="preserve">Notwithstanding </w:t>
      </w:r>
      <w:r w:rsidR="00BE3A7C" w:rsidRPr="008B7BA2">
        <w:rPr>
          <w:rFonts w:ascii="Times New Roman" w:hAnsi="Times New Roman" w:cs="Times New Roman"/>
          <w:strike/>
          <w:sz w:val="22"/>
          <w:szCs w:val="22"/>
        </w:rPr>
        <w:t>the</w:t>
      </w:r>
      <w:r w:rsidR="00BE3A7C" w:rsidRPr="008B7BA2">
        <w:rPr>
          <w:rFonts w:ascii="Times New Roman" w:hAnsi="Times New Roman" w:cs="Times New Roman"/>
          <w:sz w:val="22"/>
          <w:szCs w:val="22"/>
        </w:rPr>
        <w:t xml:space="preserve"> </w:t>
      </w:r>
      <w:r w:rsidR="00BE3A7C" w:rsidRPr="008B7BA2">
        <w:rPr>
          <w:rFonts w:ascii="Times New Roman" w:hAnsi="Times New Roman" w:cs="Times New Roman"/>
          <w:sz w:val="22"/>
          <w:szCs w:val="22"/>
          <w:u w:val="single"/>
        </w:rPr>
        <w:t xml:space="preserve">any other </w:t>
      </w:r>
      <w:r w:rsidRPr="008B7BA2">
        <w:rPr>
          <w:rFonts w:ascii="Times New Roman" w:hAnsi="Times New Roman" w:cs="Times New Roman"/>
          <w:sz w:val="22"/>
          <w:szCs w:val="22"/>
        </w:rPr>
        <w:t xml:space="preserve">provisions of this </w:t>
      </w:r>
      <w:r w:rsidRPr="008B7BA2">
        <w:rPr>
          <w:rFonts w:ascii="Times New Roman" w:hAnsi="Times New Roman" w:cs="Times New Roman"/>
          <w:strike/>
          <w:sz w:val="22"/>
          <w:szCs w:val="22"/>
        </w:rPr>
        <w:t>subparagraph and the other provisions of subparagraph (B) of this paragraph</w:t>
      </w:r>
      <w:r w:rsidR="00BE3A7C" w:rsidRPr="008B7BA2">
        <w:rPr>
          <w:rFonts w:ascii="Times New Roman" w:hAnsi="Times New Roman" w:cs="Times New Roman"/>
          <w:sz w:val="22"/>
          <w:szCs w:val="22"/>
        </w:rPr>
        <w:t xml:space="preserve"> </w:t>
      </w:r>
      <w:r w:rsidR="00BE3A7C" w:rsidRPr="008B7BA2">
        <w:rPr>
          <w:rFonts w:ascii="Times New Roman" w:hAnsi="Times New Roman" w:cs="Times New Roman"/>
          <w:sz w:val="22"/>
          <w:szCs w:val="22"/>
          <w:u w:val="single"/>
        </w:rPr>
        <w:t>subsection</w:t>
      </w:r>
      <w:r w:rsidRPr="008B7BA2">
        <w:rPr>
          <w:rFonts w:ascii="Times New Roman" w:hAnsi="Times New Roman" w:cs="Times New Roman"/>
          <w:sz w:val="22"/>
          <w:szCs w:val="22"/>
        </w:rPr>
        <w:t xml:space="preserve">, ERCOT </w:t>
      </w:r>
      <w:r w:rsidRPr="008B7BA2">
        <w:rPr>
          <w:rFonts w:ascii="Times New Roman" w:hAnsi="Times New Roman" w:cs="Times New Roman"/>
          <w:strike/>
          <w:sz w:val="22"/>
          <w:szCs w:val="22"/>
        </w:rPr>
        <w:t xml:space="preserve">shall, by the start of the nodal market, develop and post a redacted version of State Estimator data, as soon as reasonably practicable after collection of the data, so long as a redacted version excludes information (including but not limited to, voltages, transmission flows and transformer flows) from which resource-specific output levels or offer curves could continually and systematically be derived. Concurrently, in conjunction </w:t>
      </w:r>
      <w:r w:rsidRPr="008B7BA2">
        <w:rPr>
          <w:rFonts w:ascii="Times New Roman" w:hAnsi="Times New Roman" w:cs="Times New Roman"/>
          <w:strike/>
          <w:sz w:val="22"/>
          <w:szCs w:val="22"/>
        </w:rPr>
        <w:lastRenderedPageBreak/>
        <w:t xml:space="preserve">with the Independent Market Monitor and the commission Staff, ERCOT, through its stakeholder process, shall develop protocols that detail, at a minimum, the methodology, duration, and posting requirement of a redacted version of the State Estimator data. The redacted report methodology developed through the stakeholder process shall be completed within 90 days of the start of the nodal market. If ERCOT is unable to develop a </w:t>
      </w:r>
      <w:proofErr w:type="gramStart"/>
      <w:r w:rsidRPr="008B7BA2">
        <w:rPr>
          <w:rFonts w:ascii="Times New Roman" w:hAnsi="Times New Roman" w:cs="Times New Roman"/>
          <w:strike/>
          <w:sz w:val="22"/>
          <w:szCs w:val="22"/>
        </w:rPr>
        <w:t>cost effective</w:t>
      </w:r>
      <w:proofErr w:type="gramEnd"/>
      <w:r w:rsidRPr="008B7BA2">
        <w:rPr>
          <w:rFonts w:ascii="Times New Roman" w:hAnsi="Times New Roman" w:cs="Times New Roman"/>
          <w:strike/>
          <w:sz w:val="22"/>
          <w:szCs w:val="22"/>
        </w:rPr>
        <w:t xml:space="preserve"> protocol for the redaction process of the State Estimator data within 90 days of the start of the nodal market, then</w:t>
      </w:r>
      <w:r w:rsidRPr="008B7BA2">
        <w:rPr>
          <w:rFonts w:ascii="Times New Roman" w:hAnsi="Times New Roman" w:cs="Times New Roman"/>
          <w:sz w:val="22"/>
          <w:szCs w:val="22"/>
        </w:rPr>
        <w:t xml:space="preserve"> </w:t>
      </w:r>
      <w:r w:rsidR="00BE3A7C" w:rsidRPr="008B7BA2">
        <w:rPr>
          <w:rFonts w:ascii="Times New Roman" w:hAnsi="Times New Roman" w:cs="Times New Roman"/>
          <w:sz w:val="22"/>
          <w:szCs w:val="22"/>
          <w:u w:val="single"/>
        </w:rPr>
        <w:t xml:space="preserve">will release </w:t>
      </w:r>
      <w:r w:rsidRPr="008B7BA2">
        <w:rPr>
          <w:rFonts w:ascii="Times New Roman" w:hAnsi="Times New Roman" w:cs="Times New Roman"/>
          <w:sz w:val="22"/>
          <w:szCs w:val="22"/>
        </w:rPr>
        <w:t xml:space="preserve">the following information </w:t>
      </w:r>
      <w:r w:rsidRPr="008B7BA2">
        <w:rPr>
          <w:rFonts w:ascii="Times New Roman" w:hAnsi="Times New Roman" w:cs="Times New Roman"/>
          <w:strike/>
          <w:sz w:val="22"/>
          <w:szCs w:val="22"/>
        </w:rPr>
        <w:t>shall be released</w:t>
      </w:r>
      <w:r w:rsidRPr="008B7BA2">
        <w:rPr>
          <w:rFonts w:ascii="Times New Roman" w:hAnsi="Times New Roman" w:cs="Times New Roman"/>
          <w:sz w:val="22"/>
          <w:szCs w:val="22"/>
        </w:rPr>
        <w:t xml:space="preserve"> as soon as reasonably practicable: </w:t>
      </w:r>
    </w:p>
    <w:p w:rsidR="003129AE" w:rsidRPr="008B7BA2" w:rsidRDefault="003129AE" w:rsidP="00441E6D">
      <w:pPr>
        <w:pStyle w:val="Default"/>
        <w:ind w:left="3600" w:hanging="720"/>
        <w:jc w:val="both"/>
        <w:rPr>
          <w:rFonts w:ascii="Times New Roman" w:hAnsi="Times New Roman" w:cs="Times New Roman"/>
          <w:sz w:val="22"/>
          <w:szCs w:val="22"/>
        </w:rPr>
      </w:pPr>
      <w:r w:rsidRPr="008B7BA2">
        <w:rPr>
          <w:rFonts w:ascii="Times New Roman" w:hAnsi="Times New Roman" w:cs="Times New Roman"/>
          <w:sz w:val="22"/>
          <w:szCs w:val="22"/>
        </w:rPr>
        <w:t xml:space="preserve">(I) </w:t>
      </w:r>
      <w:r w:rsidRPr="008B7BA2">
        <w:rPr>
          <w:rFonts w:ascii="Times New Roman" w:hAnsi="Times New Roman" w:cs="Times New Roman"/>
          <w:sz w:val="22"/>
          <w:szCs w:val="22"/>
        </w:rPr>
        <w:tab/>
        <w:t xml:space="preserve">Current commercially significant constraints (CSCs) and closely related elements (CREs) line flows that are embodied in the competitive constraint list from the Competitive Constraint Test; </w:t>
      </w:r>
    </w:p>
    <w:p w:rsidR="003129AE" w:rsidRPr="008B7BA2" w:rsidRDefault="003129AE" w:rsidP="00441E6D">
      <w:pPr>
        <w:pStyle w:val="Default"/>
        <w:ind w:left="3600" w:hanging="720"/>
        <w:jc w:val="both"/>
        <w:rPr>
          <w:rFonts w:ascii="Times New Roman" w:hAnsi="Times New Roman" w:cs="Times New Roman"/>
          <w:sz w:val="22"/>
          <w:szCs w:val="22"/>
        </w:rPr>
      </w:pPr>
      <w:r w:rsidRPr="008B7BA2">
        <w:rPr>
          <w:rFonts w:ascii="Times New Roman" w:hAnsi="Times New Roman" w:cs="Times New Roman"/>
          <w:sz w:val="22"/>
          <w:szCs w:val="22"/>
        </w:rPr>
        <w:t>(II)</w:t>
      </w:r>
      <w:r w:rsidRPr="008B7BA2">
        <w:rPr>
          <w:rFonts w:ascii="Times New Roman" w:hAnsi="Times New Roman" w:cs="Times New Roman"/>
          <w:sz w:val="22"/>
          <w:szCs w:val="22"/>
        </w:rPr>
        <w:tab/>
        <w:t xml:space="preserve">For phase shifting transformers, tap positions and line flows; </w:t>
      </w:r>
    </w:p>
    <w:p w:rsidR="003129AE" w:rsidRPr="008B7BA2" w:rsidRDefault="003129AE" w:rsidP="00441E6D">
      <w:pPr>
        <w:pStyle w:val="Default"/>
        <w:ind w:left="3600" w:hanging="720"/>
        <w:jc w:val="both"/>
        <w:rPr>
          <w:rFonts w:ascii="Times New Roman" w:hAnsi="Times New Roman" w:cs="Times New Roman"/>
          <w:sz w:val="22"/>
          <w:szCs w:val="22"/>
        </w:rPr>
      </w:pPr>
      <w:r w:rsidRPr="008B7BA2">
        <w:rPr>
          <w:rFonts w:ascii="Times New Roman" w:hAnsi="Times New Roman" w:cs="Times New Roman"/>
          <w:sz w:val="22"/>
          <w:szCs w:val="22"/>
        </w:rPr>
        <w:t xml:space="preserve">(III) </w:t>
      </w:r>
      <w:r w:rsidRPr="008B7BA2">
        <w:rPr>
          <w:rFonts w:ascii="Times New Roman" w:hAnsi="Times New Roman" w:cs="Times New Roman"/>
          <w:sz w:val="22"/>
          <w:szCs w:val="22"/>
        </w:rPr>
        <w:tab/>
        <w:t xml:space="preserve">Voltages at all buses; </w:t>
      </w:r>
    </w:p>
    <w:p w:rsidR="003129AE" w:rsidRPr="008B7BA2" w:rsidRDefault="003129AE" w:rsidP="00441E6D">
      <w:pPr>
        <w:pStyle w:val="Default"/>
        <w:ind w:left="3600" w:hanging="720"/>
        <w:jc w:val="both"/>
        <w:rPr>
          <w:rFonts w:ascii="Times New Roman" w:hAnsi="Times New Roman" w:cs="Times New Roman"/>
          <w:sz w:val="22"/>
          <w:szCs w:val="22"/>
        </w:rPr>
      </w:pPr>
      <w:r w:rsidRPr="008B7BA2">
        <w:rPr>
          <w:rFonts w:ascii="Times New Roman" w:hAnsi="Times New Roman" w:cs="Times New Roman"/>
          <w:sz w:val="22"/>
          <w:szCs w:val="22"/>
        </w:rPr>
        <w:t xml:space="preserve">(IV) </w:t>
      </w:r>
      <w:r w:rsidRPr="008B7BA2">
        <w:rPr>
          <w:rFonts w:ascii="Times New Roman" w:hAnsi="Times New Roman" w:cs="Times New Roman"/>
          <w:sz w:val="22"/>
          <w:szCs w:val="22"/>
        </w:rPr>
        <w:tab/>
        <w:t xml:space="preserve">Line flows on lines that make up interfaces (import, export, flow gate, or stability); and </w:t>
      </w:r>
    </w:p>
    <w:p w:rsidR="003129AE" w:rsidRPr="008B7BA2" w:rsidRDefault="003129AE" w:rsidP="00441E6D">
      <w:pPr>
        <w:pStyle w:val="Default"/>
        <w:ind w:left="3600" w:hanging="720"/>
        <w:jc w:val="both"/>
        <w:rPr>
          <w:rFonts w:ascii="Times New Roman" w:hAnsi="Times New Roman" w:cs="Times New Roman"/>
          <w:sz w:val="22"/>
          <w:szCs w:val="22"/>
        </w:rPr>
      </w:pPr>
      <w:r w:rsidRPr="008B7BA2">
        <w:rPr>
          <w:rFonts w:ascii="Times New Roman" w:hAnsi="Times New Roman" w:cs="Times New Roman"/>
          <w:sz w:val="22"/>
          <w:szCs w:val="22"/>
        </w:rPr>
        <w:t xml:space="preserve">(V) </w:t>
      </w:r>
      <w:r w:rsidRPr="008B7BA2">
        <w:rPr>
          <w:rFonts w:ascii="Times New Roman" w:hAnsi="Times New Roman" w:cs="Times New Roman"/>
          <w:sz w:val="22"/>
          <w:szCs w:val="22"/>
        </w:rPr>
        <w:tab/>
        <w:t xml:space="preserve">Line flows on DC ties. </w:t>
      </w:r>
    </w:p>
    <w:p w:rsidR="003129AE" w:rsidRPr="008B7BA2" w:rsidRDefault="003129AE" w:rsidP="00441E6D">
      <w:pPr>
        <w:pStyle w:val="Default"/>
        <w:ind w:left="2880" w:hanging="720"/>
        <w:jc w:val="both"/>
        <w:rPr>
          <w:rFonts w:ascii="Times New Roman" w:hAnsi="Times New Roman" w:cs="Times New Roman"/>
          <w:sz w:val="22"/>
          <w:szCs w:val="22"/>
        </w:rPr>
      </w:pPr>
      <w:r w:rsidRPr="008B7BA2">
        <w:rPr>
          <w:rFonts w:ascii="Times New Roman" w:hAnsi="Times New Roman" w:cs="Times New Roman"/>
          <w:sz w:val="22"/>
          <w:szCs w:val="22"/>
        </w:rPr>
        <w:t xml:space="preserve">(iii) </w:t>
      </w:r>
      <w:r w:rsidRPr="008B7BA2">
        <w:rPr>
          <w:rFonts w:ascii="Times New Roman" w:hAnsi="Times New Roman" w:cs="Times New Roman"/>
          <w:sz w:val="22"/>
          <w:szCs w:val="22"/>
        </w:rPr>
        <w:tab/>
        <w:t xml:space="preserve">In no event </w:t>
      </w:r>
      <w:r w:rsidRPr="008B7BA2">
        <w:rPr>
          <w:rFonts w:ascii="Times New Roman" w:hAnsi="Times New Roman" w:cs="Times New Roman"/>
          <w:strike/>
          <w:sz w:val="22"/>
          <w:szCs w:val="22"/>
        </w:rPr>
        <w:t>shall</w:t>
      </w:r>
      <w:r w:rsidRPr="008B7BA2">
        <w:rPr>
          <w:rFonts w:ascii="Times New Roman" w:hAnsi="Times New Roman" w:cs="Times New Roman"/>
          <w:sz w:val="22"/>
          <w:szCs w:val="22"/>
        </w:rPr>
        <w:t xml:space="preserve"> </w:t>
      </w:r>
      <w:r w:rsidR="00BE3A7C" w:rsidRPr="008B7BA2">
        <w:rPr>
          <w:rFonts w:ascii="Times New Roman" w:hAnsi="Times New Roman" w:cs="Times New Roman"/>
          <w:sz w:val="22"/>
          <w:szCs w:val="22"/>
          <w:u w:val="single"/>
        </w:rPr>
        <w:t xml:space="preserve">will </w:t>
      </w:r>
      <w:r w:rsidRPr="008B7BA2">
        <w:rPr>
          <w:rFonts w:ascii="Times New Roman" w:hAnsi="Times New Roman" w:cs="Times New Roman"/>
          <w:sz w:val="22"/>
          <w:szCs w:val="22"/>
        </w:rPr>
        <w:t xml:space="preserve">ERCOT disclose competitively sensitive consumption data. </w:t>
      </w:r>
    </w:p>
    <w:p w:rsidR="00974886" w:rsidRDefault="002B7F45" w:rsidP="00FF6A5A">
      <w:pPr>
        <w:pStyle w:val="annettes"/>
        <w:spacing w:before="360"/>
        <w:jc w:val="center"/>
        <w:rPr>
          <w:rFonts w:cs="Times New Roman"/>
          <w:b/>
          <w:szCs w:val="24"/>
        </w:rPr>
      </w:pPr>
      <w:r w:rsidRPr="0048370E">
        <w:rPr>
          <w:rFonts w:cs="Times New Roman"/>
          <w:b/>
          <w:szCs w:val="24"/>
        </w:rPr>
        <w:t>II</w:t>
      </w:r>
      <w:r w:rsidR="0002294B">
        <w:rPr>
          <w:rFonts w:cs="Times New Roman"/>
          <w:b/>
          <w:szCs w:val="24"/>
        </w:rPr>
        <w:t>I</w:t>
      </w:r>
      <w:r w:rsidRPr="0048370E">
        <w:rPr>
          <w:rFonts w:cs="Times New Roman"/>
          <w:b/>
          <w:szCs w:val="24"/>
        </w:rPr>
        <w:t xml:space="preserve">. </w:t>
      </w:r>
      <w:r w:rsidR="005350ED">
        <w:rPr>
          <w:rFonts w:cs="Times New Roman"/>
          <w:b/>
          <w:szCs w:val="24"/>
        </w:rPr>
        <w:t xml:space="preserve"> </w:t>
      </w:r>
      <w:r w:rsidR="00A934BB" w:rsidRPr="0048370E">
        <w:rPr>
          <w:rFonts w:cs="Times New Roman"/>
          <w:b/>
          <w:szCs w:val="24"/>
        </w:rPr>
        <w:t>Conclusion</w:t>
      </w:r>
    </w:p>
    <w:p w:rsidR="00A92660" w:rsidRDefault="00DA49BD" w:rsidP="00FF6A5A">
      <w:pPr>
        <w:pStyle w:val="annettes"/>
        <w:rPr>
          <w:rFonts w:cs="Times New Roman"/>
          <w:szCs w:val="24"/>
        </w:rPr>
      </w:pPr>
      <w:r>
        <w:rPr>
          <w:rFonts w:cs="Times New Roman"/>
          <w:szCs w:val="24"/>
        </w:rPr>
        <w:tab/>
      </w:r>
      <w:r w:rsidR="00FF6A5A">
        <w:rPr>
          <w:rFonts w:cs="Times New Roman"/>
          <w:szCs w:val="24"/>
        </w:rPr>
        <w:t xml:space="preserve">TCPA appreciates the Commission’s consideration of its comments and requests that </w:t>
      </w:r>
      <w:r w:rsidR="00700F70">
        <w:rPr>
          <w:rFonts w:cs="Times New Roman"/>
          <w:szCs w:val="24"/>
        </w:rPr>
        <w:t>the Commission:</w:t>
      </w:r>
    </w:p>
    <w:p w:rsidR="00700F70" w:rsidRDefault="00700F70" w:rsidP="00700F70">
      <w:pPr>
        <w:pStyle w:val="annettes"/>
        <w:numPr>
          <w:ilvl w:val="0"/>
          <w:numId w:val="23"/>
        </w:numPr>
        <w:rPr>
          <w:rFonts w:cs="Times New Roman"/>
          <w:szCs w:val="24"/>
        </w:rPr>
      </w:pPr>
      <w:r>
        <w:rPr>
          <w:rFonts w:cs="Times New Roman"/>
          <w:szCs w:val="24"/>
        </w:rPr>
        <w:t>Eliminate the LCAP, or, alternatively, (</w:t>
      </w:r>
      <w:proofErr w:type="spellStart"/>
      <w:r>
        <w:rPr>
          <w:rFonts w:cs="Times New Roman"/>
          <w:szCs w:val="24"/>
        </w:rPr>
        <w:t>i</w:t>
      </w:r>
      <w:proofErr w:type="spellEnd"/>
      <w:r>
        <w:rPr>
          <w:rFonts w:cs="Times New Roman"/>
          <w:szCs w:val="24"/>
        </w:rPr>
        <w:t>) increase the LCAP to $4,500/MWh, (ii) if the LCAP is triggered, reset the VOLL to the LCAP for purposes of administrative pricing mechanisms like the ORDC and RDPA, and (iii) refrain from stating that prices will never exceed the LCAP if it is triggered.</w:t>
      </w:r>
    </w:p>
    <w:p w:rsidR="00700F70" w:rsidRDefault="00700F70" w:rsidP="00700F70">
      <w:pPr>
        <w:pStyle w:val="annettes"/>
        <w:numPr>
          <w:ilvl w:val="0"/>
          <w:numId w:val="23"/>
        </w:numPr>
        <w:rPr>
          <w:rFonts w:cs="Times New Roman"/>
          <w:szCs w:val="24"/>
        </w:rPr>
      </w:pPr>
      <w:r>
        <w:rPr>
          <w:rFonts w:cs="Times New Roman"/>
          <w:szCs w:val="24"/>
        </w:rPr>
        <w:t>Retain but streamline and update the reporting requirements in existing subsection (f) of the rule, and if the LCAP is eliminated, add a requirement to that subsection for ERCOT to report on the PNM each day.</w:t>
      </w:r>
    </w:p>
    <w:p w:rsidR="00700F70" w:rsidRPr="00DA49BD" w:rsidRDefault="00700F70" w:rsidP="00700F70">
      <w:pPr>
        <w:pStyle w:val="annettes"/>
        <w:numPr>
          <w:ilvl w:val="0"/>
          <w:numId w:val="23"/>
        </w:numPr>
        <w:rPr>
          <w:rFonts w:cs="Times New Roman"/>
          <w:szCs w:val="24"/>
        </w:rPr>
      </w:pPr>
      <w:r>
        <w:rPr>
          <w:rFonts w:cs="Times New Roman"/>
          <w:szCs w:val="24"/>
        </w:rPr>
        <w:t>Make the other stylistic revisions suggested above</w:t>
      </w:r>
      <w:r w:rsidR="00BC0C68">
        <w:rPr>
          <w:rFonts w:cs="Times New Roman"/>
          <w:szCs w:val="24"/>
        </w:rPr>
        <w:t>, including a restyling of the proposed rule and relevant sections to use the more descriptive “Scarcity Pricing Parameters” instead of “Scarcity Pricing Mechanism</w:t>
      </w:r>
      <w:r>
        <w:rPr>
          <w:rFonts w:cs="Times New Roman"/>
          <w:szCs w:val="24"/>
        </w:rPr>
        <w:t>.</w:t>
      </w:r>
      <w:r w:rsidR="00BC0C68">
        <w:rPr>
          <w:rFonts w:cs="Times New Roman"/>
          <w:szCs w:val="24"/>
        </w:rPr>
        <w:t>”</w:t>
      </w:r>
    </w:p>
    <w:p w:rsidR="009D303C" w:rsidRDefault="009D303C" w:rsidP="009D303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Dated:  </w:t>
      </w:r>
      <w:r w:rsidR="0002294B">
        <w:rPr>
          <w:rFonts w:ascii="Times New Roman" w:hAnsi="Times New Roman" w:cs="Times New Roman"/>
          <w:sz w:val="24"/>
          <w:szCs w:val="24"/>
        </w:rPr>
        <w:t>February 11, 2019</w:t>
      </w:r>
    </w:p>
    <w:p w:rsidR="00FA7269" w:rsidRPr="0048370E" w:rsidRDefault="00FA7269" w:rsidP="009E18D0">
      <w:pPr>
        <w:spacing w:after="0" w:line="480" w:lineRule="auto"/>
        <w:ind w:left="3600" w:firstLine="720"/>
        <w:jc w:val="both"/>
        <w:rPr>
          <w:rFonts w:ascii="Times New Roman" w:eastAsia="Calibri" w:hAnsi="Times New Roman" w:cs="Times New Roman"/>
          <w:sz w:val="24"/>
          <w:szCs w:val="24"/>
        </w:rPr>
      </w:pPr>
      <w:r w:rsidRPr="0048370E">
        <w:rPr>
          <w:rFonts w:ascii="Times New Roman" w:eastAsia="Calibri" w:hAnsi="Times New Roman" w:cs="Times New Roman"/>
          <w:sz w:val="24"/>
          <w:szCs w:val="24"/>
        </w:rPr>
        <w:t>Respectfully submitted,</w:t>
      </w:r>
    </w:p>
    <w:p w:rsidR="00FA7269" w:rsidRPr="0048370E" w:rsidRDefault="00FA7269" w:rsidP="00FA7269">
      <w:pPr>
        <w:spacing w:after="0" w:line="240" w:lineRule="auto"/>
        <w:ind w:left="3600" w:firstLine="720"/>
        <w:jc w:val="both"/>
        <w:rPr>
          <w:rFonts w:ascii="Times New Roman" w:eastAsia="Calibri" w:hAnsi="Times New Roman" w:cs="Times New Roman"/>
          <w:sz w:val="24"/>
          <w:szCs w:val="24"/>
        </w:rPr>
      </w:pPr>
    </w:p>
    <w:p w:rsidR="00121648" w:rsidRPr="0048370E" w:rsidRDefault="00121648" w:rsidP="00FA7269">
      <w:pPr>
        <w:spacing w:after="0" w:line="240" w:lineRule="auto"/>
        <w:ind w:left="3600" w:firstLine="720"/>
        <w:jc w:val="both"/>
        <w:rPr>
          <w:rFonts w:ascii="Times New Roman" w:eastAsia="Calibri" w:hAnsi="Times New Roman" w:cs="Times New Roman"/>
          <w:sz w:val="24"/>
          <w:szCs w:val="24"/>
        </w:rPr>
      </w:pPr>
    </w:p>
    <w:p w:rsidR="00121648" w:rsidRPr="0048370E" w:rsidRDefault="00121648" w:rsidP="00121648">
      <w:pPr>
        <w:tabs>
          <w:tab w:val="left" w:pos="4320"/>
        </w:tabs>
        <w:spacing w:after="0" w:line="240" w:lineRule="auto"/>
        <w:ind w:right="-540"/>
        <w:rPr>
          <w:rFonts w:ascii="Times New Roman" w:eastAsia="Times New Roman" w:hAnsi="Times New Roman" w:cs="Times New Roman"/>
          <w:sz w:val="24"/>
          <w:szCs w:val="24"/>
        </w:rPr>
      </w:pPr>
      <w:r w:rsidRPr="0048370E">
        <w:rPr>
          <w:rFonts w:ascii="Times New Roman" w:eastAsia="Times New Roman" w:hAnsi="Times New Roman" w:cs="Times New Roman"/>
          <w:sz w:val="24"/>
          <w:szCs w:val="24"/>
        </w:rPr>
        <w:tab/>
        <w:t>__________________________________</w:t>
      </w:r>
    </w:p>
    <w:p w:rsidR="00121648" w:rsidRDefault="00121648" w:rsidP="00A923EF">
      <w:pPr>
        <w:spacing w:after="0" w:line="240" w:lineRule="auto"/>
        <w:ind w:firstLine="720"/>
        <w:outlineLvl w:val="0"/>
        <w:rPr>
          <w:rFonts w:ascii="Times New Roman" w:eastAsia="Times New Roman" w:hAnsi="Times New Roman" w:cs="Times New Roman"/>
          <w:sz w:val="24"/>
          <w:szCs w:val="24"/>
        </w:rPr>
      </w:pPr>
      <w:r w:rsidRPr="0048370E">
        <w:rPr>
          <w:rFonts w:ascii="Times New Roman" w:eastAsia="Times New Roman" w:hAnsi="Times New Roman" w:cs="Times New Roman"/>
          <w:sz w:val="24"/>
          <w:szCs w:val="24"/>
        </w:rPr>
        <w:tab/>
      </w:r>
      <w:r w:rsidRPr="0048370E">
        <w:rPr>
          <w:rFonts w:ascii="Times New Roman" w:eastAsia="Times New Roman" w:hAnsi="Times New Roman" w:cs="Times New Roman"/>
          <w:sz w:val="24"/>
          <w:szCs w:val="24"/>
        </w:rPr>
        <w:tab/>
      </w:r>
      <w:r w:rsidRPr="0048370E">
        <w:rPr>
          <w:rFonts w:ascii="Times New Roman" w:eastAsia="Times New Roman" w:hAnsi="Times New Roman" w:cs="Times New Roman"/>
          <w:sz w:val="24"/>
          <w:szCs w:val="24"/>
        </w:rPr>
        <w:tab/>
      </w:r>
      <w:r w:rsidRPr="0048370E">
        <w:rPr>
          <w:rFonts w:ascii="Times New Roman" w:eastAsia="Times New Roman" w:hAnsi="Times New Roman" w:cs="Times New Roman"/>
          <w:sz w:val="24"/>
          <w:szCs w:val="24"/>
        </w:rPr>
        <w:tab/>
      </w:r>
      <w:r w:rsidRPr="0048370E">
        <w:rPr>
          <w:rFonts w:ascii="Times New Roman" w:eastAsia="Times New Roman" w:hAnsi="Times New Roman" w:cs="Times New Roman"/>
          <w:sz w:val="24"/>
          <w:szCs w:val="24"/>
        </w:rPr>
        <w:tab/>
      </w:r>
      <w:r w:rsidR="00476493">
        <w:rPr>
          <w:rFonts w:ascii="Times New Roman" w:eastAsia="Times New Roman" w:hAnsi="Times New Roman" w:cs="Times New Roman"/>
          <w:sz w:val="24"/>
          <w:szCs w:val="24"/>
        </w:rPr>
        <w:t>Michele Gregg</w:t>
      </w:r>
    </w:p>
    <w:p w:rsidR="00476493" w:rsidRDefault="00476493" w:rsidP="00A923EF">
      <w:pPr>
        <w:spacing w:after="0" w:line="240" w:lineRule="auto"/>
        <w:ind w:firstLine="72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Executive Director</w:t>
      </w:r>
    </w:p>
    <w:p w:rsidR="00476493" w:rsidRDefault="00476493" w:rsidP="00A923EF">
      <w:pPr>
        <w:spacing w:after="0" w:line="240" w:lineRule="auto"/>
        <w:ind w:firstLine="72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Texas Competitive Power Advocates (TCPA)</w:t>
      </w:r>
    </w:p>
    <w:p w:rsidR="00476493" w:rsidRDefault="00476493" w:rsidP="00A923EF">
      <w:pPr>
        <w:spacing w:after="0" w:line="240" w:lineRule="auto"/>
        <w:ind w:firstLine="72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(512) 653-7447</w:t>
      </w:r>
    </w:p>
    <w:p w:rsidR="00FA7269" w:rsidRPr="0048370E" w:rsidRDefault="00476493" w:rsidP="00FD11B5">
      <w:pPr>
        <w:spacing w:after="0" w:line="240" w:lineRule="auto"/>
        <w:ind w:firstLine="720"/>
        <w:outlineLvl w:val="0"/>
        <w:rPr>
          <w:rFonts w:ascii="Times New Roman" w:eastAsia="Calibri"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hyperlink r:id="rId9" w:history="1">
        <w:r w:rsidRPr="005E7290">
          <w:rPr>
            <w:rStyle w:val="Hyperlink"/>
            <w:rFonts w:ascii="Times New Roman" w:eastAsia="Times New Roman" w:hAnsi="Times New Roman" w:cs="Times New Roman"/>
            <w:sz w:val="24"/>
            <w:szCs w:val="24"/>
          </w:rPr>
          <w:t>michele@competitivepower.org</w:t>
        </w:r>
      </w:hyperlink>
      <w:r>
        <w:rPr>
          <w:rFonts w:ascii="Times New Roman" w:eastAsia="Times New Roman" w:hAnsi="Times New Roman" w:cs="Times New Roman"/>
          <w:sz w:val="24"/>
          <w:szCs w:val="24"/>
        </w:rPr>
        <w:t xml:space="preserve"> </w:t>
      </w:r>
      <w:r w:rsidR="00121648" w:rsidRPr="0048370E">
        <w:rPr>
          <w:rFonts w:ascii="Times New Roman" w:eastAsia="Times New Roman" w:hAnsi="Times New Roman" w:cs="Times New Roman"/>
          <w:sz w:val="24"/>
          <w:szCs w:val="24"/>
        </w:rPr>
        <w:tab/>
      </w:r>
      <w:r w:rsidR="00121648" w:rsidRPr="0048370E">
        <w:rPr>
          <w:rFonts w:ascii="Times New Roman" w:eastAsia="Times New Roman" w:hAnsi="Times New Roman" w:cs="Times New Roman"/>
          <w:sz w:val="24"/>
          <w:szCs w:val="24"/>
        </w:rPr>
        <w:tab/>
      </w:r>
      <w:r w:rsidR="00121648" w:rsidRPr="0048370E">
        <w:rPr>
          <w:rFonts w:ascii="Times New Roman" w:eastAsia="Times New Roman" w:hAnsi="Times New Roman" w:cs="Times New Roman"/>
          <w:sz w:val="24"/>
          <w:szCs w:val="24"/>
        </w:rPr>
        <w:tab/>
      </w:r>
    </w:p>
    <w:sectPr w:rsidR="00FA7269" w:rsidRPr="0048370E" w:rsidSect="006E55AF">
      <w:foot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2F9" w:rsidRDefault="009A52F9" w:rsidP="00F75562">
      <w:pPr>
        <w:spacing w:after="0" w:line="240" w:lineRule="auto"/>
      </w:pPr>
      <w:r>
        <w:separator/>
      </w:r>
    </w:p>
  </w:endnote>
  <w:endnote w:type="continuationSeparator" w:id="0">
    <w:p w:rsidR="009A52F9" w:rsidRDefault="009A52F9" w:rsidP="00F75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5342659"/>
      <w:docPartObj>
        <w:docPartGallery w:val="Page Numbers (Bottom of Page)"/>
        <w:docPartUnique/>
      </w:docPartObj>
    </w:sdtPr>
    <w:sdtEndPr>
      <w:rPr>
        <w:rFonts w:ascii="Times New Roman" w:hAnsi="Times New Roman" w:cs="Times New Roman"/>
        <w:noProof/>
        <w:sz w:val="24"/>
        <w:szCs w:val="24"/>
      </w:rPr>
    </w:sdtEndPr>
    <w:sdtContent>
      <w:p w:rsidR="00486C04" w:rsidRPr="00FA1FB8" w:rsidRDefault="00486C04">
        <w:pPr>
          <w:pStyle w:val="Footer"/>
          <w:jc w:val="center"/>
          <w:rPr>
            <w:rFonts w:ascii="Times New Roman" w:hAnsi="Times New Roman" w:cs="Times New Roman"/>
            <w:sz w:val="24"/>
            <w:szCs w:val="24"/>
          </w:rPr>
        </w:pPr>
        <w:r w:rsidRPr="00FA1FB8">
          <w:rPr>
            <w:rFonts w:ascii="Times New Roman" w:hAnsi="Times New Roman" w:cs="Times New Roman"/>
            <w:sz w:val="24"/>
            <w:szCs w:val="24"/>
          </w:rPr>
          <w:fldChar w:fldCharType="begin"/>
        </w:r>
        <w:r w:rsidRPr="00FA1FB8">
          <w:rPr>
            <w:rFonts w:ascii="Times New Roman" w:hAnsi="Times New Roman" w:cs="Times New Roman"/>
            <w:sz w:val="24"/>
            <w:szCs w:val="24"/>
          </w:rPr>
          <w:instrText xml:space="preserve"> PAGE   \* MERGEFORMAT </w:instrText>
        </w:r>
        <w:r w:rsidRPr="00FA1FB8">
          <w:rPr>
            <w:rFonts w:ascii="Times New Roman" w:hAnsi="Times New Roman" w:cs="Times New Roman"/>
            <w:sz w:val="24"/>
            <w:szCs w:val="24"/>
          </w:rPr>
          <w:fldChar w:fldCharType="separate"/>
        </w:r>
        <w:r w:rsidR="0099153A">
          <w:rPr>
            <w:rFonts w:ascii="Times New Roman" w:hAnsi="Times New Roman" w:cs="Times New Roman"/>
            <w:noProof/>
            <w:sz w:val="24"/>
            <w:szCs w:val="24"/>
          </w:rPr>
          <w:t>10</w:t>
        </w:r>
        <w:r w:rsidRPr="00FA1FB8">
          <w:rPr>
            <w:rFonts w:ascii="Times New Roman" w:hAnsi="Times New Roman" w:cs="Times New Roman"/>
            <w:noProof/>
            <w:sz w:val="24"/>
            <w:szCs w:val="24"/>
          </w:rPr>
          <w:fldChar w:fldCharType="end"/>
        </w:r>
      </w:p>
    </w:sdtContent>
  </w:sdt>
  <w:p w:rsidR="00486C04" w:rsidRPr="00DE4A1C" w:rsidRDefault="00486C04" w:rsidP="00DE4A1C">
    <w:pPr>
      <w:pStyle w:val="Footer"/>
      <w:jc w:val="right"/>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2F9" w:rsidRDefault="009A52F9" w:rsidP="00F75562">
      <w:pPr>
        <w:spacing w:after="0" w:line="240" w:lineRule="auto"/>
      </w:pPr>
      <w:r>
        <w:separator/>
      </w:r>
    </w:p>
  </w:footnote>
  <w:footnote w:type="continuationSeparator" w:id="0">
    <w:p w:rsidR="009A52F9" w:rsidRDefault="009A52F9" w:rsidP="00F75562">
      <w:pPr>
        <w:spacing w:after="0" w:line="240" w:lineRule="auto"/>
      </w:pPr>
      <w:r>
        <w:continuationSeparator/>
      </w:r>
    </w:p>
  </w:footnote>
  <w:footnote w:id="1">
    <w:p w:rsidR="00486C04" w:rsidRDefault="00486C04" w:rsidP="003D6349">
      <w:pPr>
        <w:pStyle w:val="FootnoteText"/>
      </w:pPr>
      <w:r>
        <w:rPr>
          <w:rStyle w:val="FootnoteReference"/>
        </w:rPr>
        <w:footnoteRef/>
      </w:r>
      <w:r>
        <w:t xml:space="preserve"> It took several years and multiple rounds of comments at the Commission (with over 600 filings in three years) from the time that a former Commission initially expressed concern with resource adequacy in ERCOT leading up to the summer of 2011 to that Commission’s ultimate adoption of the current scarcity pricing mechanism in ERCOT, i.e., the Operating Reserve Demand Curve (ORDC); it then took another nine months or so before ERCOT stakeholders adopted and ERCOT implemented the ORDC. </w:t>
      </w:r>
      <w:r>
        <w:rPr>
          <w:i/>
        </w:rPr>
        <w:t>See generally</w:t>
      </w:r>
      <w:r>
        <w:t xml:space="preserve"> Project No. 37897 (opened in May 2011, but prompted by an initial request in December 2010 by that Commission to ERCOT to study the impact of impending environmental regulations on resource adequacy in ERCOT); Project No. 40000 (opened in July 2012 and ultimately resulted in the Commission directing ERCOT to develop the ORDC at the September 12, 2013 open meeting); NPRR 568 (adopted in November 2013 and implemented in time for summer 2014). The effectiveness of the </w:t>
      </w:r>
      <w:r w:rsidR="00106A87">
        <w:t xml:space="preserve">scarcity pricing in ERCOT </w:t>
      </w:r>
      <w:r>
        <w:t xml:space="preserve">remains the subject of debate today, nearly five years after its implementation.  </w:t>
      </w:r>
    </w:p>
  </w:footnote>
  <w:footnote w:id="2">
    <w:p w:rsidR="00486C04" w:rsidRPr="00EF56FE" w:rsidRDefault="00486C04">
      <w:pPr>
        <w:pStyle w:val="FootnoteText"/>
      </w:pPr>
      <w:r>
        <w:rPr>
          <w:rStyle w:val="FootnoteReference"/>
        </w:rPr>
        <w:footnoteRef/>
      </w:r>
      <w:r>
        <w:t xml:space="preserve"> The latest Report on the Capacity, Demand and Reserves (CDR) in the ERCOT Region projects an 8.1% reserve margin for summer 2019. </w:t>
      </w:r>
      <w:r>
        <w:rPr>
          <w:i/>
        </w:rPr>
        <w:t>See</w:t>
      </w:r>
      <w:r>
        <w:t xml:space="preserve"> ERCOT CDR, 2019 – 2028 (Dec. 4, 2018), </w:t>
      </w:r>
      <w:r>
        <w:rPr>
          <w:i/>
        </w:rPr>
        <w:t>available at</w:t>
      </w:r>
      <w:r>
        <w:t xml:space="preserve">: </w:t>
      </w:r>
      <w:hyperlink r:id="rId1" w:history="1">
        <w:r w:rsidRPr="0080265E">
          <w:rPr>
            <w:rStyle w:val="Hyperlink"/>
          </w:rPr>
          <w:t>http://www.ercot.com/content/wcm/lists/167023/CapacityDemandandReservesReport-Dec2018.pdf</w:t>
        </w:r>
      </w:hyperlink>
      <w:r>
        <w:t xml:space="preserve">. </w:t>
      </w:r>
    </w:p>
  </w:footnote>
  <w:footnote w:id="3">
    <w:p w:rsidR="00486C04" w:rsidRDefault="00486C04" w:rsidP="009C18AA">
      <w:pPr>
        <w:pStyle w:val="FootnoteText"/>
      </w:pPr>
      <w:r>
        <w:rPr>
          <w:rStyle w:val="FootnoteReference"/>
        </w:rPr>
        <w:footnoteRef/>
      </w:r>
      <w:r>
        <w:t xml:space="preserve"> </w:t>
      </w:r>
      <w:r>
        <w:rPr>
          <w:i/>
        </w:rPr>
        <w:t>See Rulemaking on Wholesale Electric Market Power and Resource Adequacy in the ERCOT Power Region</w:t>
      </w:r>
      <w:r>
        <w:t xml:space="preserve">, Project No. 31972, Order Adopting </w:t>
      </w:r>
      <w:bookmarkStart w:id="1" w:name="note3"/>
      <w:bookmarkEnd w:id="1"/>
      <w:r>
        <w:t>Amendment to §25.502, New §25.504, and New §25.505 as Approved at the August 10, 2006 Open Meeting (Order), at 73 (Aug. 24, 2006</w:t>
      </w:r>
      <w:r w:rsidRPr="009C18AA">
        <w:t>).</w:t>
      </w:r>
    </w:p>
  </w:footnote>
  <w:footnote w:id="4">
    <w:p w:rsidR="00486C04" w:rsidRDefault="00486C04">
      <w:pPr>
        <w:pStyle w:val="FootnoteText"/>
      </w:pPr>
      <w:r>
        <w:rPr>
          <w:rStyle w:val="FootnoteReference"/>
        </w:rPr>
        <w:footnoteRef/>
      </w:r>
      <w:r>
        <w:t xml:space="preserve"> The PNM/LCAP threshold was</w:t>
      </w:r>
      <w:r w:rsidRPr="004F07B0">
        <w:t xml:space="preserve"> </w:t>
      </w:r>
      <w:r w:rsidRPr="004F07B0">
        <w:rPr>
          <w:rFonts w:cs="Times New Roman"/>
        </w:rPr>
        <w:t>$175,000/MW</w:t>
      </w:r>
      <w:r>
        <w:rPr>
          <w:rFonts w:cs="Times New Roman"/>
        </w:rPr>
        <w:t>-year</w:t>
      </w:r>
      <w:r w:rsidRPr="004F07B0">
        <w:rPr>
          <w:rFonts w:cs="Times New Roman"/>
        </w:rPr>
        <w:t xml:space="preserve"> from 2006 through 2011</w:t>
      </w:r>
      <w:r>
        <w:rPr>
          <w:rFonts w:cs="Times New Roman"/>
        </w:rPr>
        <w:t xml:space="preserve">; was increased to </w:t>
      </w:r>
      <w:r w:rsidRPr="004F07B0">
        <w:rPr>
          <w:rFonts w:cs="Times New Roman"/>
        </w:rPr>
        <w:t>$300,000/MW</w:t>
      </w:r>
      <w:r>
        <w:rPr>
          <w:rFonts w:cs="Times New Roman"/>
        </w:rPr>
        <w:t>-year</w:t>
      </w:r>
      <w:r w:rsidRPr="004F07B0">
        <w:rPr>
          <w:rFonts w:cs="Times New Roman"/>
        </w:rPr>
        <w:t xml:space="preserve"> in 2012 and 2013</w:t>
      </w:r>
      <w:r>
        <w:rPr>
          <w:rFonts w:cs="Times New Roman"/>
        </w:rPr>
        <w:t>;</w:t>
      </w:r>
      <w:r w:rsidRPr="004F07B0">
        <w:rPr>
          <w:rFonts w:cs="Times New Roman"/>
        </w:rPr>
        <w:t xml:space="preserve"> and </w:t>
      </w:r>
      <w:r>
        <w:rPr>
          <w:rFonts w:cs="Times New Roman"/>
        </w:rPr>
        <w:t xml:space="preserve">is </w:t>
      </w:r>
      <w:r w:rsidRPr="004F07B0">
        <w:rPr>
          <w:rFonts w:cs="Times New Roman"/>
        </w:rPr>
        <w:t>$315,000/MW</w:t>
      </w:r>
      <w:r>
        <w:rPr>
          <w:rFonts w:cs="Times New Roman"/>
        </w:rPr>
        <w:t>-year</w:t>
      </w:r>
      <w:r w:rsidRPr="004F07B0">
        <w:rPr>
          <w:rFonts w:cs="Times New Roman"/>
        </w:rPr>
        <w:t xml:space="preserve"> today. </w:t>
      </w:r>
      <w:r>
        <w:t xml:space="preserve">Project No. 31972, Order (Aug. 24, 2006); </w:t>
      </w:r>
      <w:r>
        <w:rPr>
          <w:i/>
        </w:rPr>
        <w:t>PUC Rulemaking to Amend PUC Subst. R. 25.505, Relating to Resource Adequacy in the Electric Reliability Council of Texas Power Region</w:t>
      </w:r>
      <w:r>
        <w:t>, Project No. 40268, Order Adopting Amendments to § 25.505 as Approved at the October 25, 2012 Open Meeting (Oct. 30, 2012); ERCOT Nodal Protocol § 4.4.11(1)(c).</w:t>
      </w:r>
    </w:p>
  </w:footnote>
  <w:footnote w:id="5">
    <w:p w:rsidR="00486C04" w:rsidRDefault="00486C04">
      <w:pPr>
        <w:pStyle w:val="FootnoteText"/>
      </w:pPr>
      <w:r>
        <w:rPr>
          <w:rStyle w:val="FootnoteReference"/>
        </w:rPr>
        <w:footnoteRef/>
      </w:r>
      <w:r>
        <w:t xml:space="preserve"> </w:t>
      </w:r>
      <w:r>
        <w:rPr>
          <w:i/>
        </w:rPr>
        <w:t xml:space="preserve">Compare </w:t>
      </w:r>
      <w:r>
        <w:t xml:space="preserve">Potomac Economics, 2017 State of the Market Report for the ERCOT Electricity Market, at 115 (Figure 84) (May 2018) (showing cumulative peaker net margin data each year from 2006 through 2017), </w:t>
      </w:r>
      <w:r>
        <w:rPr>
          <w:i/>
        </w:rPr>
        <w:t>available at</w:t>
      </w:r>
      <w:r>
        <w:t xml:space="preserve">: </w:t>
      </w:r>
      <w:hyperlink r:id="rId2" w:history="1">
        <w:r>
          <w:rPr>
            <w:rStyle w:val="Hyperlink"/>
          </w:rPr>
          <w:t>https://www.potomaceconomics.com/wp-content/uploads/2018/05/2017-State-of-the-Market-Report.pdf</w:t>
        </w:r>
      </w:hyperlink>
      <w:r>
        <w:t xml:space="preserve">, </w:t>
      </w:r>
      <w:r>
        <w:rPr>
          <w:i/>
        </w:rPr>
        <w:t>with</w:t>
      </w:r>
      <w:r>
        <w:t xml:space="preserve"> Potomac Economics, Item 5: Independent Market Monitor (IMM) Report to the ERCOT Board at the Dec. 11, 2018 Meeting, at Slide 6 (showing peaker net margin data for 2018 through Nov. 20, 2018), </w:t>
      </w:r>
      <w:r>
        <w:rPr>
          <w:i/>
        </w:rPr>
        <w:t>available at</w:t>
      </w:r>
      <w:r>
        <w:t xml:space="preserve">: </w:t>
      </w:r>
      <w:hyperlink r:id="rId3" w:history="1">
        <w:r>
          <w:rPr>
            <w:rStyle w:val="Hyperlink"/>
          </w:rPr>
          <w:t>http://www.ercot.com/content/wcm/key_documents_lists/137978/5_Independent_Market_Monitor__IMM__Report.pdf</w:t>
        </w:r>
      </w:hyperlink>
      <w:r>
        <w:t xml:space="preserve">. </w:t>
      </w:r>
    </w:p>
  </w:footnote>
  <w:footnote w:id="6">
    <w:p w:rsidR="00486C04" w:rsidRDefault="00486C04">
      <w:pPr>
        <w:pStyle w:val="FootnoteText"/>
      </w:pPr>
      <w:r>
        <w:rPr>
          <w:rStyle w:val="FootnoteReference"/>
        </w:rPr>
        <w:footnoteRef/>
      </w:r>
      <w:r>
        <w:t xml:space="preserve"> The redline below “accepts” the proposed changes from the published rule and then shows TCPA’s proposed changes with a single underline for additions and a single strikethrough for deletions.</w:t>
      </w:r>
    </w:p>
  </w:footnote>
  <w:footnote w:id="7">
    <w:p w:rsidR="008406BD" w:rsidRDefault="008406BD">
      <w:pPr>
        <w:pStyle w:val="FootnoteText"/>
      </w:pPr>
      <w:r>
        <w:rPr>
          <w:rStyle w:val="FootnoteReference"/>
        </w:rPr>
        <w:footnoteRef/>
      </w:r>
      <w:r>
        <w:t xml:space="preserve"> This was the concern initially stated in Staff’s memo regarding the proposal for publication. Memo from Commission Staff to Commissioners (Dec. 13, 2018) (“Under the current rule, if the peaker net margin threshold is reached, the Day-Ahead Market would be constrained to the LCAP, but the Real-Time Market would not because the</w:t>
      </w:r>
      <w:r w:rsidRPr="008406BD">
        <w:t xml:space="preserve"> </w:t>
      </w:r>
      <w:r>
        <w:t>ORDC would be in effect in the Real-Time Market. This could cause unusual divergence between the Day-Ahead Market and the Real-Time Market, as generators would be incentivized to offer only in the Real-Time Market (where the ORDC would apply) to avoid being limited by the LCAP in the Day-Ahead Market.”).</w:t>
      </w:r>
    </w:p>
  </w:footnote>
  <w:footnote w:id="8">
    <w:p w:rsidR="00486C04" w:rsidRPr="00F07BEC" w:rsidRDefault="00486C04">
      <w:pPr>
        <w:pStyle w:val="FootnoteText"/>
      </w:pPr>
      <w:r>
        <w:rPr>
          <w:rStyle w:val="FootnoteReference"/>
        </w:rPr>
        <w:footnoteRef/>
      </w:r>
      <w:r>
        <w:t xml:space="preserve"> </w:t>
      </w:r>
      <w:r>
        <w:rPr>
          <w:i/>
        </w:rPr>
        <w:t>See</w:t>
      </w:r>
      <w:r>
        <w:t xml:space="preserve"> ERCOT Nodal Protocol § 6.5.7.3.1. Under this section, the reliability deployments that trigger the RDPA include non-scarcity deployments like Reliability Unit Commitment and Reliability Must Run service, which typically would be used to correct for temporary supply/demand imbalances or congestion, but also include Emergency Response Service, emergency imports, and other deployments related to scarcity conditions.</w:t>
      </w:r>
    </w:p>
  </w:footnote>
  <w:footnote w:id="9">
    <w:p w:rsidR="00486C04" w:rsidRPr="00963B10" w:rsidRDefault="00486C04">
      <w:pPr>
        <w:pStyle w:val="FootnoteText"/>
      </w:pPr>
      <w:r>
        <w:rPr>
          <w:rStyle w:val="FootnoteReference"/>
        </w:rPr>
        <w:footnoteRef/>
      </w:r>
      <w:r>
        <w:t xml:space="preserve"> </w:t>
      </w:r>
      <w:r>
        <w:rPr>
          <w:i/>
        </w:rPr>
        <w:t>See</w:t>
      </w:r>
      <w:r>
        <w:t xml:space="preserve"> ERCOT Nodal Protocols § 2 (defining “shadow price” as “[a] price for a commodity that measures the marginal value of this commodity; that is, the rate at which system costs could be decreased or increased by slightly increasing or decreasing, respectively, the amount of the commodity being made available”); </w:t>
      </w:r>
      <w:r>
        <w:rPr>
          <w:i/>
        </w:rPr>
        <w:t>see generally</w:t>
      </w:r>
      <w:r>
        <w:t xml:space="preserve"> ERCOT Methodology for Setting Maximum Shadow Prices for Network and Power Balance Constraints (Jun. 20, 2018), </w:t>
      </w:r>
      <w:r>
        <w:rPr>
          <w:i/>
        </w:rPr>
        <w:t>available at</w:t>
      </w:r>
      <w:r>
        <w:t xml:space="preserve">: </w:t>
      </w:r>
      <w:hyperlink r:id="rId4" w:history="1">
        <w:r w:rsidRPr="0080265E">
          <w:rPr>
            <w:rStyle w:val="Hyperlink"/>
          </w:rPr>
          <w:t>http://www.ercot.com/mktrules/obd/obdlist</w:t>
        </w:r>
      </w:hyperlink>
      <w:r>
        <w:t xml:space="preserve">.  </w:t>
      </w:r>
    </w:p>
  </w:footnote>
  <w:footnote w:id="10">
    <w:p w:rsidR="00486C04" w:rsidRDefault="00486C04">
      <w:pPr>
        <w:pStyle w:val="FootnoteText"/>
      </w:pPr>
      <w:r>
        <w:rPr>
          <w:rStyle w:val="FootnoteReference"/>
        </w:rPr>
        <w:footnoteRef/>
      </w:r>
      <w:r>
        <w:t xml:space="preserve"> The caps are: $9,251/MW for a base case/voltage violation; $4,500/MW for a 345 kV N-1 constraint violation; $3,500/MW for a 138 kV N-1 constraint violation; and $2,800/MW for a 69 kV N-1 constraint violation. In addition, constraints that are irresolvable by the Security Constrained Economic Dispatch are subject to a different formula for setting the cap, which accounts for the LCAP contingency. ERCOT Methodology for Setting Maximum Shadow Prices for Network and Power Balance Constraints, § 3.6 </w:t>
      </w:r>
      <w:r>
        <w:rPr>
          <w:i/>
        </w:rPr>
        <w:t>et seq.</w:t>
      </w:r>
      <w:r>
        <w:t xml:space="preserve"> (Jun. 20, 2018).  </w:t>
      </w:r>
    </w:p>
  </w:footnote>
  <w:footnote w:id="11">
    <w:p w:rsidR="00486C04" w:rsidRPr="000118D2" w:rsidRDefault="00486C04">
      <w:pPr>
        <w:pStyle w:val="FootnoteText"/>
      </w:pPr>
      <w:r>
        <w:rPr>
          <w:rStyle w:val="FootnoteReference"/>
        </w:rPr>
        <w:footnoteRef/>
      </w:r>
      <w:r>
        <w:t xml:space="preserve"> </w:t>
      </w:r>
      <w:r>
        <w:rPr>
          <w:i/>
        </w:rPr>
        <w:t>Id.</w:t>
      </w:r>
      <w:r>
        <w:t xml:space="preserve"> at 14 (emphasis in original).</w:t>
      </w:r>
    </w:p>
  </w:footnote>
  <w:footnote w:id="12">
    <w:p w:rsidR="00486C04" w:rsidRDefault="00486C04">
      <w:pPr>
        <w:pStyle w:val="FootnoteText"/>
      </w:pPr>
      <w:r>
        <w:rPr>
          <w:rStyle w:val="FootnoteReference"/>
        </w:rPr>
        <w:footnoteRef/>
      </w:r>
      <w:r>
        <w:t xml:space="preserve"> As with the earlier redline of subsection (g), the above redline shows TCPA’s proposed changes to the proposed version of this subsection.</w:t>
      </w:r>
    </w:p>
  </w:footnote>
  <w:footnote w:id="13">
    <w:p w:rsidR="00486C04" w:rsidRDefault="00486C04" w:rsidP="008B7BA2">
      <w:pPr>
        <w:pStyle w:val="FootnoteText"/>
      </w:pPr>
      <w:r>
        <w:rPr>
          <w:rStyle w:val="FootnoteReference"/>
        </w:rPr>
        <w:footnoteRef/>
      </w:r>
      <w:r>
        <w:t xml:space="preserve"> Since the proposed rule would strike this subsection altogether, TCPA has redlined this subsection against the current rule language, rather than against the proposed rule language.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28EA"/>
    <w:multiLevelType w:val="hybridMultilevel"/>
    <w:tmpl w:val="033422C0"/>
    <w:lvl w:ilvl="0" w:tplc="5BE0F34A">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15:restartNumberingAfterBreak="0">
    <w:nsid w:val="03200AC2"/>
    <w:multiLevelType w:val="hybridMultilevel"/>
    <w:tmpl w:val="7D8C0A08"/>
    <w:lvl w:ilvl="0" w:tplc="D6FE6A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890803"/>
    <w:multiLevelType w:val="hybridMultilevel"/>
    <w:tmpl w:val="628C0E78"/>
    <w:lvl w:ilvl="0" w:tplc="A40030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F3233"/>
    <w:multiLevelType w:val="hybridMultilevel"/>
    <w:tmpl w:val="A596DCDC"/>
    <w:lvl w:ilvl="0" w:tplc="13F0473E">
      <w:start w:val="1"/>
      <w:numFmt w:val="upperLetter"/>
      <w:lvlText w:val="(%1)"/>
      <w:lvlJc w:val="left"/>
      <w:pPr>
        <w:ind w:left="1092" w:hanging="37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1E0168"/>
    <w:multiLevelType w:val="hybridMultilevel"/>
    <w:tmpl w:val="415A65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FB76AC7"/>
    <w:multiLevelType w:val="hybridMultilevel"/>
    <w:tmpl w:val="93D0106E"/>
    <w:lvl w:ilvl="0" w:tplc="4FD0633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CE1A5B"/>
    <w:multiLevelType w:val="hybridMultilevel"/>
    <w:tmpl w:val="8048F122"/>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7" w15:restartNumberingAfterBreak="0">
    <w:nsid w:val="2BBB6680"/>
    <w:multiLevelType w:val="hybridMultilevel"/>
    <w:tmpl w:val="75A24EC2"/>
    <w:lvl w:ilvl="0" w:tplc="92FEA0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2A583A"/>
    <w:multiLevelType w:val="hybridMultilevel"/>
    <w:tmpl w:val="0BCC0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375261"/>
    <w:multiLevelType w:val="hybridMultilevel"/>
    <w:tmpl w:val="481248AE"/>
    <w:lvl w:ilvl="0" w:tplc="B7EA3C3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CF41472"/>
    <w:multiLevelType w:val="hybridMultilevel"/>
    <w:tmpl w:val="12664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BB1F64"/>
    <w:multiLevelType w:val="hybridMultilevel"/>
    <w:tmpl w:val="019E57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48C8627C"/>
    <w:multiLevelType w:val="hybridMultilevel"/>
    <w:tmpl w:val="D556C29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4AAD1816"/>
    <w:multiLevelType w:val="multilevel"/>
    <w:tmpl w:val="D6EC9E38"/>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62E6D39"/>
    <w:multiLevelType w:val="hybridMultilevel"/>
    <w:tmpl w:val="CB109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4D5C19"/>
    <w:multiLevelType w:val="hybridMultilevel"/>
    <w:tmpl w:val="502E4DBE"/>
    <w:lvl w:ilvl="0" w:tplc="622A3CF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0FB4EFC"/>
    <w:multiLevelType w:val="hybridMultilevel"/>
    <w:tmpl w:val="47341BFA"/>
    <w:lvl w:ilvl="0" w:tplc="9288012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65B76685"/>
    <w:multiLevelType w:val="hybridMultilevel"/>
    <w:tmpl w:val="B5EE2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10790"/>
    <w:multiLevelType w:val="hybridMultilevel"/>
    <w:tmpl w:val="7EAE40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B1F4B17"/>
    <w:multiLevelType w:val="hybridMultilevel"/>
    <w:tmpl w:val="45065150"/>
    <w:lvl w:ilvl="0" w:tplc="0409000F">
      <w:start w:val="1"/>
      <w:numFmt w:val="decimal"/>
      <w:pStyle w:val="bullet4level1"/>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72725188"/>
    <w:multiLevelType w:val="hybridMultilevel"/>
    <w:tmpl w:val="103A0422"/>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21" w15:restartNumberingAfterBreak="0">
    <w:nsid w:val="73821E9C"/>
    <w:multiLevelType w:val="hybridMultilevel"/>
    <w:tmpl w:val="04741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7D87DBF"/>
    <w:multiLevelType w:val="hybridMultilevel"/>
    <w:tmpl w:val="0AE8A47C"/>
    <w:lvl w:ilvl="0" w:tplc="04090017">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20"/>
  </w:num>
  <w:num w:numId="4">
    <w:abstractNumId w:val="15"/>
  </w:num>
  <w:num w:numId="5">
    <w:abstractNumId w:val="22"/>
  </w:num>
  <w:num w:numId="6">
    <w:abstractNumId w:val="14"/>
  </w:num>
  <w:num w:numId="7">
    <w:abstractNumId w:val="9"/>
  </w:num>
  <w:num w:numId="8">
    <w:abstractNumId w:val="1"/>
  </w:num>
  <w:num w:numId="9">
    <w:abstractNumId w:val="19"/>
  </w:num>
  <w:num w:numId="10">
    <w:abstractNumId w:val="19"/>
    <w:lvlOverride w:ilvl="0">
      <w:startOverride w:val="9"/>
    </w:lvlOverride>
  </w:num>
  <w:num w:numId="11">
    <w:abstractNumId w:val="8"/>
  </w:num>
  <w:num w:numId="12">
    <w:abstractNumId w:val="19"/>
  </w:num>
  <w:num w:numId="13">
    <w:abstractNumId w:val="5"/>
  </w:num>
  <w:num w:numId="14">
    <w:abstractNumId w:val="4"/>
  </w:num>
  <w:num w:numId="15">
    <w:abstractNumId w:val="11"/>
  </w:num>
  <w:num w:numId="16">
    <w:abstractNumId w:val="6"/>
  </w:num>
  <w:num w:numId="17">
    <w:abstractNumId w:val="7"/>
  </w:num>
  <w:num w:numId="18">
    <w:abstractNumId w:val="0"/>
  </w:num>
  <w:num w:numId="19">
    <w:abstractNumId w:val="16"/>
  </w:num>
  <w:num w:numId="20">
    <w:abstractNumId w:val="3"/>
  </w:num>
  <w:num w:numId="21">
    <w:abstractNumId w:val="21"/>
  </w:num>
  <w:num w:numId="22">
    <w:abstractNumId w:val="10"/>
  </w:num>
  <w:num w:numId="23">
    <w:abstractNumId w:val="17"/>
  </w:num>
  <w:num w:numId="24">
    <w:abstractNumId w:val="18"/>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A2A"/>
    <w:rsid w:val="00010075"/>
    <w:rsid w:val="000108EB"/>
    <w:rsid w:val="000118D2"/>
    <w:rsid w:val="00014944"/>
    <w:rsid w:val="0002240E"/>
    <w:rsid w:val="0002294B"/>
    <w:rsid w:val="00023A1F"/>
    <w:rsid w:val="0002732C"/>
    <w:rsid w:val="000307CD"/>
    <w:rsid w:val="00031251"/>
    <w:rsid w:val="0003371E"/>
    <w:rsid w:val="0003477C"/>
    <w:rsid w:val="00034B17"/>
    <w:rsid w:val="00036921"/>
    <w:rsid w:val="00042EF0"/>
    <w:rsid w:val="00044895"/>
    <w:rsid w:val="00045229"/>
    <w:rsid w:val="00046768"/>
    <w:rsid w:val="00046AEB"/>
    <w:rsid w:val="00054347"/>
    <w:rsid w:val="000571E2"/>
    <w:rsid w:val="000607FF"/>
    <w:rsid w:val="00061659"/>
    <w:rsid w:val="0006729F"/>
    <w:rsid w:val="0006748C"/>
    <w:rsid w:val="0006777B"/>
    <w:rsid w:val="00071F62"/>
    <w:rsid w:val="000732E0"/>
    <w:rsid w:val="00075B12"/>
    <w:rsid w:val="000955AD"/>
    <w:rsid w:val="00096E26"/>
    <w:rsid w:val="00097506"/>
    <w:rsid w:val="00097689"/>
    <w:rsid w:val="000A0F6F"/>
    <w:rsid w:val="000A37D9"/>
    <w:rsid w:val="000A5731"/>
    <w:rsid w:val="000A79B5"/>
    <w:rsid w:val="000B51B5"/>
    <w:rsid w:val="000B5DE9"/>
    <w:rsid w:val="000C0D48"/>
    <w:rsid w:val="000C36D3"/>
    <w:rsid w:val="000C3B7E"/>
    <w:rsid w:val="000C40D6"/>
    <w:rsid w:val="000C4DA0"/>
    <w:rsid w:val="000C5978"/>
    <w:rsid w:val="000D06A7"/>
    <w:rsid w:val="000D21B1"/>
    <w:rsid w:val="000E0524"/>
    <w:rsid w:val="000E2B2D"/>
    <w:rsid w:val="000E7B5F"/>
    <w:rsid w:val="000F2173"/>
    <w:rsid w:val="000F46BC"/>
    <w:rsid w:val="00103F50"/>
    <w:rsid w:val="00106A87"/>
    <w:rsid w:val="001105F6"/>
    <w:rsid w:val="001145CD"/>
    <w:rsid w:val="00121648"/>
    <w:rsid w:val="00123CBB"/>
    <w:rsid w:val="0012447A"/>
    <w:rsid w:val="0012646D"/>
    <w:rsid w:val="001304BD"/>
    <w:rsid w:val="00137E19"/>
    <w:rsid w:val="00154015"/>
    <w:rsid w:val="001572FC"/>
    <w:rsid w:val="001578F3"/>
    <w:rsid w:val="001628CB"/>
    <w:rsid w:val="00163B6B"/>
    <w:rsid w:val="00166969"/>
    <w:rsid w:val="00167A82"/>
    <w:rsid w:val="00170117"/>
    <w:rsid w:val="001702F0"/>
    <w:rsid w:val="00172AC6"/>
    <w:rsid w:val="0018490A"/>
    <w:rsid w:val="00190776"/>
    <w:rsid w:val="00192C6E"/>
    <w:rsid w:val="00192CC8"/>
    <w:rsid w:val="001935D1"/>
    <w:rsid w:val="00193720"/>
    <w:rsid w:val="001938E2"/>
    <w:rsid w:val="00194B40"/>
    <w:rsid w:val="00195B5A"/>
    <w:rsid w:val="001962FF"/>
    <w:rsid w:val="001A76B9"/>
    <w:rsid w:val="001B0241"/>
    <w:rsid w:val="001C13B7"/>
    <w:rsid w:val="001D07D6"/>
    <w:rsid w:val="001D4FA4"/>
    <w:rsid w:val="001D6158"/>
    <w:rsid w:val="001E0114"/>
    <w:rsid w:val="001E0E5C"/>
    <w:rsid w:val="001E2AAB"/>
    <w:rsid w:val="001F281C"/>
    <w:rsid w:val="001F347E"/>
    <w:rsid w:val="001F40DA"/>
    <w:rsid w:val="001F4BDD"/>
    <w:rsid w:val="001F4EBD"/>
    <w:rsid w:val="001F5AEB"/>
    <w:rsid w:val="00200305"/>
    <w:rsid w:val="0020067B"/>
    <w:rsid w:val="00204621"/>
    <w:rsid w:val="00205243"/>
    <w:rsid w:val="00205437"/>
    <w:rsid w:val="00205D0C"/>
    <w:rsid w:val="002067AC"/>
    <w:rsid w:val="00207B19"/>
    <w:rsid w:val="00213D64"/>
    <w:rsid w:val="00216C26"/>
    <w:rsid w:val="00220746"/>
    <w:rsid w:val="00227A7D"/>
    <w:rsid w:val="00232B97"/>
    <w:rsid w:val="0023431A"/>
    <w:rsid w:val="00242FD3"/>
    <w:rsid w:val="002512D8"/>
    <w:rsid w:val="00251B7C"/>
    <w:rsid w:val="00252014"/>
    <w:rsid w:val="00253B79"/>
    <w:rsid w:val="00255E09"/>
    <w:rsid w:val="00260301"/>
    <w:rsid w:val="0026067E"/>
    <w:rsid w:val="00261180"/>
    <w:rsid w:val="00262B70"/>
    <w:rsid w:val="00266E3F"/>
    <w:rsid w:val="00273648"/>
    <w:rsid w:val="00273E67"/>
    <w:rsid w:val="00274379"/>
    <w:rsid w:val="0027450E"/>
    <w:rsid w:val="002745DE"/>
    <w:rsid w:val="00287E68"/>
    <w:rsid w:val="00291D2C"/>
    <w:rsid w:val="00294D9C"/>
    <w:rsid w:val="002A1981"/>
    <w:rsid w:val="002A4D83"/>
    <w:rsid w:val="002A614C"/>
    <w:rsid w:val="002B3775"/>
    <w:rsid w:val="002B5E28"/>
    <w:rsid w:val="002B7F45"/>
    <w:rsid w:val="002C12ED"/>
    <w:rsid w:val="002C1DCB"/>
    <w:rsid w:val="002C3B37"/>
    <w:rsid w:val="002C3FDB"/>
    <w:rsid w:val="002C5749"/>
    <w:rsid w:val="002C73BD"/>
    <w:rsid w:val="002C74F9"/>
    <w:rsid w:val="002D474F"/>
    <w:rsid w:val="002D47C2"/>
    <w:rsid w:val="002D5EF1"/>
    <w:rsid w:val="002D7408"/>
    <w:rsid w:val="002D7A15"/>
    <w:rsid w:val="002E06D4"/>
    <w:rsid w:val="002E100C"/>
    <w:rsid w:val="002E6058"/>
    <w:rsid w:val="002F3373"/>
    <w:rsid w:val="002F3473"/>
    <w:rsid w:val="002F5466"/>
    <w:rsid w:val="003000FA"/>
    <w:rsid w:val="00302EA6"/>
    <w:rsid w:val="0030411D"/>
    <w:rsid w:val="003045BD"/>
    <w:rsid w:val="00310577"/>
    <w:rsid w:val="003129AE"/>
    <w:rsid w:val="003168C1"/>
    <w:rsid w:val="003179B7"/>
    <w:rsid w:val="00322636"/>
    <w:rsid w:val="003271A1"/>
    <w:rsid w:val="0033473A"/>
    <w:rsid w:val="00334F49"/>
    <w:rsid w:val="00337FAE"/>
    <w:rsid w:val="00341CCF"/>
    <w:rsid w:val="00342F37"/>
    <w:rsid w:val="003436BD"/>
    <w:rsid w:val="003454B6"/>
    <w:rsid w:val="0034686C"/>
    <w:rsid w:val="003505C9"/>
    <w:rsid w:val="00351721"/>
    <w:rsid w:val="003518D2"/>
    <w:rsid w:val="00351DD7"/>
    <w:rsid w:val="0035291C"/>
    <w:rsid w:val="00357097"/>
    <w:rsid w:val="00360BC4"/>
    <w:rsid w:val="00367BF2"/>
    <w:rsid w:val="0037172E"/>
    <w:rsid w:val="00375AF6"/>
    <w:rsid w:val="00386473"/>
    <w:rsid w:val="00386622"/>
    <w:rsid w:val="00393354"/>
    <w:rsid w:val="003946A4"/>
    <w:rsid w:val="003A2492"/>
    <w:rsid w:val="003A2A12"/>
    <w:rsid w:val="003A384B"/>
    <w:rsid w:val="003B73E3"/>
    <w:rsid w:val="003C0381"/>
    <w:rsid w:val="003C2E95"/>
    <w:rsid w:val="003C32F3"/>
    <w:rsid w:val="003C37A3"/>
    <w:rsid w:val="003C7AF6"/>
    <w:rsid w:val="003D6349"/>
    <w:rsid w:val="003D7037"/>
    <w:rsid w:val="003D71A1"/>
    <w:rsid w:val="003D72B3"/>
    <w:rsid w:val="003D7DB6"/>
    <w:rsid w:val="003E0E39"/>
    <w:rsid w:val="003E15AD"/>
    <w:rsid w:val="003E24DE"/>
    <w:rsid w:val="003E3484"/>
    <w:rsid w:val="003E62A8"/>
    <w:rsid w:val="003E6C93"/>
    <w:rsid w:val="003E7AC6"/>
    <w:rsid w:val="003E7BF5"/>
    <w:rsid w:val="003F1018"/>
    <w:rsid w:val="003F3017"/>
    <w:rsid w:val="003F4465"/>
    <w:rsid w:val="003F7944"/>
    <w:rsid w:val="00401872"/>
    <w:rsid w:val="00402512"/>
    <w:rsid w:val="00403061"/>
    <w:rsid w:val="004112F6"/>
    <w:rsid w:val="00416537"/>
    <w:rsid w:val="004202E4"/>
    <w:rsid w:val="00420657"/>
    <w:rsid w:val="00421971"/>
    <w:rsid w:val="00422B62"/>
    <w:rsid w:val="00422FFD"/>
    <w:rsid w:val="00441E6D"/>
    <w:rsid w:val="00442514"/>
    <w:rsid w:val="00442CD2"/>
    <w:rsid w:val="00442F89"/>
    <w:rsid w:val="004453EB"/>
    <w:rsid w:val="00453DFA"/>
    <w:rsid w:val="00456605"/>
    <w:rsid w:val="00456B28"/>
    <w:rsid w:val="00460964"/>
    <w:rsid w:val="004659AC"/>
    <w:rsid w:val="004736E9"/>
    <w:rsid w:val="00474230"/>
    <w:rsid w:val="00476493"/>
    <w:rsid w:val="00480DCE"/>
    <w:rsid w:val="00481573"/>
    <w:rsid w:val="0048370E"/>
    <w:rsid w:val="0048570C"/>
    <w:rsid w:val="00486B34"/>
    <w:rsid w:val="00486C04"/>
    <w:rsid w:val="0049069F"/>
    <w:rsid w:val="004944DB"/>
    <w:rsid w:val="0049726E"/>
    <w:rsid w:val="004A48CE"/>
    <w:rsid w:val="004A6051"/>
    <w:rsid w:val="004A6B7E"/>
    <w:rsid w:val="004B005F"/>
    <w:rsid w:val="004B05C4"/>
    <w:rsid w:val="004B15F8"/>
    <w:rsid w:val="004B3900"/>
    <w:rsid w:val="004B4D3C"/>
    <w:rsid w:val="004B5D47"/>
    <w:rsid w:val="004B63FA"/>
    <w:rsid w:val="004C28BC"/>
    <w:rsid w:val="004C3D82"/>
    <w:rsid w:val="004C4619"/>
    <w:rsid w:val="004D1B6D"/>
    <w:rsid w:val="004D545E"/>
    <w:rsid w:val="004D69B9"/>
    <w:rsid w:val="004E4800"/>
    <w:rsid w:val="004E67C6"/>
    <w:rsid w:val="004E73ED"/>
    <w:rsid w:val="004F06DF"/>
    <w:rsid w:val="004F07B0"/>
    <w:rsid w:val="004F3661"/>
    <w:rsid w:val="004F458F"/>
    <w:rsid w:val="004F7A4B"/>
    <w:rsid w:val="0050125D"/>
    <w:rsid w:val="00501EDE"/>
    <w:rsid w:val="00507614"/>
    <w:rsid w:val="00512CAA"/>
    <w:rsid w:val="00512F74"/>
    <w:rsid w:val="005138FF"/>
    <w:rsid w:val="00516B2C"/>
    <w:rsid w:val="00523240"/>
    <w:rsid w:val="00523645"/>
    <w:rsid w:val="00523920"/>
    <w:rsid w:val="0053147F"/>
    <w:rsid w:val="0053303B"/>
    <w:rsid w:val="00533362"/>
    <w:rsid w:val="0053412A"/>
    <w:rsid w:val="0053445C"/>
    <w:rsid w:val="00534C97"/>
    <w:rsid w:val="005350ED"/>
    <w:rsid w:val="005351A0"/>
    <w:rsid w:val="00535AFB"/>
    <w:rsid w:val="0054069F"/>
    <w:rsid w:val="00543962"/>
    <w:rsid w:val="00543EF0"/>
    <w:rsid w:val="0054482C"/>
    <w:rsid w:val="00550B6E"/>
    <w:rsid w:val="0055292B"/>
    <w:rsid w:val="00554BCF"/>
    <w:rsid w:val="00563AB2"/>
    <w:rsid w:val="00563D57"/>
    <w:rsid w:val="00566616"/>
    <w:rsid w:val="005726D7"/>
    <w:rsid w:val="0057376B"/>
    <w:rsid w:val="0057664E"/>
    <w:rsid w:val="0057686D"/>
    <w:rsid w:val="00577402"/>
    <w:rsid w:val="00577953"/>
    <w:rsid w:val="00580056"/>
    <w:rsid w:val="00580D73"/>
    <w:rsid w:val="005810FF"/>
    <w:rsid w:val="0058232C"/>
    <w:rsid w:val="005837D7"/>
    <w:rsid w:val="00583852"/>
    <w:rsid w:val="00585B1C"/>
    <w:rsid w:val="0059488D"/>
    <w:rsid w:val="005A06B8"/>
    <w:rsid w:val="005A0BFF"/>
    <w:rsid w:val="005A3128"/>
    <w:rsid w:val="005A4476"/>
    <w:rsid w:val="005A590A"/>
    <w:rsid w:val="005A5A20"/>
    <w:rsid w:val="005A7447"/>
    <w:rsid w:val="005A7F91"/>
    <w:rsid w:val="005B2901"/>
    <w:rsid w:val="005B4EF8"/>
    <w:rsid w:val="005B7F26"/>
    <w:rsid w:val="005C0660"/>
    <w:rsid w:val="005C5B1D"/>
    <w:rsid w:val="005C6ED9"/>
    <w:rsid w:val="005C7A60"/>
    <w:rsid w:val="005D2045"/>
    <w:rsid w:val="005D5104"/>
    <w:rsid w:val="005D5BF5"/>
    <w:rsid w:val="005D6220"/>
    <w:rsid w:val="005D6D79"/>
    <w:rsid w:val="005E3915"/>
    <w:rsid w:val="005E3DA5"/>
    <w:rsid w:val="005E4ABB"/>
    <w:rsid w:val="005E7C8B"/>
    <w:rsid w:val="005F2475"/>
    <w:rsid w:val="005F3E8A"/>
    <w:rsid w:val="005F4A22"/>
    <w:rsid w:val="005F4EF4"/>
    <w:rsid w:val="005F7E12"/>
    <w:rsid w:val="00601243"/>
    <w:rsid w:val="00601D3C"/>
    <w:rsid w:val="006023FA"/>
    <w:rsid w:val="006036B6"/>
    <w:rsid w:val="0060436A"/>
    <w:rsid w:val="006051C0"/>
    <w:rsid w:val="00612619"/>
    <w:rsid w:val="00615790"/>
    <w:rsid w:val="00616BA6"/>
    <w:rsid w:val="00621084"/>
    <w:rsid w:val="00625386"/>
    <w:rsid w:val="00630B3E"/>
    <w:rsid w:val="0063287F"/>
    <w:rsid w:val="00634846"/>
    <w:rsid w:val="0063546B"/>
    <w:rsid w:val="00642F78"/>
    <w:rsid w:val="00643A83"/>
    <w:rsid w:val="00644382"/>
    <w:rsid w:val="00647A5D"/>
    <w:rsid w:val="00652641"/>
    <w:rsid w:val="00653171"/>
    <w:rsid w:val="0065582D"/>
    <w:rsid w:val="006631FD"/>
    <w:rsid w:val="00665A5E"/>
    <w:rsid w:val="00673E53"/>
    <w:rsid w:val="006747FB"/>
    <w:rsid w:val="00676E78"/>
    <w:rsid w:val="006806D1"/>
    <w:rsid w:val="0068212D"/>
    <w:rsid w:val="00682353"/>
    <w:rsid w:val="0068364D"/>
    <w:rsid w:val="00684555"/>
    <w:rsid w:val="006865B5"/>
    <w:rsid w:val="00691BC3"/>
    <w:rsid w:val="0069392E"/>
    <w:rsid w:val="006963EB"/>
    <w:rsid w:val="00696FAA"/>
    <w:rsid w:val="006A69E1"/>
    <w:rsid w:val="006B0E5A"/>
    <w:rsid w:val="006B4FB1"/>
    <w:rsid w:val="006C1654"/>
    <w:rsid w:val="006C550F"/>
    <w:rsid w:val="006C6A40"/>
    <w:rsid w:val="006C7213"/>
    <w:rsid w:val="006C7B8C"/>
    <w:rsid w:val="006D337D"/>
    <w:rsid w:val="006D4C81"/>
    <w:rsid w:val="006D5DC4"/>
    <w:rsid w:val="006D687A"/>
    <w:rsid w:val="006E16AD"/>
    <w:rsid w:val="006E1D14"/>
    <w:rsid w:val="006E346F"/>
    <w:rsid w:val="006E43F5"/>
    <w:rsid w:val="006E55AF"/>
    <w:rsid w:val="006E63DA"/>
    <w:rsid w:val="006F189D"/>
    <w:rsid w:val="006F20D6"/>
    <w:rsid w:val="006F2AE8"/>
    <w:rsid w:val="006F42C9"/>
    <w:rsid w:val="006F4967"/>
    <w:rsid w:val="00700F70"/>
    <w:rsid w:val="007015A7"/>
    <w:rsid w:val="00702CAC"/>
    <w:rsid w:val="00704061"/>
    <w:rsid w:val="00707AF0"/>
    <w:rsid w:val="0071048C"/>
    <w:rsid w:val="00710DB0"/>
    <w:rsid w:val="0071256C"/>
    <w:rsid w:val="00720517"/>
    <w:rsid w:val="00720814"/>
    <w:rsid w:val="00726973"/>
    <w:rsid w:val="007275B4"/>
    <w:rsid w:val="00727686"/>
    <w:rsid w:val="00731027"/>
    <w:rsid w:val="0073526D"/>
    <w:rsid w:val="00743CA6"/>
    <w:rsid w:val="007518FE"/>
    <w:rsid w:val="0076364F"/>
    <w:rsid w:val="0077413E"/>
    <w:rsid w:val="00776784"/>
    <w:rsid w:val="00783E5C"/>
    <w:rsid w:val="007855A7"/>
    <w:rsid w:val="00793A0E"/>
    <w:rsid w:val="00793FA7"/>
    <w:rsid w:val="00794CDC"/>
    <w:rsid w:val="00797C3B"/>
    <w:rsid w:val="007A05F6"/>
    <w:rsid w:val="007A069A"/>
    <w:rsid w:val="007A3AE4"/>
    <w:rsid w:val="007A51B5"/>
    <w:rsid w:val="007A5D3A"/>
    <w:rsid w:val="007A65EB"/>
    <w:rsid w:val="007A7F89"/>
    <w:rsid w:val="007B09F9"/>
    <w:rsid w:val="007B59D1"/>
    <w:rsid w:val="007B5A31"/>
    <w:rsid w:val="007B5B7E"/>
    <w:rsid w:val="007B74F7"/>
    <w:rsid w:val="007C0C14"/>
    <w:rsid w:val="007C45C7"/>
    <w:rsid w:val="007C66EC"/>
    <w:rsid w:val="007D0A8E"/>
    <w:rsid w:val="007D315C"/>
    <w:rsid w:val="007D68CE"/>
    <w:rsid w:val="007E1926"/>
    <w:rsid w:val="007E475B"/>
    <w:rsid w:val="007E5720"/>
    <w:rsid w:val="007E64D4"/>
    <w:rsid w:val="007F1B6D"/>
    <w:rsid w:val="007F6352"/>
    <w:rsid w:val="007F68E4"/>
    <w:rsid w:val="007F6FE9"/>
    <w:rsid w:val="00801380"/>
    <w:rsid w:val="0080470A"/>
    <w:rsid w:val="00810997"/>
    <w:rsid w:val="00811303"/>
    <w:rsid w:val="00812A5E"/>
    <w:rsid w:val="008130DD"/>
    <w:rsid w:val="00813C18"/>
    <w:rsid w:val="00814F19"/>
    <w:rsid w:val="008152B7"/>
    <w:rsid w:val="00821BB7"/>
    <w:rsid w:val="008228CD"/>
    <w:rsid w:val="00827DA5"/>
    <w:rsid w:val="00827ED4"/>
    <w:rsid w:val="00831625"/>
    <w:rsid w:val="008317A7"/>
    <w:rsid w:val="00834006"/>
    <w:rsid w:val="008361EF"/>
    <w:rsid w:val="008406BD"/>
    <w:rsid w:val="008429DC"/>
    <w:rsid w:val="00843778"/>
    <w:rsid w:val="008478E0"/>
    <w:rsid w:val="0084791A"/>
    <w:rsid w:val="00854E6C"/>
    <w:rsid w:val="008567E0"/>
    <w:rsid w:val="00857D57"/>
    <w:rsid w:val="008614FE"/>
    <w:rsid w:val="00864A38"/>
    <w:rsid w:val="00867684"/>
    <w:rsid w:val="00870F2B"/>
    <w:rsid w:val="008715FB"/>
    <w:rsid w:val="00874B17"/>
    <w:rsid w:val="00874DCA"/>
    <w:rsid w:val="00877424"/>
    <w:rsid w:val="008916F0"/>
    <w:rsid w:val="00891DFE"/>
    <w:rsid w:val="00892B9E"/>
    <w:rsid w:val="00895D51"/>
    <w:rsid w:val="008A06EE"/>
    <w:rsid w:val="008A10B8"/>
    <w:rsid w:val="008A28EC"/>
    <w:rsid w:val="008B2C47"/>
    <w:rsid w:val="008B7BA2"/>
    <w:rsid w:val="008C278E"/>
    <w:rsid w:val="008C3D7D"/>
    <w:rsid w:val="008C44DA"/>
    <w:rsid w:val="008C47C3"/>
    <w:rsid w:val="008C7220"/>
    <w:rsid w:val="008D079A"/>
    <w:rsid w:val="008D2297"/>
    <w:rsid w:val="008D38FE"/>
    <w:rsid w:val="008D3FCD"/>
    <w:rsid w:val="008D6CF1"/>
    <w:rsid w:val="008E58EF"/>
    <w:rsid w:val="008E59DA"/>
    <w:rsid w:val="008E5CE5"/>
    <w:rsid w:val="008F05D3"/>
    <w:rsid w:val="008F11D2"/>
    <w:rsid w:val="008F4528"/>
    <w:rsid w:val="008F471B"/>
    <w:rsid w:val="008F5947"/>
    <w:rsid w:val="008F72C1"/>
    <w:rsid w:val="00900FB7"/>
    <w:rsid w:val="009040B4"/>
    <w:rsid w:val="00904140"/>
    <w:rsid w:val="00906CBB"/>
    <w:rsid w:val="0090787E"/>
    <w:rsid w:val="00910C19"/>
    <w:rsid w:val="00911E21"/>
    <w:rsid w:val="00915628"/>
    <w:rsid w:val="009160B1"/>
    <w:rsid w:val="00916206"/>
    <w:rsid w:val="0091767B"/>
    <w:rsid w:val="00920A4E"/>
    <w:rsid w:val="0092368C"/>
    <w:rsid w:val="0092379C"/>
    <w:rsid w:val="0093425C"/>
    <w:rsid w:val="00934977"/>
    <w:rsid w:val="00935DE5"/>
    <w:rsid w:val="00941960"/>
    <w:rsid w:val="009537D0"/>
    <w:rsid w:val="0095552D"/>
    <w:rsid w:val="0095655C"/>
    <w:rsid w:val="009606AB"/>
    <w:rsid w:val="00961D8F"/>
    <w:rsid w:val="00962E4F"/>
    <w:rsid w:val="0096334C"/>
    <w:rsid w:val="00963B10"/>
    <w:rsid w:val="00965CAF"/>
    <w:rsid w:val="00971A1F"/>
    <w:rsid w:val="00974886"/>
    <w:rsid w:val="00976844"/>
    <w:rsid w:val="00977459"/>
    <w:rsid w:val="00983F69"/>
    <w:rsid w:val="00985281"/>
    <w:rsid w:val="00985D40"/>
    <w:rsid w:val="0098614D"/>
    <w:rsid w:val="0099153A"/>
    <w:rsid w:val="009979A1"/>
    <w:rsid w:val="009A2315"/>
    <w:rsid w:val="009A27EB"/>
    <w:rsid w:val="009A39DF"/>
    <w:rsid w:val="009A44C3"/>
    <w:rsid w:val="009A50F2"/>
    <w:rsid w:val="009A52F9"/>
    <w:rsid w:val="009A7140"/>
    <w:rsid w:val="009B3B6A"/>
    <w:rsid w:val="009B571F"/>
    <w:rsid w:val="009C18AA"/>
    <w:rsid w:val="009C5F54"/>
    <w:rsid w:val="009C7640"/>
    <w:rsid w:val="009C7B1E"/>
    <w:rsid w:val="009D303C"/>
    <w:rsid w:val="009D6C12"/>
    <w:rsid w:val="009E014E"/>
    <w:rsid w:val="009E18D0"/>
    <w:rsid w:val="009E4220"/>
    <w:rsid w:val="009E569C"/>
    <w:rsid w:val="009F1AC8"/>
    <w:rsid w:val="009F63CA"/>
    <w:rsid w:val="009F68AF"/>
    <w:rsid w:val="00A01422"/>
    <w:rsid w:val="00A02864"/>
    <w:rsid w:val="00A04721"/>
    <w:rsid w:val="00A05E85"/>
    <w:rsid w:val="00A0782E"/>
    <w:rsid w:val="00A11D6F"/>
    <w:rsid w:val="00A166A1"/>
    <w:rsid w:val="00A21A90"/>
    <w:rsid w:val="00A24866"/>
    <w:rsid w:val="00A26DE3"/>
    <w:rsid w:val="00A274ED"/>
    <w:rsid w:val="00A31A3A"/>
    <w:rsid w:val="00A31D2E"/>
    <w:rsid w:val="00A36DF0"/>
    <w:rsid w:val="00A46914"/>
    <w:rsid w:val="00A50CD8"/>
    <w:rsid w:val="00A5116B"/>
    <w:rsid w:val="00A5433F"/>
    <w:rsid w:val="00A55A34"/>
    <w:rsid w:val="00A56D0B"/>
    <w:rsid w:val="00A5720F"/>
    <w:rsid w:val="00A5764B"/>
    <w:rsid w:val="00A57F29"/>
    <w:rsid w:val="00A64EFD"/>
    <w:rsid w:val="00A6592C"/>
    <w:rsid w:val="00A66D55"/>
    <w:rsid w:val="00A711BD"/>
    <w:rsid w:val="00A7326E"/>
    <w:rsid w:val="00A7479A"/>
    <w:rsid w:val="00A76AAC"/>
    <w:rsid w:val="00A76F6C"/>
    <w:rsid w:val="00A82564"/>
    <w:rsid w:val="00A867B1"/>
    <w:rsid w:val="00A8730B"/>
    <w:rsid w:val="00A87B1A"/>
    <w:rsid w:val="00A910DC"/>
    <w:rsid w:val="00A91A13"/>
    <w:rsid w:val="00A91B01"/>
    <w:rsid w:val="00A923EF"/>
    <w:rsid w:val="00A92660"/>
    <w:rsid w:val="00A92F33"/>
    <w:rsid w:val="00A934BB"/>
    <w:rsid w:val="00A96898"/>
    <w:rsid w:val="00A96E53"/>
    <w:rsid w:val="00AA06B7"/>
    <w:rsid w:val="00AA1201"/>
    <w:rsid w:val="00AA21DA"/>
    <w:rsid w:val="00AA61DE"/>
    <w:rsid w:val="00AA719C"/>
    <w:rsid w:val="00AB14A5"/>
    <w:rsid w:val="00AB40AF"/>
    <w:rsid w:val="00AB549D"/>
    <w:rsid w:val="00AC27BE"/>
    <w:rsid w:val="00AC49A9"/>
    <w:rsid w:val="00AC5141"/>
    <w:rsid w:val="00AD1628"/>
    <w:rsid w:val="00AD3527"/>
    <w:rsid w:val="00AD43D1"/>
    <w:rsid w:val="00AD7AD3"/>
    <w:rsid w:val="00AD7E75"/>
    <w:rsid w:val="00AE0022"/>
    <w:rsid w:val="00AE3021"/>
    <w:rsid w:val="00AE4425"/>
    <w:rsid w:val="00AE4AE7"/>
    <w:rsid w:val="00AF0DBB"/>
    <w:rsid w:val="00AF7F6F"/>
    <w:rsid w:val="00B02594"/>
    <w:rsid w:val="00B038D0"/>
    <w:rsid w:val="00B04561"/>
    <w:rsid w:val="00B05E4B"/>
    <w:rsid w:val="00B12DCF"/>
    <w:rsid w:val="00B16421"/>
    <w:rsid w:val="00B21A2A"/>
    <w:rsid w:val="00B2318C"/>
    <w:rsid w:val="00B31EF6"/>
    <w:rsid w:val="00B34687"/>
    <w:rsid w:val="00B34F7E"/>
    <w:rsid w:val="00B40FE0"/>
    <w:rsid w:val="00B47E43"/>
    <w:rsid w:val="00B50566"/>
    <w:rsid w:val="00B514D3"/>
    <w:rsid w:val="00B526DE"/>
    <w:rsid w:val="00B552A5"/>
    <w:rsid w:val="00B62AC8"/>
    <w:rsid w:val="00B6309A"/>
    <w:rsid w:val="00B71B3C"/>
    <w:rsid w:val="00B72B5D"/>
    <w:rsid w:val="00B75B5C"/>
    <w:rsid w:val="00B86DAB"/>
    <w:rsid w:val="00B87F52"/>
    <w:rsid w:val="00B91293"/>
    <w:rsid w:val="00B9225D"/>
    <w:rsid w:val="00B93D6D"/>
    <w:rsid w:val="00B958AF"/>
    <w:rsid w:val="00BA2304"/>
    <w:rsid w:val="00BA7433"/>
    <w:rsid w:val="00BA75AB"/>
    <w:rsid w:val="00BB0C18"/>
    <w:rsid w:val="00BB6335"/>
    <w:rsid w:val="00BC0C68"/>
    <w:rsid w:val="00BC51FC"/>
    <w:rsid w:val="00BD1A9E"/>
    <w:rsid w:val="00BD5DD2"/>
    <w:rsid w:val="00BE3A7C"/>
    <w:rsid w:val="00BE4090"/>
    <w:rsid w:val="00BE70E0"/>
    <w:rsid w:val="00BF7557"/>
    <w:rsid w:val="00BF7E67"/>
    <w:rsid w:val="00C0255A"/>
    <w:rsid w:val="00C03ED5"/>
    <w:rsid w:val="00C0423A"/>
    <w:rsid w:val="00C04743"/>
    <w:rsid w:val="00C117AB"/>
    <w:rsid w:val="00C12459"/>
    <w:rsid w:val="00C1362F"/>
    <w:rsid w:val="00C14C6B"/>
    <w:rsid w:val="00C16EC2"/>
    <w:rsid w:val="00C214B9"/>
    <w:rsid w:val="00C217B2"/>
    <w:rsid w:val="00C226D5"/>
    <w:rsid w:val="00C3179F"/>
    <w:rsid w:val="00C32FD5"/>
    <w:rsid w:val="00C44A2D"/>
    <w:rsid w:val="00C44A6F"/>
    <w:rsid w:val="00C46392"/>
    <w:rsid w:val="00C46A33"/>
    <w:rsid w:val="00C5129B"/>
    <w:rsid w:val="00C53E29"/>
    <w:rsid w:val="00C63075"/>
    <w:rsid w:val="00C63668"/>
    <w:rsid w:val="00C63965"/>
    <w:rsid w:val="00C657D5"/>
    <w:rsid w:val="00C67E19"/>
    <w:rsid w:val="00C7246E"/>
    <w:rsid w:val="00C768DF"/>
    <w:rsid w:val="00C83641"/>
    <w:rsid w:val="00C83B4F"/>
    <w:rsid w:val="00C83FF3"/>
    <w:rsid w:val="00C87E04"/>
    <w:rsid w:val="00C87E4D"/>
    <w:rsid w:val="00C90CEF"/>
    <w:rsid w:val="00C9107F"/>
    <w:rsid w:val="00C92B10"/>
    <w:rsid w:val="00C94D91"/>
    <w:rsid w:val="00CA15E4"/>
    <w:rsid w:val="00CA1AB6"/>
    <w:rsid w:val="00CA206B"/>
    <w:rsid w:val="00CA4762"/>
    <w:rsid w:val="00CA739D"/>
    <w:rsid w:val="00CA7A66"/>
    <w:rsid w:val="00CB16B5"/>
    <w:rsid w:val="00CB370B"/>
    <w:rsid w:val="00CB5475"/>
    <w:rsid w:val="00CB58CE"/>
    <w:rsid w:val="00CC160D"/>
    <w:rsid w:val="00CC4016"/>
    <w:rsid w:val="00CC4081"/>
    <w:rsid w:val="00CC525B"/>
    <w:rsid w:val="00CC7C6E"/>
    <w:rsid w:val="00CD0118"/>
    <w:rsid w:val="00CD2228"/>
    <w:rsid w:val="00CD408B"/>
    <w:rsid w:val="00CD5002"/>
    <w:rsid w:val="00CD62CC"/>
    <w:rsid w:val="00CE359C"/>
    <w:rsid w:val="00CE4896"/>
    <w:rsid w:val="00CE4F4C"/>
    <w:rsid w:val="00CE4FE6"/>
    <w:rsid w:val="00CE5233"/>
    <w:rsid w:val="00CE5D61"/>
    <w:rsid w:val="00CE7736"/>
    <w:rsid w:val="00CF29B5"/>
    <w:rsid w:val="00CF3239"/>
    <w:rsid w:val="00CF4743"/>
    <w:rsid w:val="00CF55FF"/>
    <w:rsid w:val="00D01054"/>
    <w:rsid w:val="00D016A0"/>
    <w:rsid w:val="00D04111"/>
    <w:rsid w:val="00D06B51"/>
    <w:rsid w:val="00D07317"/>
    <w:rsid w:val="00D1211C"/>
    <w:rsid w:val="00D12AB9"/>
    <w:rsid w:val="00D15E3F"/>
    <w:rsid w:val="00D16364"/>
    <w:rsid w:val="00D2140B"/>
    <w:rsid w:val="00D22634"/>
    <w:rsid w:val="00D23516"/>
    <w:rsid w:val="00D246CD"/>
    <w:rsid w:val="00D27F52"/>
    <w:rsid w:val="00D3197F"/>
    <w:rsid w:val="00D32ED6"/>
    <w:rsid w:val="00D34D27"/>
    <w:rsid w:val="00D43326"/>
    <w:rsid w:val="00D43756"/>
    <w:rsid w:val="00D444EE"/>
    <w:rsid w:val="00D44601"/>
    <w:rsid w:val="00D45AED"/>
    <w:rsid w:val="00D47A7D"/>
    <w:rsid w:val="00D517AE"/>
    <w:rsid w:val="00D53B62"/>
    <w:rsid w:val="00D55B68"/>
    <w:rsid w:val="00D62913"/>
    <w:rsid w:val="00D65371"/>
    <w:rsid w:val="00D6576E"/>
    <w:rsid w:val="00D66400"/>
    <w:rsid w:val="00D6719A"/>
    <w:rsid w:val="00D72990"/>
    <w:rsid w:val="00D730A6"/>
    <w:rsid w:val="00D75D66"/>
    <w:rsid w:val="00D76C64"/>
    <w:rsid w:val="00D772B0"/>
    <w:rsid w:val="00D82789"/>
    <w:rsid w:val="00D850DA"/>
    <w:rsid w:val="00D87348"/>
    <w:rsid w:val="00D8782E"/>
    <w:rsid w:val="00D90BC0"/>
    <w:rsid w:val="00D90F66"/>
    <w:rsid w:val="00D926AA"/>
    <w:rsid w:val="00D952B5"/>
    <w:rsid w:val="00D977E6"/>
    <w:rsid w:val="00DA407F"/>
    <w:rsid w:val="00DA49BD"/>
    <w:rsid w:val="00DB26C5"/>
    <w:rsid w:val="00DB3ED7"/>
    <w:rsid w:val="00DB4446"/>
    <w:rsid w:val="00DB646F"/>
    <w:rsid w:val="00DC1770"/>
    <w:rsid w:val="00DC2AF1"/>
    <w:rsid w:val="00DC320E"/>
    <w:rsid w:val="00DC6069"/>
    <w:rsid w:val="00DC6A09"/>
    <w:rsid w:val="00DC6AF3"/>
    <w:rsid w:val="00DD1D1F"/>
    <w:rsid w:val="00DD3CB5"/>
    <w:rsid w:val="00DD6D86"/>
    <w:rsid w:val="00DD76AD"/>
    <w:rsid w:val="00DE024B"/>
    <w:rsid w:val="00DE1BA1"/>
    <w:rsid w:val="00DE2AE9"/>
    <w:rsid w:val="00DE4A1C"/>
    <w:rsid w:val="00DE6557"/>
    <w:rsid w:val="00DF0C8A"/>
    <w:rsid w:val="00DF4F4F"/>
    <w:rsid w:val="00DF5FEB"/>
    <w:rsid w:val="00DF70F0"/>
    <w:rsid w:val="00E02E67"/>
    <w:rsid w:val="00E03753"/>
    <w:rsid w:val="00E0417F"/>
    <w:rsid w:val="00E10373"/>
    <w:rsid w:val="00E1269C"/>
    <w:rsid w:val="00E134F9"/>
    <w:rsid w:val="00E13A27"/>
    <w:rsid w:val="00E15263"/>
    <w:rsid w:val="00E15AE7"/>
    <w:rsid w:val="00E20D63"/>
    <w:rsid w:val="00E210A1"/>
    <w:rsid w:val="00E226F9"/>
    <w:rsid w:val="00E231E5"/>
    <w:rsid w:val="00E30238"/>
    <w:rsid w:val="00E3512B"/>
    <w:rsid w:val="00E4329C"/>
    <w:rsid w:val="00E444D5"/>
    <w:rsid w:val="00E455E7"/>
    <w:rsid w:val="00E50D0A"/>
    <w:rsid w:val="00E56096"/>
    <w:rsid w:val="00E57DF1"/>
    <w:rsid w:val="00E60C0F"/>
    <w:rsid w:val="00E60F84"/>
    <w:rsid w:val="00E626DE"/>
    <w:rsid w:val="00E64DF8"/>
    <w:rsid w:val="00E6664D"/>
    <w:rsid w:val="00E72046"/>
    <w:rsid w:val="00E7322D"/>
    <w:rsid w:val="00E830C1"/>
    <w:rsid w:val="00E842E7"/>
    <w:rsid w:val="00E873F4"/>
    <w:rsid w:val="00E90EC7"/>
    <w:rsid w:val="00E90FA6"/>
    <w:rsid w:val="00E92A4C"/>
    <w:rsid w:val="00E95FD3"/>
    <w:rsid w:val="00EB3CD8"/>
    <w:rsid w:val="00EB480C"/>
    <w:rsid w:val="00EB63C1"/>
    <w:rsid w:val="00EB7F72"/>
    <w:rsid w:val="00EC1A00"/>
    <w:rsid w:val="00EC2147"/>
    <w:rsid w:val="00EC3B68"/>
    <w:rsid w:val="00EC5AEF"/>
    <w:rsid w:val="00EC659B"/>
    <w:rsid w:val="00ED0C77"/>
    <w:rsid w:val="00ED1662"/>
    <w:rsid w:val="00ED3241"/>
    <w:rsid w:val="00ED5769"/>
    <w:rsid w:val="00EE4124"/>
    <w:rsid w:val="00EF1DAF"/>
    <w:rsid w:val="00EF496A"/>
    <w:rsid w:val="00EF4A4F"/>
    <w:rsid w:val="00EF4CA6"/>
    <w:rsid w:val="00EF56FE"/>
    <w:rsid w:val="00F01803"/>
    <w:rsid w:val="00F07BEC"/>
    <w:rsid w:val="00F07C65"/>
    <w:rsid w:val="00F12100"/>
    <w:rsid w:val="00F14E9B"/>
    <w:rsid w:val="00F169EC"/>
    <w:rsid w:val="00F22D3A"/>
    <w:rsid w:val="00F23881"/>
    <w:rsid w:val="00F23D52"/>
    <w:rsid w:val="00F312C6"/>
    <w:rsid w:val="00F31F87"/>
    <w:rsid w:val="00F32A01"/>
    <w:rsid w:val="00F34A7E"/>
    <w:rsid w:val="00F42998"/>
    <w:rsid w:val="00F4663B"/>
    <w:rsid w:val="00F50D4C"/>
    <w:rsid w:val="00F512B9"/>
    <w:rsid w:val="00F53F84"/>
    <w:rsid w:val="00F56215"/>
    <w:rsid w:val="00F604E6"/>
    <w:rsid w:val="00F62CF8"/>
    <w:rsid w:val="00F63A09"/>
    <w:rsid w:val="00F666F7"/>
    <w:rsid w:val="00F678CB"/>
    <w:rsid w:val="00F72635"/>
    <w:rsid w:val="00F731E8"/>
    <w:rsid w:val="00F75562"/>
    <w:rsid w:val="00F779C8"/>
    <w:rsid w:val="00F80475"/>
    <w:rsid w:val="00F80C85"/>
    <w:rsid w:val="00F8155D"/>
    <w:rsid w:val="00F840FE"/>
    <w:rsid w:val="00F857EA"/>
    <w:rsid w:val="00F90019"/>
    <w:rsid w:val="00F91575"/>
    <w:rsid w:val="00F9273F"/>
    <w:rsid w:val="00F9614F"/>
    <w:rsid w:val="00FA02F3"/>
    <w:rsid w:val="00FA1FB8"/>
    <w:rsid w:val="00FA6A94"/>
    <w:rsid w:val="00FA6FD7"/>
    <w:rsid w:val="00FA7269"/>
    <w:rsid w:val="00FB3873"/>
    <w:rsid w:val="00FB59DA"/>
    <w:rsid w:val="00FB5F4E"/>
    <w:rsid w:val="00FC013D"/>
    <w:rsid w:val="00FC0A57"/>
    <w:rsid w:val="00FC0CE9"/>
    <w:rsid w:val="00FC14F2"/>
    <w:rsid w:val="00FC6BEB"/>
    <w:rsid w:val="00FD0D6A"/>
    <w:rsid w:val="00FD11B5"/>
    <w:rsid w:val="00FD1C6E"/>
    <w:rsid w:val="00FD762D"/>
    <w:rsid w:val="00FE0E24"/>
    <w:rsid w:val="00FE2D29"/>
    <w:rsid w:val="00FE2DFF"/>
    <w:rsid w:val="00FE5713"/>
    <w:rsid w:val="00FE7A6A"/>
    <w:rsid w:val="00FE7BD0"/>
    <w:rsid w:val="00FF29FB"/>
    <w:rsid w:val="00FF4908"/>
    <w:rsid w:val="00FF6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4AD04C-D33B-4E38-AFCA-86CFEE7E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ttes">
    <w:name w:val="annette's"/>
    <w:basedOn w:val="Normal"/>
    <w:qFormat/>
    <w:rsid w:val="00A96E53"/>
    <w:pPr>
      <w:spacing w:line="360" w:lineRule="auto"/>
      <w:jc w:val="both"/>
    </w:pPr>
    <w:rPr>
      <w:rFonts w:ascii="Times New Roman" w:hAnsi="Times New Roman"/>
      <w:sz w:val="24"/>
    </w:rPr>
  </w:style>
  <w:style w:type="paragraph" w:styleId="ListParagraph">
    <w:name w:val="List Paragraph"/>
    <w:basedOn w:val="Normal"/>
    <w:uiPriority w:val="34"/>
    <w:qFormat/>
    <w:rsid w:val="00E13A27"/>
    <w:pPr>
      <w:spacing w:after="0" w:line="480" w:lineRule="auto"/>
      <w:ind w:left="720"/>
      <w:contextualSpacing/>
    </w:pPr>
  </w:style>
  <w:style w:type="paragraph" w:styleId="FootnoteText">
    <w:name w:val="footnote text"/>
    <w:basedOn w:val="Normal"/>
    <w:link w:val="FootnoteTextChar"/>
    <w:uiPriority w:val="99"/>
    <w:unhideWhenUsed/>
    <w:rsid w:val="009C18AA"/>
    <w:pPr>
      <w:spacing w:after="120" w:line="240" w:lineRule="auto"/>
      <w:ind w:firstLine="720"/>
      <w:jc w:val="both"/>
    </w:pPr>
    <w:rPr>
      <w:rFonts w:ascii="Times New Roman" w:hAnsi="Times New Roman"/>
      <w:sz w:val="20"/>
      <w:szCs w:val="20"/>
    </w:rPr>
  </w:style>
  <w:style w:type="character" w:customStyle="1" w:styleId="FootnoteTextChar">
    <w:name w:val="Footnote Text Char"/>
    <w:basedOn w:val="DefaultParagraphFont"/>
    <w:link w:val="FootnoteText"/>
    <w:uiPriority w:val="99"/>
    <w:rsid w:val="009C18AA"/>
    <w:rPr>
      <w:rFonts w:ascii="Times New Roman" w:hAnsi="Times New Roman"/>
      <w:sz w:val="20"/>
      <w:szCs w:val="20"/>
    </w:rPr>
  </w:style>
  <w:style w:type="character" w:styleId="FootnoteReference">
    <w:name w:val="footnote reference"/>
    <w:basedOn w:val="DefaultParagraphFont"/>
    <w:uiPriority w:val="99"/>
    <w:unhideWhenUsed/>
    <w:rsid w:val="00F75562"/>
    <w:rPr>
      <w:vertAlign w:val="superscript"/>
    </w:rPr>
  </w:style>
  <w:style w:type="table" w:styleId="TableGrid">
    <w:name w:val="Table Grid"/>
    <w:basedOn w:val="TableNormal"/>
    <w:uiPriority w:val="59"/>
    <w:rsid w:val="00FA7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4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A1C"/>
  </w:style>
  <w:style w:type="paragraph" w:styleId="Footer">
    <w:name w:val="footer"/>
    <w:basedOn w:val="Normal"/>
    <w:link w:val="FooterChar"/>
    <w:uiPriority w:val="99"/>
    <w:unhideWhenUsed/>
    <w:rsid w:val="00DE4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A1C"/>
  </w:style>
  <w:style w:type="paragraph" w:styleId="BalloonText">
    <w:name w:val="Balloon Text"/>
    <w:basedOn w:val="Normal"/>
    <w:link w:val="BalloonTextChar"/>
    <w:uiPriority w:val="99"/>
    <w:semiHidden/>
    <w:unhideWhenUsed/>
    <w:rsid w:val="00857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D57"/>
    <w:rPr>
      <w:rFonts w:ascii="Tahoma" w:hAnsi="Tahoma" w:cs="Tahoma"/>
      <w:sz w:val="16"/>
      <w:szCs w:val="16"/>
    </w:rPr>
  </w:style>
  <w:style w:type="character" w:styleId="Hyperlink">
    <w:name w:val="Hyperlink"/>
    <w:basedOn w:val="DefaultParagraphFont"/>
    <w:uiPriority w:val="99"/>
    <w:unhideWhenUsed/>
    <w:rsid w:val="00DA407F"/>
    <w:rPr>
      <w:color w:val="0000FF" w:themeColor="hyperlink"/>
      <w:u w:val="single"/>
    </w:rPr>
  </w:style>
  <w:style w:type="character" w:styleId="CommentReference">
    <w:name w:val="annotation reference"/>
    <w:basedOn w:val="DefaultParagraphFont"/>
    <w:uiPriority w:val="99"/>
    <w:semiHidden/>
    <w:unhideWhenUsed/>
    <w:rsid w:val="009B571F"/>
    <w:rPr>
      <w:sz w:val="16"/>
      <w:szCs w:val="16"/>
    </w:rPr>
  </w:style>
  <w:style w:type="paragraph" w:styleId="CommentText">
    <w:name w:val="annotation text"/>
    <w:basedOn w:val="Normal"/>
    <w:link w:val="CommentTextChar"/>
    <w:uiPriority w:val="99"/>
    <w:semiHidden/>
    <w:unhideWhenUsed/>
    <w:rsid w:val="009B571F"/>
    <w:pPr>
      <w:spacing w:line="240" w:lineRule="auto"/>
    </w:pPr>
    <w:rPr>
      <w:sz w:val="20"/>
      <w:szCs w:val="20"/>
    </w:rPr>
  </w:style>
  <w:style w:type="character" w:customStyle="1" w:styleId="CommentTextChar">
    <w:name w:val="Comment Text Char"/>
    <w:basedOn w:val="DefaultParagraphFont"/>
    <w:link w:val="CommentText"/>
    <w:uiPriority w:val="99"/>
    <w:semiHidden/>
    <w:rsid w:val="009B571F"/>
    <w:rPr>
      <w:sz w:val="20"/>
      <w:szCs w:val="20"/>
    </w:rPr>
  </w:style>
  <w:style w:type="paragraph" w:styleId="CommentSubject">
    <w:name w:val="annotation subject"/>
    <w:basedOn w:val="CommentText"/>
    <w:next w:val="CommentText"/>
    <w:link w:val="CommentSubjectChar"/>
    <w:uiPriority w:val="99"/>
    <w:semiHidden/>
    <w:unhideWhenUsed/>
    <w:rsid w:val="009B571F"/>
    <w:rPr>
      <w:b/>
      <w:bCs/>
    </w:rPr>
  </w:style>
  <w:style w:type="character" w:customStyle="1" w:styleId="CommentSubjectChar">
    <w:name w:val="Comment Subject Char"/>
    <w:basedOn w:val="CommentTextChar"/>
    <w:link w:val="CommentSubject"/>
    <w:uiPriority w:val="99"/>
    <w:semiHidden/>
    <w:rsid w:val="009B571F"/>
    <w:rPr>
      <w:b/>
      <w:bCs/>
      <w:sz w:val="20"/>
      <w:szCs w:val="20"/>
    </w:rPr>
  </w:style>
  <w:style w:type="paragraph" w:styleId="EndnoteText">
    <w:name w:val="endnote text"/>
    <w:basedOn w:val="Normal"/>
    <w:link w:val="EndnoteTextChar"/>
    <w:uiPriority w:val="99"/>
    <w:semiHidden/>
    <w:unhideWhenUsed/>
    <w:rsid w:val="00906CB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06CBB"/>
    <w:rPr>
      <w:sz w:val="20"/>
      <w:szCs w:val="20"/>
    </w:rPr>
  </w:style>
  <w:style w:type="character" w:styleId="EndnoteReference">
    <w:name w:val="endnote reference"/>
    <w:basedOn w:val="DefaultParagraphFont"/>
    <w:uiPriority w:val="99"/>
    <w:semiHidden/>
    <w:unhideWhenUsed/>
    <w:rsid w:val="00906CBB"/>
    <w:rPr>
      <w:vertAlign w:val="superscript"/>
    </w:rPr>
  </w:style>
  <w:style w:type="character" w:customStyle="1" w:styleId="label1">
    <w:name w:val="label1"/>
    <w:basedOn w:val="DefaultParagraphFont"/>
    <w:rsid w:val="006B4FB1"/>
    <w:rPr>
      <w:sz w:val="20"/>
      <w:szCs w:val="20"/>
    </w:rPr>
  </w:style>
  <w:style w:type="paragraph" w:customStyle="1" w:styleId="bullet4level1">
    <w:name w:val="bullet4 level1"/>
    <w:basedOn w:val="Normal"/>
    <w:rsid w:val="00192C6E"/>
    <w:pPr>
      <w:numPr>
        <w:numId w:val="9"/>
      </w:numPr>
      <w:tabs>
        <w:tab w:val="left" w:pos="3060"/>
      </w:tabs>
      <w:spacing w:after="120" w:line="260" w:lineRule="exact"/>
    </w:pPr>
    <w:rPr>
      <w:rFonts w:ascii="Arial" w:eastAsia="Times New Roman" w:hAnsi="Arial" w:cs="Times New Roman"/>
      <w:color w:val="1F497D" w:themeColor="text2"/>
      <w:sz w:val="21"/>
      <w:szCs w:val="24"/>
    </w:rPr>
  </w:style>
  <w:style w:type="paragraph" w:customStyle="1" w:styleId="m-8885962025766907527msolistparagraph">
    <w:name w:val="m_-8885962025766907527msolistparagraph"/>
    <w:basedOn w:val="Normal"/>
    <w:rsid w:val="001907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190776"/>
  </w:style>
  <w:style w:type="character" w:customStyle="1" w:styleId="UnresolvedMention1">
    <w:name w:val="Unresolved Mention1"/>
    <w:basedOn w:val="DefaultParagraphFont"/>
    <w:uiPriority w:val="99"/>
    <w:semiHidden/>
    <w:unhideWhenUsed/>
    <w:rsid w:val="00476493"/>
    <w:rPr>
      <w:color w:val="605E5C"/>
      <w:shd w:val="clear" w:color="auto" w:fill="E1DFDD"/>
    </w:rPr>
  </w:style>
  <w:style w:type="character" w:styleId="FollowedHyperlink">
    <w:name w:val="FollowedHyperlink"/>
    <w:basedOn w:val="DefaultParagraphFont"/>
    <w:uiPriority w:val="99"/>
    <w:semiHidden/>
    <w:unhideWhenUsed/>
    <w:rsid w:val="00D44601"/>
    <w:rPr>
      <w:color w:val="800080" w:themeColor="followedHyperlink"/>
      <w:u w:val="single"/>
    </w:rPr>
  </w:style>
  <w:style w:type="character" w:customStyle="1" w:styleId="UnresolvedMention2">
    <w:name w:val="Unresolved Mention2"/>
    <w:basedOn w:val="DefaultParagraphFont"/>
    <w:uiPriority w:val="99"/>
    <w:semiHidden/>
    <w:unhideWhenUsed/>
    <w:rsid w:val="00FE2DFF"/>
    <w:rPr>
      <w:color w:val="808080"/>
      <w:shd w:val="clear" w:color="auto" w:fill="E6E6E6"/>
    </w:rPr>
  </w:style>
  <w:style w:type="paragraph" w:styleId="Revision">
    <w:name w:val="Revision"/>
    <w:hidden/>
    <w:uiPriority w:val="99"/>
    <w:semiHidden/>
    <w:rsid w:val="00FE2D29"/>
    <w:pPr>
      <w:spacing w:after="0" w:line="240" w:lineRule="auto"/>
    </w:pPr>
  </w:style>
  <w:style w:type="paragraph" w:customStyle="1" w:styleId="Default">
    <w:name w:val="Default"/>
    <w:rsid w:val="00337FAE"/>
    <w:pPr>
      <w:autoSpaceDE w:val="0"/>
      <w:autoSpaceDN w:val="0"/>
      <w:adjustRightInd w:val="0"/>
      <w:spacing w:after="0" w:line="240" w:lineRule="auto"/>
    </w:pPr>
    <w:rPr>
      <w:rFonts w:ascii="Arial" w:hAnsi="Arial" w:cs="Arial"/>
      <w:color w:val="000000"/>
      <w:sz w:val="24"/>
      <w:szCs w:val="24"/>
    </w:rPr>
  </w:style>
  <w:style w:type="character" w:customStyle="1" w:styleId="UnresolvedMention3">
    <w:name w:val="Unresolved Mention3"/>
    <w:basedOn w:val="DefaultParagraphFont"/>
    <w:uiPriority w:val="99"/>
    <w:semiHidden/>
    <w:unhideWhenUsed/>
    <w:rsid w:val="00C32FD5"/>
    <w:rPr>
      <w:color w:val="605E5C"/>
      <w:shd w:val="clear" w:color="auto" w:fill="E1DFDD"/>
    </w:rPr>
  </w:style>
  <w:style w:type="paragraph" w:customStyle="1" w:styleId="m-5891451319331576464msocommenttext">
    <w:name w:val="m_-5891451319331576464msocommenttext"/>
    <w:basedOn w:val="Normal"/>
    <w:rsid w:val="006526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4">
    <w:name w:val="Unresolved Mention4"/>
    <w:basedOn w:val="DefaultParagraphFont"/>
    <w:uiPriority w:val="99"/>
    <w:semiHidden/>
    <w:unhideWhenUsed/>
    <w:rsid w:val="00580D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301">
      <w:bodyDiv w:val="1"/>
      <w:marLeft w:val="75"/>
      <w:marRight w:val="75"/>
      <w:marTop w:val="0"/>
      <w:marBottom w:val="0"/>
      <w:divBdr>
        <w:top w:val="none" w:sz="0" w:space="0" w:color="auto"/>
        <w:left w:val="none" w:sz="0" w:space="0" w:color="auto"/>
        <w:bottom w:val="none" w:sz="0" w:space="0" w:color="auto"/>
        <w:right w:val="none" w:sz="0" w:space="0" w:color="auto"/>
      </w:divBdr>
    </w:div>
    <w:div w:id="105973432">
      <w:bodyDiv w:val="1"/>
      <w:marLeft w:val="0"/>
      <w:marRight w:val="0"/>
      <w:marTop w:val="0"/>
      <w:marBottom w:val="0"/>
      <w:divBdr>
        <w:top w:val="none" w:sz="0" w:space="0" w:color="auto"/>
        <w:left w:val="none" w:sz="0" w:space="0" w:color="auto"/>
        <w:bottom w:val="none" w:sz="0" w:space="0" w:color="auto"/>
        <w:right w:val="none" w:sz="0" w:space="0" w:color="auto"/>
      </w:divBdr>
    </w:div>
    <w:div w:id="312609157">
      <w:bodyDiv w:val="1"/>
      <w:marLeft w:val="0"/>
      <w:marRight w:val="0"/>
      <w:marTop w:val="0"/>
      <w:marBottom w:val="0"/>
      <w:divBdr>
        <w:top w:val="none" w:sz="0" w:space="0" w:color="auto"/>
        <w:left w:val="none" w:sz="0" w:space="0" w:color="auto"/>
        <w:bottom w:val="none" w:sz="0" w:space="0" w:color="auto"/>
        <w:right w:val="none" w:sz="0" w:space="0" w:color="auto"/>
      </w:divBdr>
    </w:div>
    <w:div w:id="717900606">
      <w:bodyDiv w:val="1"/>
      <w:marLeft w:val="0"/>
      <w:marRight w:val="0"/>
      <w:marTop w:val="0"/>
      <w:marBottom w:val="0"/>
      <w:divBdr>
        <w:top w:val="none" w:sz="0" w:space="0" w:color="auto"/>
        <w:left w:val="none" w:sz="0" w:space="0" w:color="auto"/>
        <w:bottom w:val="none" w:sz="0" w:space="0" w:color="auto"/>
        <w:right w:val="none" w:sz="0" w:space="0" w:color="auto"/>
      </w:divBdr>
    </w:div>
    <w:div w:id="976453460">
      <w:bodyDiv w:val="1"/>
      <w:marLeft w:val="0"/>
      <w:marRight w:val="0"/>
      <w:marTop w:val="0"/>
      <w:marBottom w:val="0"/>
      <w:divBdr>
        <w:top w:val="none" w:sz="0" w:space="0" w:color="auto"/>
        <w:left w:val="none" w:sz="0" w:space="0" w:color="auto"/>
        <w:bottom w:val="none" w:sz="0" w:space="0" w:color="auto"/>
        <w:right w:val="none" w:sz="0" w:space="0" w:color="auto"/>
      </w:divBdr>
    </w:div>
    <w:div w:id="1166167299">
      <w:bodyDiv w:val="1"/>
      <w:marLeft w:val="0"/>
      <w:marRight w:val="0"/>
      <w:marTop w:val="0"/>
      <w:marBottom w:val="0"/>
      <w:divBdr>
        <w:top w:val="none" w:sz="0" w:space="0" w:color="auto"/>
        <w:left w:val="none" w:sz="0" w:space="0" w:color="auto"/>
        <w:bottom w:val="none" w:sz="0" w:space="0" w:color="auto"/>
        <w:right w:val="none" w:sz="0" w:space="0" w:color="auto"/>
      </w:divBdr>
    </w:div>
    <w:div w:id="126723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chele@competitivepower.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ercot.com/content/wcm/key_documents_lists/137978/5_Independent_Market_Monitor__IMM__Report.pdf" TargetMode="External"/><Relationship Id="rId2" Type="http://schemas.openxmlformats.org/officeDocument/2006/relationships/hyperlink" Target="https://www.potomaceconomics.com/wp-content/uploads/2018/05/2017-State-of-the-Market-Report.pdf" TargetMode="External"/><Relationship Id="rId1" Type="http://schemas.openxmlformats.org/officeDocument/2006/relationships/hyperlink" Target="http://www.ercot.com/content/wcm/lists/167023/CapacityDemandandReservesReport-Dec2018.pdf" TargetMode="External"/><Relationship Id="rId4" Type="http://schemas.openxmlformats.org/officeDocument/2006/relationships/hyperlink" Target="http://www.ercot.com/mktrules/obd/obd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C9A3A-BFE9-4B31-BE5A-456E8D9C3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4692</Words>
  <Characters>26750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OPC</dc:creator>
  <cp:lastModifiedBy>Michele Gregg</cp:lastModifiedBy>
  <cp:revision>2</cp:revision>
  <cp:lastPrinted>2018-10-17T21:17:00Z</cp:lastPrinted>
  <dcterms:created xsi:type="dcterms:W3CDTF">2019-02-07T00:29:00Z</dcterms:created>
  <dcterms:modified xsi:type="dcterms:W3CDTF">2019-02-07T00:29:00Z</dcterms:modified>
</cp:coreProperties>
</file>