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F944C" w14:textId="54314575" w:rsidR="00FA7269" w:rsidRPr="00F36114" w:rsidRDefault="000F46BC" w:rsidP="009537D0">
      <w:pPr>
        <w:jc w:val="center"/>
        <w:rPr>
          <w:rFonts w:ascii="Times New Roman" w:hAnsi="Times New Roman" w:cs="Times New Roman"/>
          <w:b/>
          <w:caps/>
          <w:sz w:val="24"/>
          <w:szCs w:val="24"/>
        </w:rPr>
      </w:pPr>
      <w:r w:rsidRPr="00F36114">
        <w:rPr>
          <w:rFonts w:ascii="Times New Roman" w:hAnsi="Times New Roman" w:cs="Times New Roman"/>
          <w:b/>
          <w:caps/>
          <w:sz w:val="24"/>
          <w:szCs w:val="24"/>
        </w:rPr>
        <w:t xml:space="preserve">Project no. </w:t>
      </w:r>
      <w:r w:rsidR="00A00F3D" w:rsidRPr="00F36114">
        <w:rPr>
          <w:rFonts w:ascii="Times New Roman" w:hAnsi="Times New Roman" w:cs="Times New Roman"/>
          <w:b/>
          <w:caps/>
          <w:sz w:val="24"/>
          <w:szCs w:val="24"/>
        </w:rPr>
        <w:t>48540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59"/>
        <w:gridCol w:w="4415"/>
      </w:tblGrid>
      <w:tr w:rsidR="00FA7269" w:rsidRPr="00F36114" w14:paraId="344BE52E" w14:textId="77777777" w:rsidTr="008B2C47">
        <w:tc>
          <w:tcPr>
            <w:tcW w:w="4698" w:type="dxa"/>
          </w:tcPr>
          <w:p w14:paraId="4C38E6A0" w14:textId="77777777" w:rsidR="00FA7269" w:rsidRPr="00F36114" w:rsidRDefault="00A00F3D" w:rsidP="00DE1BA1">
            <w:pPr>
              <w:rPr>
                <w:rFonts w:ascii="Times New Roman" w:hAnsi="Times New Roman" w:cs="Times New Roman"/>
                <w:b/>
                <w:caps/>
                <w:sz w:val="24"/>
                <w:szCs w:val="24"/>
              </w:rPr>
            </w:pPr>
            <w:r w:rsidRPr="00F36114">
              <w:rPr>
                <w:rFonts w:ascii="Times New Roman" w:hAnsi="Times New Roman" w:cs="Times New Roman"/>
                <w:b/>
                <w:sz w:val="24"/>
                <w:szCs w:val="24"/>
              </w:rPr>
              <w:t>REVIEW OF REAL-TIME CO-OPTIMIZATION IN THE ERCOT MARKET</w:t>
            </w:r>
          </w:p>
        </w:tc>
        <w:tc>
          <w:tcPr>
            <w:tcW w:w="360" w:type="dxa"/>
          </w:tcPr>
          <w:p w14:paraId="3DF458C0" w14:textId="77777777" w:rsidR="00FA7269" w:rsidRPr="00F36114" w:rsidRDefault="00FA7269" w:rsidP="00A96898">
            <w:pPr>
              <w:rPr>
                <w:rFonts w:ascii="Times New Roman" w:hAnsi="Times New Roman" w:cs="Times New Roman"/>
                <w:b/>
                <w:caps/>
                <w:sz w:val="24"/>
                <w:szCs w:val="24"/>
              </w:rPr>
            </w:pPr>
            <w:r w:rsidRPr="00F36114">
              <w:rPr>
                <w:rFonts w:ascii="Times New Roman" w:hAnsi="Times New Roman" w:cs="Times New Roman"/>
                <w:b/>
                <w:caps/>
                <w:sz w:val="24"/>
                <w:szCs w:val="24"/>
              </w:rPr>
              <w:t>§</w:t>
            </w:r>
          </w:p>
          <w:p w14:paraId="61FD824F" w14:textId="77777777" w:rsidR="00FA7269" w:rsidRPr="00F36114" w:rsidRDefault="00FA7269" w:rsidP="00A96898">
            <w:pPr>
              <w:rPr>
                <w:rFonts w:ascii="Times New Roman" w:hAnsi="Times New Roman" w:cs="Times New Roman"/>
                <w:b/>
                <w:caps/>
                <w:sz w:val="24"/>
                <w:szCs w:val="24"/>
              </w:rPr>
            </w:pPr>
            <w:r w:rsidRPr="00F36114">
              <w:rPr>
                <w:rFonts w:ascii="Times New Roman" w:hAnsi="Times New Roman" w:cs="Times New Roman"/>
                <w:b/>
                <w:caps/>
                <w:sz w:val="24"/>
                <w:szCs w:val="24"/>
              </w:rPr>
              <w:t>§</w:t>
            </w:r>
          </w:p>
          <w:p w14:paraId="557CF241" w14:textId="77777777" w:rsidR="00B552A5" w:rsidRPr="00F36114" w:rsidRDefault="00B552A5" w:rsidP="00A00F3D">
            <w:pPr>
              <w:rPr>
                <w:rFonts w:ascii="Times New Roman" w:hAnsi="Times New Roman" w:cs="Times New Roman"/>
                <w:b/>
                <w:caps/>
                <w:sz w:val="24"/>
                <w:szCs w:val="24"/>
              </w:rPr>
            </w:pPr>
            <w:r w:rsidRPr="00F36114">
              <w:rPr>
                <w:rFonts w:ascii="Times New Roman" w:hAnsi="Times New Roman" w:cs="Times New Roman"/>
                <w:b/>
                <w:caps/>
                <w:sz w:val="24"/>
                <w:szCs w:val="24"/>
              </w:rPr>
              <w:t>§</w:t>
            </w:r>
          </w:p>
        </w:tc>
        <w:tc>
          <w:tcPr>
            <w:tcW w:w="4518" w:type="dxa"/>
          </w:tcPr>
          <w:p w14:paraId="3566947C" w14:textId="77777777" w:rsidR="00FA7269" w:rsidRPr="00F36114" w:rsidRDefault="00FA7269" w:rsidP="00242FD3">
            <w:pPr>
              <w:spacing w:line="360" w:lineRule="auto"/>
              <w:jc w:val="center"/>
              <w:rPr>
                <w:rFonts w:ascii="Times New Roman" w:hAnsi="Times New Roman" w:cs="Times New Roman"/>
                <w:b/>
                <w:caps/>
                <w:sz w:val="24"/>
                <w:szCs w:val="24"/>
              </w:rPr>
            </w:pPr>
            <w:r w:rsidRPr="00F36114">
              <w:rPr>
                <w:rFonts w:ascii="Times New Roman" w:hAnsi="Times New Roman" w:cs="Times New Roman"/>
                <w:b/>
                <w:caps/>
                <w:sz w:val="24"/>
                <w:szCs w:val="24"/>
              </w:rPr>
              <w:t>Public utility commission</w:t>
            </w:r>
          </w:p>
          <w:p w14:paraId="3B5B2FF7" w14:textId="4E375D84" w:rsidR="00FA7269" w:rsidRPr="00F36114" w:rsidRDefault="00F36114" w:rsidP="00F36114">
            <w:pPr>
              <w:tabs>
                <w:tab w:val="center" w:pos="2151"/>
              </w:tabs>
              <w:spacing w:line="360" w:lineRule="auto"/>
              <w:rPr>
                <w:rFonts w:ascii="Times New Roman" w:hAnsi="Times New Roman" w:cs="Times New Roman"/>
                <w:b/>
                <w:caps/>
                <w:sz w:val="24"/>
                <w:szCs w:val="24"/>
              </w:rPr>
            </w:pPr>
            <w:r w:rsidRPr="00F36114">
              <w:rPr>
                <w:rFonts w:ascii="Times New Roman" w:hAnsi="Times New Roman" w:cs="Times New Roman"/>
                <w:b/>
                <w:caps/>
                <w:sz w:val="24"/>
                <w:szCs w:val="24"/>
              </w:rPr>
              <w:tab/>
            </w:r>
            <w:r w:rsidR="00FA7269" w:rsidRPr="00F36114">
              <w:rPr>
                <w:rFonts w:ascii="Times New Roman" w:hAnsi="Times New Roman" w:cs="Times New Roman"/>
                <w:b/>
                <w:caps/>
                <w:sz w:val="24"/>
                <w:szCs w:val="24"/>
              </w:rPr>
              <w:t>Of</w:t>
            </w:r>
            <w:r w:rsidR="00242FD3" w:rsidRPr="00F36114">
              <w:rPr>
                <w:rFonts w:ascii="Times New Roman" w:hAnsi="Times New Roman" w:cs="Times New Roman"/>
                <w:b/>
                <w:caps/>
                <w:sz w:val="24"/>
                <w:szCs w:val="24"/>
              </w:rPr>
              <w:t xml:space="preserve"> </w:t>
            </w:r>
            <w:r w:rsidR="00FA7269" w:rsidRPr="00F36114">
              <w:rPr>
                <w:rFonts w:ascii="Times New Roman" w:hAnsi="Times New Roman" w:cs="Times New Roman"/>
                <w:b/>
                <w:caps/>
                <w:sz w:val="24"/>
                <w:szCs w:val="24"/>
              </w:rPr>
              <w:t>texas</w:t>
            </w:r>
          </w:p>
        </w:tc>
      </w:tr>
    </w:tbl>
    <w:p w14:paraId="5EA3F65E" w14:textId="77777777" w:rsidR="006E55AF" w:rsidRPr="00F36114" w:rsidRDefault="006E55AF" w:rsidP="00FA7269">
      <w:pPr>
        <w:spacing w:after="0" w:line="240" w:lineRule="auto"/>
        <w:jc w:val="center"/>
        <w:rPr>
          <w:rFonts w:ascii="Times New Roman" w:hAnsi="Times New Roman" w:cs="Times New Roman"/>
          <w:b/>
          <w:sz w:val="24"/>
          <w:szCs w:val="24"/>
        </w:rPr>
      </w:pPr>
    </w:p>
    <w:p w14:paraId="532F5A20" w14:textId="77777777" w:rsidR="00BA2304" w:rsidRPr="00F36114" w:rsidRDefault="00BA2304" w:rsidP="00FA7269">
      <w:pPr>
        <w:spacing w:after="0" w:line="240" w:lineRule="auto"/>
        <w:jc w:val="center"/>
        <w:rPr>
          <w:rFonts w:ascii="Times New Roman" w:hAnsi="Times New Roman" w:cs="Times New Roman"/>
          <w:b/>
          <w:sz w:val="24"/>
          <w:szCs w:val="24"/>
        </w:rPr>
      </w:pPr>
    </w:p>
    <w:p w14:paraId="5AA15FA1" w14:textId="77777777" w:rsidR="00FA7269" w:rsidRPr="00F36114" w:rsidRDefault="00A00F3D" w:rsidP="00FA7269">
      <w:pPr>
        <w:spacing w:after="0" w:line="240" w:lineRule="auto"/>
        <w:jc w:val="center"/>
        <w:rPr>
          <w:rFonts w:ascii="Times New Roman" w:hAnsi="Times New Roman" w:cs="Times New Roman"/>
          <w:b/>
          <w:sz w:val="24"/>
          <w:szCs w:val="24"/>
        </w:rPr>
      </w:pPr>
      <w:r w:rsidRPr="00F36114">
        <w:rPr>
          <w:rFonts w:ascii="Times New Roman" w:hAnsi="Times New Roman" w:cs="Times New Roman"/>
          <w:b/>
          <w:sz w:val="24"/>
          <w:szCs w:val="24"/>
        </w:rPr>
        <w:t xml:space="preserve">INITIAL COMMENTS OF </w:t>
      </w:r>
      <w:r w:rsidR="00190776" w:rsidRPr="00F36114">
        <w:rPr>
          <w:rFonts w:ascii="Times New Roman" w:hAnsi="Times New Roman" w:cs="Times New Roman"/>
          <w:b/>
          <w:sz w:val="24"/>
          <w:szCs w:val="24"/>
        </w:rPr>
        <w:t>TEXAS COM</w:t>
      </w:r>
      <w:r w:rsidRPr="00F36114">
        <w:rPr>
          <w:rFonts w:ascii="Times New Roman" w:hAnsi="Times New Roman" w:cs="Times New Roman"/>
          <w:b/>
          <w:sz w:val="24"/>
          <w:szCs w:val="24"/>
        </w:rPr>
        <w:t>PETITIVE POWER ADVOCATES (TCPA)</w:t>
      </w:r>
    </w:p>
    <w:p w14:paraId="7BDE93CD" w14:textId="77777777" w:rsidR="005D6220" w:rsidRPr="00F36114" w:rsidRDefault="005D6220" w:rsidP="00FA7269">
      <w:pPr>
        <w:spacing w:after="0" w:line="240" w:lineRule="auto"/>
        <w:jc w:val="center"/>
        <w:rPr>
          <w:rFonts w:ascii="Times New Roman" w:hAnsi="Times New Roman" w:cs="Times New Roman"/>
          <w:b/>
          <w:sz w:val="24"/>
          <w:szCs w:val="24"/>
        </w:rPr>
      </w:pPr>
    </w:p>
    <w:p w14:paraId="24D92A64" w14:textId="77777777" w:rsidR="009537D0" w:rsidRPr="00F36114" w:rsidRDefault="009537D0" w:rsidP="00FA7269">
      <w:pPr>
        <w:spacing w:after="0" w:line="240" w:lineRule="auto"/>
        <w:jc w:val="center"/>
        <w:rPr>
          <w:rFonts w:ascii="Times New Roman" w:hAnsi="Times New Roman" w:cs="Times New Roman"/>
          <w:b/>
          <w:sz w:val="24"/>
          <w:szCs w:val="24"/>
        </w:rPr>
      </w:pPr>
    </w:p>
    <w:p w14:paraId="3A3C0F2D" w14:textId="316330E9" w:rsidR="00A923EF" w:rsidRPr="00F36114" w:rsidRDefault="00042EF0" w:rsidP="004F07B0">
      <w:pPr>
        <w:spacing w:line="360" w:lineRule="auto"/>
        <w:ind w:firstLine="720"/>
        <w:jc w:val="both"/>
        <w:rPr>
          <w:rFonts w:ascii="Times New Roman" w:hAnsi="Times New Roman" w:cs="Times New Roman"/>
          <w:sz w:val="24"/>
          <w:szCs w:val="24"/>
        </w:rPr>
      </w:pPr>
      <w:r w:rsidRPr="00F36114">
        <w:rPr>
          <w:rFonts w:ascii="Times New Roman" w:hAnsi="Times New Roman" w:cs="Times New Roman"/>
          <w:sz w:val="24"/>
          <w:szCs w:val="24"/>
        </w:rPr>
        <w:t>Texas Competitive Power Advocates (TCPA) is a trade association representing power generation companies, wholesale power marketers, and retail electric providers with investments in Texas and the Electric Reliability Council of Texas (ERCOT) wholesale electric market. TCPA members and their affiliates provide a wide range of important market functions and services in ERCOT, including the development, operation, and management of power generation assets, the scheduling and marketing of power, the provision of energy management services</w:t>
      </w:r>
      <w:r w:rsidR="007C0C14" w:rsidRPr="00F36114">
        <w:rPr>
          <w:rFonts w:ascii="Times New Roman" w:hAnsi="Times New Roman" w:cs="Times New Roman"/>
          <w:sz w:val="24"/>
          <w:szCs w:val="24"/>
        </w:rPr>
        <w:t>,</w:t>
      </w:r>
      <w:r w:rsidRPr="00F36114">
        <w:rPr>
          <w:rFonts w:ascii="Times New Roman" w:hAnsi="Times New Roman" w:cs="Times New Roman"/>
          <w:sz w:val="24"/>
          <w:szCs w:val="24"/>
        </w:rPr>
        <w:t xml:space="preserve"> and the sales of competitive electric service to consumers. TCPA members provide </w:t>
      </w:r>
      <w:r w:rsidR="006E63DA" w:rsidRPr="00F36114">
        <w:rPr>
          <w:rFonts w:ascii="Times New Roman" w:hAnsi="Times New Roman" w:cs="Times New Roman"/>
          <w:sz w:val="24"/>
          <w:szCs w:val="24"/>
        </w:rPr>
        <w:t>approximately</w:t>
      </w:r>
      <w:r w:rsidRPr="00F36114">
        <w:rPr>
          <w:rFonts w:ascii="Times New Roman" w:hAnsi="Times New Roman" w:cs="Times New Roman"/>
          <w:sz w:val="24"/>
          <w:szCs w:val="24"/>
        </w:rPr>
        <w:t xml:space="preserve"> </w:t>
      </w:r>
      <w:r w:rsidR="006E63DA" w:rsidRPr="00F36114">
        <w:rPr>
          <w:rFonts w:ascii="Times New Roman" w:hAnsi="Times New Roman" w:cs="Times New Roman"/>
          <w:sz w:val="24"/>
          <w:szCs w:val="24"/>
        </w:rPr>
        <w:t>sixty</w:t>
      </w:r>
      <w:r w:rsidRPr="00F36114">
        <w:rPr>
          <w:rFonts w:ascii="Times New Roman" w:hAnsi="Times New Roman" w:cs="Times New Roman"/>
          <w:sz w:val="24"/>
          <w:szCs w:val="24"/>
        </w:rPr>
        <w:t xml:space="preserve"> percent (</w:t>
      </w:r>
      <w:r w:rsidR="006E63DA" w:rsidRPr="00F36114">
        <w:rPr>
          <w:rFonts w:ascii="Times New Roman" w:hAnsi="Times New Roman" w:cs="Times New Roman"/>
          <w:sz w:val="24"/>
          <w:szCs w:val="24"/>
        </w:rPr>
        <w:t>6</w:t>
      </w:r>
      <w:r w:rsidRPr="00F36114">
        <w:rPr>
          <w:rFonts w:ascii="Times New Roman" w:hAnsi="Times New Roman" w:cs="Times New Roman"/>
          <w:sz w:val="24"/>
          <w:szCs w:val="24"/>
        </w:rPr>
        <w:t xml:space="preserve">0%) of the total net operable electric generating capacity in ERCOT, representing billions of dollars of investment in the state, and employing thousands of Texans. TCPA </w:t>
      </w:r>
      <w:r w:rsidR="00643A83" w:rsidRPr="00F36114">
        <w:rPr>
          <w:rFonts w:ascii="Times New Roman" w:hAnsi="Times New Roman" w:cs="Times New Roman"/>
          <w:sz w:val="24"/>
          <w:szCs w:val="24"/>
        </w:rPr>
        <w:t xml:space="preserve">appreciates the opportunity to provide comments </w:t>
      </w:r>
      <w:r w:rsidR="00A00F3D" w:rsidRPr="00F36114">
        <w:rPr>
          <w:rFonts w:ascii="Times New Roman" w:hAnsi="Times New Roman" w:cs="Times New Roman"/>
          <w:sz w:val="24"/>
          <w:szCs w:val="24"/>
        </w:rPr>
        <w:t>in response to the request by Public Utility Commission of Texas (Commission) Staff</w:t>
      </w:r>
      <w:r w:rsidR="00643A83" w:rsidRPr="00F36114">
        <w:rPr>
          <w:rFonts w:ascii="Times New Roman" w:hAnsi="Times New Roman" w:cs="Times New Roman"/>
          <w:sz w:val="24"/>
          <w:szCs w:val="24"/>
        </w:rPr>
        <w:t>.</w:t>
      </w:r>
      <w:r w:rsidR="00A00F3D" w:rsidRPr="00F36114">
        <w:rPr>
          <w:rStyle w:val="FootnoteReference"/>
          <w:rFonts w:ascii="Times New Roman" w:hAnsi="Times New Roman" w:cs="Times New Roman"/>
          <w:sz w:val="24"/>
          <w:szCs w:val="24"/>
        </w:rPr>
        <w:footnoteReference w:id="1"/>
      </w:r>
      <w:r w:rsidR="00643A83" w:rsidRPr="00F36114">
        <w:rPr>
          <w:rFonts w:ascii="Times New Roman" w:hAnsi="Times New Roman" w:cs="Times New Roman"/>
          <w:sz w:val="24"/>
          <w:szCs w:val="24"/>
        </w:rPr>
        <w:t xml:space="preserve"> </w:t>
      </w:r>
    </w:p>
    <w:p w14:paraId="2D1F0AD0" w14:textId="507BEDED" w:rsidR="008D079A" w:rsidRPr="00F36114" w:rsidRDefault="008D079A" w:rsidP="004F07B0">
      <w:pPr>
        <w:spacing w:line="360" w:lineRule="auto"/>
        <w:ind w:firstLine="720"/>
        <w:jc w:val="both"/>
        <w:rPr>
          <w:rFonts w:ascii="Times New Roman" w:hAnsi="Times New Roman" w:cs="Times New Roman"/>
          <w:sz w:val="24"/>
          <w:szCs w:val="24"/>
        </w:rPr>
      </w:pPr>
      <w:r w:rsidRPr="00F36114">
        <w:rPr>
          <w:rFonts w:ascii="Times New Roman" w:hAnsi="Times New Roman" w:cs="Times New Roman"/>
          <w:sz w:val="24"/>
          <w:szCs w:val="24"/>
        </w:rPr>
        <w:t>As detailed below, TCPA recommends that the Commission</w:t>
      </w:r>
      <w:r w:rsidR="001F6A4E" w:rsidRPr="00F36114">
        <w:rPr>
          <w:rFonts w:ascii="Times New Roman" w:hAnsi="Times New Roman" w:cs="Times New Roman"/>
          <w:sz w:val="24"/>
          <w:szCs w:val="24"/>
        </w:rPr>
        <w:t xml:space="preserve"> establish the relevant parameters for real-time co-optimization (RTC)—</w:t>
      </w:r>
      <w:r w:rsidR="00105424" w:rsidRPr="00F36114">
        <w:rPr>
          <w:rFonts w:ascii="Times New Roman" w:hAnsi="Times New Roman" w:cs="Times New Roman"/>
          <w:sz w:val="24"/>
          <w:szCs w:val="24"/>
        </w:rPr>
        <w:t>including</w:t>
      </w:r>
      <w:r w:rsidR="001F6A4E" w:rsidRPr="00F36114">
        <w:rPr>
          <w:rFonts w:ascii="Times New Roman" w:hAnsi="Times New Roman" w:cs="Times New Roman"/>
          <w:sz w:val="24"/>
          <w:szCs w:val="24"/>
        </w:rPr>
        <w:t xml:space="preserve">, </w:t>
      </w:r>
      <w:r w:rsidR="00105424" w:rsidRPr="00F36114">
        <w:rPr>
          <w:rFonts w:ascii="Times New Roman" w:hAnsi="Times New Roman" w:cs="Times New Roman"/>
          <w:sz w:val="24"/>
          <w:szCs w:val="24"/>
        </w:rPr>
        <w:t xml:space="preserve">but not limited to, </w:t>
      </w:r>
      <w:r w:rsidR="001F6A4E" w:rsidRPr="00F36114">
        <w:rPr>
          <w:rFonts w:ascii="Times New Roman" w:hAnsi="Times New Roman" w:cs="Times New Roman"/>
          <w:sz w:val="24"/>
          <w:szCs w:val="24"/>
        </w:rPr>
        <w:t xml:space="preserve">the system-wide offer cap (SWOC), value of lost load (VOLL), </w:t>
      </w:r>
      <w:r w:rsidR="006E0F2C" w:rsidRPr="00F36114">
        <w:rPr>
          <w:rFonts w:ascii="Times New Roman" w:hAnsi="Times New Roman" w:cs="Times New Roman"/>
          <w:sz w:val="24"/>
          <w:szCs w:val="24"/>
        </w:rPr>
        <w:t>Power Balance Penalty Cap</w:t>
      </w:r>
      <w:r w:rsidR="006E0F2C" w:rsidRPr="00F36114">
        <w:rPr>
          <w:rStyle w:val="FootnoteReference"/>
          <w:rFonts w:ascii="Times New Roman" w:hAnsi="Times New Roman" w:cs="Times New Roman"/>
          <w:sz w:val="24"/>
          <w:szCs w:val="24"/>
        </w:rPr>
        <w:footnoteReference w:id="2"/>
      </w:r>
      <w:r w:rsidR="006E0F2C" w:rsidRPr="00F36114">
        <w:rPr>
          <w:rFonts w:ascii="Times New Roman" w:hAnsi="Times New Roman" w:cs="Times New Roman"/>
          <w:sz w:val="24"/>
          <w:szCs w:val="24"/>
        </w:rPr>
        <w:t xml:space="preserve"> (PBPC)</w:t>
      </w:r>
      <w:r w:rsidR="006E0F2C">
        <w:rPr>
          <w:rFonts w:ascii="Times New Roman" w:hAnsi="Times New Roman" w:cs="Times New Roman"/>
          <w:sz w:val="24"/>
          <w:szCs w:val="24"/>
        </w:rPr>
        <w:t xml:space="preserve">, </w:t>
      </w:r>
      <w:r w:rsidR="001F6A4E" w:rsidRPr="00F36114">
        <w:rPr>
          <w:rFonts w:ascii="Times New Roman" w:hAnsi="Times New Roman" w:cs="Times New Roman"/>
          <w:sz w:val="24"/>
          <w:szCs w:val="24"/>
        </w:rPr>
        <w:t>and ancillary service demand curve</w:t>
      </w:r>
      <w:r w:rsidR="00561415" w:rsidRPr="00F36114">
        <w:rPr>
          <w:rFonts w:ascii="Times New Roman" w:hAnsi="Times New Roman" w:cs="Times New Roman"/>
          <w:sz w:val="24"/>
          <w:szCs w:val="24"/>
        </w:rPr>
        <w:t>s</w:t>
      </w:r>
      <w:r w:rsidR="001F6A4E" w:rsidRPr="00F36114">
        <w:rPr>
          <w:rFonts w:ascii="Times New Roman" w:hAnsi="Times New Roman" w:cs="Times New Roman"/>
          <w:sz w:val="24"/>
          <w:szCs w:val="24"/>
        </w:rPr>
        <w:t xml:space="preserve"> (ASDC</w:t>
      </w:r>
      <w:r w:rsidR="00561415" w:rsidRPr="00F36114">
        <w:rPr>
          <w:rFonts w:ascii="Times New Roman" w:hAnsi="Times New Roman" w:cs="Times New Roman"/>
          <w:sz w:val="24"/>
          <w:szCs w:val="24"/>
        </w:rPr>
        <w:t>s</w:t>
      </w:r>
      <w:r w:rsidR="001F6A4E" w:rsidRPr="00F36114">
        <w:rPr>
          <w:rFonts w:ascii="Times New Roman" w:hAnsi="Times New Roman" w:cs="Times New Roman"/>
          <w:sz w:val="24"/>
          <w:szCs w:val="24"/>
        </w:rPr>
        <w:t>):</w:t>
      </w:r>
    </w:p>
    <w:p w14:paraId="1AEEA2C2" w14:textId="4964BF25" w:rsidR="008D079A" w:rsidRPr="00F36114" w:rsidRDefault="001F6A4E" w:rsidP="006A26AE">
      <w:pPr>
        <w:pStyle w:val="ListParagraph"/>
        <w:numPr>
          <w:ilvl w:val="0"/>
          <w:numId w:val="24"/>
        </w:numPr>
        <w:spacing w:after="120" w:line="240" w:lineRule="auto"/>
        <w:ind w:left="1080"/>
        <w:contextualSpacing w:val="0"/>
        <w:jc w:val="both"/>
        <w:rPr>
          <w:rFonts w:ascii="Times New Roman" w:hAnsi="Times New Roman" w:cs="Times New Roman"/>
          <w:sz w:val="24"/>
          <w:szCs w:val="24"/>
        </w:rPr>
      </w:pPr>
      <w:r w:rsidRPr="00F36114">
        <w:rPr>
          <w:rFonts w:ascii="Times New Roman" w:hAnsi="Times New Roman" w:cs="Times New Roman"/>
          <w:sz w:val="24"/>
          <w:szCs w:val="24"/>
        </w:rPr>
        <w:t>I</w:t>
      </w:r>
      <w:r w:rsidR="00830A11" w:rsidRPr="00F36114">
        <w:rPr>
          <w:rFonts w:ascii="Times New Roman" w:hAnsi="Times New Roman" w:cs="Times New Roman"/>
          <w:sz w:val="24"/>
          <w:szCs w:val="24"/>
        </w:rPr>
        <w:t xml:space="preserve">n a manner that </w:t>
      </w:r>
      <w:r w:rsidRPr="00F36114">
        <w:rPr>
          <w:rFonts w:ascii="Times New Roman" w:hAnsi="Times New Roman" w:cs="Times New Roman"/>
          <w:sz w:val="24"/>
          <w:szCs w:val="24"/>
        </w:rPr>
        <w:t>will</w:t>
      </w:r>
      <w:r w:rsidR="00830A11" w:rsidRPr="00F36114">
        <w:rPr>
          <w:rFonts w:ascii="Times New Roman" w:hAnsi="Times New Roman" w:cs="Times New Roman"/>
          <w:sz w:val="24"/>
          <w:szCs w:val="24"/>
        </w:rPr>
        <w:t xml:space="preserve"> not d</w:t>
      </w:r>
      <w:r w:rsidRPr="00F36114">
        <w:rPr>
          <w:rFonts w:ascii="Times New Roman" w:hAnsi="Times New Roman" w:cs="Times New Roman"/>
          <w:sz w:val="24"/>
          <w:szCs w:val="24"/>
        </w:rPr>
        <w:t>egrade</w:t>
      </w:r>
      <w:r w:rsidR="00830A11" w:rsidRPr="00F36114">
        <w:rPr>
          <w:rFonts w:ascii="Times New Roman" w:hAnsi="Times New Roman" w:cs="Times New Roman"/>
          <w:sz w:val="24"/>
          <w:szCs w:val="24"/>
        </w:rPr>
        <w:t xml:space="preserve"> the </w:t>
      </w:r>
      <w:r w:rsidR="00780AD4" w:rsidRPr="00F36114">
        <w:rPr>
          <w:rFonts w:ascii="Times New Roman" w:hAnsi="Times New Roman" w:cs="Times New Roman"/>
          <w:sz w:val="24"/>
          <w:szCs w:val="24"/>
        </w:rPr>
        <w:t xml:space="preserve">expected </w:t>
      </w:r>
      <w:r w:rsidR="00830A11" w:rsidRPr="00F36114">
        <w:rPr>
          <w:rFonts w:ascii="Times New Roman" w:hAnsi="Times New Roman" w:cs="Times New Roman"/>
          <w:sz w:val="24"/>
          <w:szCs w:val="24"/>
        </w:rPr>
        <w:t xml:space="preserve">market equilibrium reserve margin </w:t>
      </w:r>
      <w:r w:rsidR="00780AD4" w:rsidRPr="00F36114">
        <w:rPr>
          <w:rFonts w:ascii="Times New Roman" w:hAnsi="Times New Roman" w:cs="Times New Roman"/>
          <w:sz w:val="24"/>
          <w:szCs w:val="24"/>
        </w:rPr>
        <w:t xml:space="preserve">(MERM) </w:t>
      </w:r>
      <w:r w:rsidR="00830A11" w:rsidRPr="00F36114">
        <w:rPr>
          <w:rFonts w:ascii="Times New Roman" w:hAnsi="Times New Roman" w:cs="Times New Roman"/>
          <w:sz w:val="24"/>
          <w:szCs w:val="24"/>
        </w:rPr>
        <w:t xml:space="preserve">associated with current scarcity pricing </w:t>
      </w:r>
      <w:r w:rsidR="00780AD4" w:rsidRPr="00F36114">
        <w:rPr>
          <w:rFonts w:ascii="Times New Roman" w:hAnsi="Times New Roman" w:cs="Times New Roman"/>
          <w:sz w:val="24"/>
          <w:szCs w:val="24"/>
        </w:rPr>
        <w:t xml:space="preserve">policies </w:t>
      </w:r>
      <w:r w:rsidR="009E7D08" w:rsidRPr="00F36114">
        <w:rPr>
          <w:rFonts w:ascii="Times New Roman" w:hAnsi="Times New Roman" w:cs="Times New Roman"/>
          <w:sz w:val="24"/>
          <w:szCs w:val="24"/>
        </w:rPr>
        <w:t xml:space="preserve">reflected in </w:t>
      </w:r>
      <w:r w:rsidRPr="00F36114">
        <w:rPr>
          <w:rFonts w:ascii="Times New Roman" w:hAnsi="Times New Roman" w:cs="Times New Roman"/>
          <w:sz w:val="24"/>
          <w:szCs w:val="24"/>
        </w:rPr>
        <w:t xml:space="preserve">the Operating Reserve Demand Curve </w:t>
      </w:r>
      <w:r w:rsidR="009E7D08" w:rsidRPr="00F36114">
        <w:rPr>
          <w:rFonts w:ascii="Times New Roman" w:hAnsi="Times New Roman" w:cs="Times New Roman"/>
          <w:sz w:val="24"/>
          <w:szCs w:val="24"/>
        </w:rPr>
        <w:t>(ORDC)</w:t>
      </w:r>
      <w:r w:rsidR="00830A11" w:rsidRPr="00F36114">
        <w:rPr>
          <w:rFonts w:ascii="Times New Roman" w:hAnsi="Times New Roman" w:cs="Times New Roman"/>
          <w:sz w:val="24"/>
          <w:szCs w:val="24"/>
        </w:rPr>
        <w:t xml:space="preserve">, which </w:t>
      </w:r>
      <w:r w:rsidR="006E0F2C">
        <w:rPr>
          <w:rFonts w:ascii="Times New Roman" w:hAnsi="Times New Roman" w:cs="Times New Roman"/>
          <w:sz w:val="24"/>
          <w:szCs w:val="24"/>
        </w:rPr>
        <w:t>were recently</w:t>
      </w:r>
      <w:r w:rsidR="006E0F2C" w:rsidRPr="00F36114">
        <w:rPr>
          <w:rFonts w:ascii="Times New Roman" w:hAnsi="Times New Roman" w:cs="Times New Roman"/>
          <w:sz w:val="24"/>
          <w:szCs w:val="24"/>
        </w:rPr>
        <w:t xml:space="preserve"> </w:t>
      </w:r>
      <w:r w:rsidR="00830A11" w:rsidRPr="00F36114">
        <w:rPr>
          <w:rFonts w:ascii="Times New Roman" w:hAnsi="Times New Roman" w:cs="Times New Roman"/>
          <w:sz w:val="24"/>
          <w:szCs w:val="24"/>
        </w:rPr>
        <w:t>adopted by</w:t>
      </w:r>
      <w:r w:rsidR="00D42406" w:rsidRPr="00F36114">
        <w:rPr>
          <w:rFonts w:ascii="Times New Roman" w:hAnsi="Times New Roman" w:cs="Times New Roman"/>
          <w:sz w:val="24"/>
          <w:szCs w:val="24"/>
        </w:rPr>
        <w:t xml:space="preserve"> the Commission</w:t>
      </w:r>
      <w:r w:rsidR="00830A11" w:rsidRPr="00F36114">
        <w:rPr>
          <w:rFonts w:ascii="Times New Roman" w:hAnsi="Times New Roman" w:cs="Times New Roman"/>
          <w:sz w:val="24"/>
          <w:szCs w:val="24"/>
        </w:rPr>
        <w:t xml:space="preserve"> following years of careful deliberation and extensive engagement with stakeholders, ERCOT, the Independent Market Monitor (IMM), and independent consultants</w:t>
      </w:r>
      <w:r w:rsidR="003F6ADF" w:rsidRPr="00F36114">
        <w:rPr>
          <w:rFonts w:ascii="Times New Roman" w:hAnsi="Times New Roman" w:cs="Times New Roman"/>
          <w:sz w:val="24"/>
          <w:szCs w:val="24"/>
        </w:rPr>
        <w:t>.</w:t>
      </w:r>
      <w:r w:rsidR="006E0F2C">
        <w:rPr>
          <w:rStyle w:val="FootnoteReference"/>
          <w:rFonts w:ascii="Times New Roman" w:hAnsi="Times New Roman" w:cs="Times New Roman"/>
          <w:sz w:val="24"/>
          <w:szCs w:val="24"/>
        </w:rPr>
        <w:footnoteReference w:id="3"/>
      </w:r>
      <w:r w:rsidR="003F6ADF" w:rsidRPr="00F36114">
        <w:rPr>
          <w:rFonts w:ascii="Times New Roman" w:hAnsi="Times New Roman" w:cs="Times New Roman"/>
          <w:sz w:val="24"/>
          <w:szCs w:val="24"/>
        </w:rPr>
        <w:t xml:space="preserve"> </w:t>
      </w:r>
    </w:p>
    <w:p w14:paraId="4FE6B41B" w14:textId="32DC4BC6" w:rsidR="003F6ADF" w:rsidRPr="00F36114" w:rsidRDefault="001F6A4E" w:rsidP="0006729F">
      <w:pPr>
        <w:pStyle w:val="ListParagraph"/>
        <w:numPr>
          <w:ilvl w:val="0"/>
          <w:numId w:val="24"/>
        </w:numPr>
        <w:spacing w:after="240" w:line="240" w:lineRule="auto"/>
        <w:ind w:left="1080"/>
        <w:contextualSpacing w:val="0"/>
        <w:jc w:val="both"/>
        <w:rPr>
          <w:rFonts w:ascii="Times New Roman" w:hAnsi="Times New Roman" w:cs="Times New Roman"/>
          <w:sz w:val="24"/>
          <w:szCs w:val="24"/>
        </w:rPr>
      </w:pPr>
      <w:r w:rsidRPr="00F36114">
        <w:rPr>
          <w:rFonts w:ascii="Times New Roman" w:hAnsi="Times New Roman" w:cs="Times New Roman"/>
          <w:sz w:val="24"/>
          <w:szCs w:val="24"/>
        </w:rPr>
        <w:lastRenderedPageBreak/>
        <w:t>Following review and analysis by</w:t>
      </w:r>
      <w:r w:rsidR="00830A11" w:rsidRPr="00F36114">
        <w:rPr>
          <w:rFonts w:ascii="Times New Roman" w:hAnsi="Times New Roman" w:cs="Times New Roman"/>
          <w:sz w:val="24"/>
          <w:szCs w:val="24"/>
        </w:rPr>
        <w:t xml:space="preserve"> an independent consultant </w:t>
      </w:r>
      <w:r w:rsidRPr="00F36114">
        <w:rPr>
          <w:rFonts w:ascii="Times New Roman" w:hAnsi="Times New Roman" w:cs="Times New Roman"/>
          <w:sz w:val="24"/>
          <w:szCs w:val="24"/>
        </w:rPr>
        <w:t>of potential impacts of</w:t>
      </w:r>
      <w:r w:rsidR="00830A11" w:rsidRPr="00F36114">
        <w:rPr>
          <w:rFonts w:ascii="Times New Roman" w:hAnsi="Times New Roman" w:cs="Times New Roman"/>
          <w:sz w:val="24"/>
          <w:szCs w:val="24"/>
        </w:rPr>
        <w:t xml:space="preserve"> </w:t>
      </w:r>
      <w:r w:rsidRPr="00F36114">
        <w:rPr>
          <w:rFonts w:ascii="Times New Roman" w:hAnsi="Times New Roman" w:cs="Times New Roman"/>
          <w:sz w:val="24"/>
          <w:szCs w:val="24"/>
        </w:rPr>
        <w:t>a range of</w:t>
      </w:r>
      <w:r w:rsidR="00830A11" w:rsidRPr="00F36114">
        <w:rPr>
          <w:rFonts w:ascii="Times New Roman" w:hAnsi="Times New Roman" w:cs="Times New Roman"/>
          <w:sz w:val="24"/>
          <w:szCs w:val="24"/>
        </w:rPr>
        <w:t xml:space="preserve"> R</w:t>
      </w:r>
      <w:r w:rsidRPr="00F36114">
        <w:rPr>
          <w:rFonts w:ascii="Times New Roman" w:hAnsi="Times New Roman" w:cs="Times New Roman"/>
          <w:sz w:val="24"/>
          <w:szCs w:val="24"/>
        </w:rPr>
        <w:t xml:space="preserve">TC parameter options on </w:t>
      </w:r>
      <w:r w:rsidR="00780AD4" w:rsidRPr="00F36114">
        <w:rPr>
          <w:rFonts w:ascii="Times New Roman" w:hAnsi="Times New Roman" w:cs="Times New Roman"/>
          <w:sz w:val="24"/>
          <w:szCs w:val="24"/>
        </w:rPr>
        <w:t xml:space="preserve">MERM </w:t>
      </w:r>
      <w:r w:rsidR="00105424" w:rsidRPr="00F36114">
        <w:rPr>
          <w:rFonts w:ascii="Times New Roman" w:hAnsi="Times New Roman" w:cs="Times New Roman"/>
          <w:sz w:val="24"/>
          <w:szCs w:val="24"/>
        </w:rPr>
        <w:t>expectations</w:t>
      </w:r>
      <w:r w:rsidR="003F6ADF" w:rsidRPr="00F36114">
        <w:rPr>
          <w:rFonts w:ascii="Times New Roman" w:hAnsi="Times New Roman" w:cs="Times New Roman"/>
          <w:sz w:val="24"/>
          <w:szCs w:val="24"/>
        </w:rPr>
        <w:t>.</w:t>
      </w:r>
    </w:p>
    <w:p w14:paraId="60986286" w14:textId="71204545" w:rsidR="006A26AE" w:rsidRPr="00F36114" w:rsidRDefault="00F309B5" w:rsidP="006A26AE">
      <w:pPr>
        <w:spacing w:line="360" w:lineRule="auto"/>
        <w:ind w:firstLine="720"/>
        <w:jc w:val="both"/>
        <w:rPr>
          <w:rFonts w:ascii="Times New Roman" w:hAnsi="Times New Roman" w:cs="Times New Roman"/>
          <w:sz w:val="24"/>
          <w:szCs w:val="24"/>
        </w:rPr>
      </w:pPr>
      <w:bookmarkStart w:id="0" w:name="_Hlk5220719"/>
      <w:r>
        <w:rPr>
          <w:rFonts w:ascii="Times New Roman" w:hAnsi="Times New Roman" w:cs="Times New Roman"/>
          <w:sz w:val="24"/>
          <w:szCs w:val="24"/>
        </w:rPr>
        <w:t>T</w:t>
      </w:r>
      <w:r w:rsidR="00505F29">
        <w:rPr>
          <w:rFonts w:ascii="Times New Roman" w:hAnsi="Times New Roman" w:cs="Times New Roman"/>
          <w:sz w:val="24"/>
          <w:szCs w:val="24"/>
        </w:rPr>
        <w:t xml:space="preserve">he RTC concept </w:t>
      </w:r>
      <w:r>
        <w:rPr>
          <w:rFonts w:ascii="Times New Roman" w:hAnsi="Times New Roman" w:cs="Times New Roman"/>
          <w:sz w:val="24"/>
          <w:szCs w:val="24"/>
        </w:rPr>
        <w:t xml:space="preserve">will </w:t>
      </w:r>
      <w:r w:rsidR="00505F29">
        <w:rPr>
          <w:rFonts w:ascii="Times New Roman" w:hAnsi="Times New Roman" w:cs="Times New Roman"/>
          <w:sz w:val="24"/>
          <w:szCs w:val="24"/>
        </w:rPr>
        <w:t xml:space="preserve">replace the ORDC price adder </w:t>
      </w:r>
      <w:r w:rsidR="00A90F08">
        <w:rPr>
          <w:rFonts w:ascii="Times New Roman" w:hAnsi="Times New Roman" w:cs="Times New Roman"/>
          <w:sz w:val="24"/>
          <w:szCs w:val="24"/>
        </w:rPr>
        <w:t xml:space="preserve">that is </w:t>
      </w:r>
      <w:r w:rsidR="00505F29">
        <w:rPr>
          <w:rFonts w:ascii="Times New Roman" w:hAnsi="Times New Roman" w:cs="Times New Roman"/>
          <w:sz w:val="24"/>
          <w:szCs w:val="24"/>
        </w:rPr>
        <w:t>relied upon</w:t>
      </w:r>
      <w:r>
        <w:rPr>
          <w:rFonts w:ascii="Times New Roman" w:hAnsi="Times New Roman" w:cs="Times New Roman"/>
          <w:sz w:val="24"/>
          <w:szCs w:val="24"/>
        </w:rPr>
        <w:t xml:space="preserve"> today</w:t>
      </w:r>
      <w:r w:rsidR="00505F29">
        <w:rPr>
          <w:rFonts w:ascii="Times New Roman" w:hAnsi="Times New Roman" w:cs="Times New Roman"/>
          <w:sz w:val="24"/>
          <w:szCs w:val="24"/>
        </w:rPr>
        <w:t xml:space="preserve"> to </w:t>
      </w:r>
      <w:r>
        <w:rPr>
          <w:rFonts w:ascii="Times New Roman" w:hAnsi="Times New Roman" w:cs="Times New Roman"/>
          <w:sz w:val="24"/>
          <w:szCs w:val="24"/>
        </w:rPr>
        <w:t xml:space="preserve">promote </w:t>
      </w:r>
      <w:r w:rsidR="00505F29">
        <w:rPr>
          <w:rFonts w:ascii="Times New Roman" w:hAnsi="Times New Roman" w:cs="Times New Roman"/>
          <w:sz w:val="24"/>
          <w:szCs w:val="24"/>
        </w:rPr>
        <w:t xml:space="preserve">resource adequacy in ERCOT. </w:t>
      </w:r>
      <w:bookmarkEnd w:id="0"/>
      <w:r w:rsidR="006A26AE" w:rsidRPr="00F36114">
        <w:rPr>
          <w:rFonts w:ascii="Times New Roman" w:hAnsi="Times New Roman" w:cs="Times New Roman"/>
          <w:sz w:val="24"/>
          <w:szCs w:val="24"/>
        </w:rPr>
        <w:t>In other words,</w:t>
      </w:r>
      <w:r w:rsidR="00505F29">
        <w:rPr>
          <w:rFonts w:ascii="Times New Roman" w:hAnsi="Times New Roman" w:cs="Times New Roman"/>
          <w:sz w:val="24"/>
          <w:szCs w:val="24"/>
        </w:rPr>
        <w:t xml:space="preserve"> RTC becomes the new resource adequacy mechanism</w:t>
      </w:r>
      <w:r w:rsidR="00A90F08">
        <w:rPr>
          <w:rFonts w:ascii="Times New Roman" w:hAnsi="Times New Roman" w:cs="Times New Roman"/>
          <w:sz w:val="24"/>
          <w:szCs w:val="24"/>
        </w:rPr>
        <w:t xml:space="preserve"> for the ERCOT energy-only market</w:t>
      </w:r>
      <w:r w:rsidR="00505F29">
        <w:rPr>
          <w:rFonts w:ascii="Times New Roman" w:hAnsi="Times New Roman" w:cs="Times New Roman"/>
          <w:sz w:val="24"/>
          <w:szCs w:val="24"/>
        </w:rPr>
        <w:t>. Therefore, as a threshold matter,</w:t>
      </w:r>
      <w:r w:rsidR="006A26AE" w:rsidRPr="00F36114">
        <w:rPr>
          <w:rFonts w:ascii="Times New Roman" w:hAnsi="Times New Roman" w:cs="Times New Roman"/>
          <w:sz w:val="24"/>
          <w:szCs w:val="24"/>
        </w:rPr>
        <w:t xml:space="preserve"> the implementation of RTC should</w:t>
      </w:r>
      <w:r w:rsidR="00505F29">
        <w:rPr>
          <w:rFonts w:ascii="Times New Roman" w:hAnsi="Times New Roman" w:cs="Times New Roman"/>
          <w:sz w:val="24"/>
          <w:szCs w:val="24"/>
        </w:rPr>
        <w:t xml:space="preserve"> at minimum</w:t>
      </w:r>
      <w:r w:rsidR="006A26AE" w:rsidRPr="00F36114">
        <w:rPr>
          <w:rFonts w:ascii="Times New Roman" w:hAnsi="Times New Roman" w:cs="Times New Roman"/>
          <w:sz w:val="24"/>
          <w:szCs w:val="24"/>
        </w:rPr>
        <w:t xml:space="preserve"> do no harm to resource adequacy—which is especially important at a time when the </w:t>
      </w:r>
      <w:r w:rsidR="00105424" w:rsidRPr="00F36114">
        <w:rPr>
          <w:rFonts w:ascii="Times New Roman" w:hAnsi="Times New Roman" w:cs="Times New Roman"/>
          <w:sz w:val="24"/>
          <w:szCs w:val="24"/>
        </w:rPr>
        <w:t xml:space="preserve">planning </w:t>
      </w:r>
      <w:r w:rsidR="006A26AE" w:rsidRPr="00F36114">
        <w:rPr>
          <w:rFonts w:ascii="Times New Roman" w:hAnsi="Times New Roman" w:cs="Times New Roman"/>
          <w:sz w:val="24"/>
          <w:szCs w:val="24"/>
        </w:rPr>
        <w:t xml:space="preserve">reserve margin for the upcoming summer is </w:t>
      </w:r>
      <w:r w:rsidR="00105424" w:rsidRPr="00F36114">
        <w:rPr>
          <w:rFonts w:ascii="Times New Roman" w:hAnsi="Times New Roman" w:cs="Times New Roman"/>
          <w:sz w:val="24"/>
          <w:szCs w:val="24"/>
        </w:rPr>
        <w:t>at an all-time low</w:t>
      </w:r>
      <w:r w:rsidR="006E0F2C">
        <w:rPr>
          <w:rFonts w:ascii="Times New Roman" w:hAnsi="Times New Roman" w:cs="Times New Roman"/>
          <w:sz w:val="24"/>
          <w:szCs w:val="24"/>
        </w:rPr>
        <w:t xml:space="preserve"> of</w:t>
      </w:r>
      <w:r w:rsidR="00105424" w:rsidRPr="00F36114">
        <w:rPr>
          <w:rFonts w:ascii="Times New Roman" w:hAnsi="Times New Roman" w:cs="Times New Roman"/>
          <w:sz w:val="24"/>
          <w:szCs w:val="24"/>
        </w:rPr>
        <w:t xml:space="preserve"> approximately </w:t>
      </w:r>
      <w:r w:rsidR="006A26AE" w:rsidRPr="00F36114">
        <w:rPr>
          <w:rFonts w:ascii="Times New Roman" w:hAnsi="Times New Roman" w:cs="Times New Roman"/>
          <w:sz w:val="24"/>
          <w:szCs w:val="24"/>
        </w:rPr>
        <w:t>7</w:t>
      </w:r>
      <w:r w:rsidR="00105424" w:rsidRPr="00F36114">
        <w:rPr>
          <w:rFonts w:ascii="Times New Roman" w:hAnsi="Times New Roman" w:cs="Times New Roman"/>
          <w:sz w:val="24"/>
          <w:szCs w:val="24"/>
        </w:rPr>
        <w:t>.</w:t>
      </w:r>
      <w:r w:rsidR="00F80F3E" w:rsidRPr="00F36114">
        <w:rPr>
          <w:rFonts w:ascii="Times New Roman" w:hAnsi="Times New Roman" w:cs="Times New Roman"/>
          <w:sz w:val="24"/>
          <w:szCs w:val="24"/>
        </w:rPr>
        <w:t>5</w:t>
      </w:r>
      <w:r w:rsidR="006A26AE" w:rsidRPr="00F36114">
        <w:rPr>
          <w:rFonts w:ascii="Times New Roman" w:hAnsi="Times New Roman" w:cs="Times New Roman"/>
          <w:sz w:val="24"/>
          <w:szCs w:val="24"/>
        </w:rPr>
        <w:t xml:space="preserve"> percent</w:t>
      </w:r>
      <w:r w:rsidR="006E0F2C" w:rsidRPr="006E0F2C">
        <w:rPr>
          <w:rFonts w:ascii="Times New Roman" w:hAnsi="Times New Roman" w:cs="Times New Roman"/>
          <w:sz w:val="24"/>
          <w:szCs w:val="24"/>
        </w:rPr>
        <w:t xml:space="preserve"> </w:t>
      </w:r>
      <w:r w:rsidR="006E0F2C">
        <w:rPr>
          <w:rFonts w:ascii="Times New Roman" w:hAnsi="Times New Roman" w:cs="Times New Roman"/>
          <w:sz w:val="24"/>
          <w:szCs w:val="24"/>
        </w:rPr>
        <w:t xml:space="preserve">and </w:t>
      </w:r>
      <w:r w:rsidR="00A90F08">
        <w:rPr>
          <w:rFonts w:ascii="Times New Roman" w:hAnsi="Times New Roman" w:cs="Times New Roman"/>
          <w:sz w:val="24"/>
          <w:szCs w:val="24"/>
        </w:rPr>
        <w:t xml:space="preserve">is projected to </w:t>
      </w:r>
      <w:r w:rsidR="006E0F2C">
        <w:rPr>
          <w:rFonts w:ascii="Times New Roman" w:hAnsi="Times New Roman" w:cs="Times New Roman"/>
          <w:sz w:val="24"/>
          <w:szCs w:val="24"/>
        </w:rPr>
        <w:t>average</w:t>
      </w:r>
      <w:r w:rsidR="00A90F08">
        <w:rPr>
          <w:rFonts w:ascii="Times New Roman" w:hAnsi="Times New Roman" w:cs="Times New Roman"/>
          <w:sz w:val="24"/>
          <w:szCs w:val="24"/>
        </w:rPr>
        <w:t xml:space="preserve"> at</w:t>
      </w:r>
      <w:r w:rsidR="006E0F2C">
        <w:rPr>
          <w:rFonts w:ascii="Times New Roman" w:hAnsi="Times New Roman" w:cs="Times New Roman"/>
          <w:sz w:val="24"/>
          <w:szCs w:val="24"/>
        </w:rPr>
        <w:t xml:space="preserve"> less than 10 percent </w:t>
      </w:r>
      <w:r w:rsidR="001E7924">
        <w:rPr>
          <w:rFonts w:ascii="Times New Roman" w:hAnsi="Times New Roman" w:cs="Times New Roman"/>
          <w:sz w:val="24"/>
          <w:szCs w:val="24"/>
        </w:rPr>
        <w:t xml:space="preserve">over </w:t>
      </w:r>
      <w:r w:rsidR="006E0F2C">
        <w:rPr>
          <w:rFonts w:ascii="Times New Roman" w:hAnsi="Times New Roman" w:cs="Times New Roman"/>
          <w:sz w:val="24"/>
          <w:szCs w:val="24"/>
        </w:rPr>
        <w:t>the next five years</w:t>
      </w:r>
      <w:r w:rsidR="006E0F2C" w:rsidRPr="00F36114">
        <w:rPr>
          <w:rFonts w:ascii="Times New Roman" w:hAnsi="Times New Roman" w:cs="Times New Roman"/>
          <w:sz w:val="24"/>
          <w:szCs w:val="24"/>
        </w:rPr>
        <w:t>.</w:t>
      </w:r>
      <w:r w:rsidR="006E0F2C">
        <w:rPr>
          <w:rStyle w:val="FootnoteReference"/>
          <w:rFonts w:ascii="Times New Roman" w:hAnsi="Times New Roman" w:cs="Times New Roman"/>
          <w:sz w:val="24"/>
          <w:szCs w:val="24"/>
        </w:rPr>
        <w:footnoteReference w:id="4"/>
      </w:r>
    </w:p>
    <w:p w14:paraId="51088C0A" w14:textId="77777777" w:rsidR="00FA6A94" w:rsidRPr="00F36114" w:rsidRDefault="00FA6A94" w:rsidP="008D079A">
      <w:pPr>
        <w:spacing w:before="360" w:line="360" w:lineRule="auto"/>
        <w:jc w:val="center"/>
        <w:rPr>
          <w:rFonts w:ascii="Times New Roman" w:hAnsi="Times New Roman" w:cs="Times New Roman"/>
          <w:b/>
          <w:sz w:val="24"/>
          <w:szCs w:val="24"/>
        </w:rPr>
      </w:pPr>
      <w:r w:rsidRPr="00F36114">
        <w:rPr>
          <w:rFonts w:ascii="Times New Roman" w:hAnsi="Times New Roman" w:cs="Times New Roman"/>
          <w:b/>
          <w:sz w:val="24"/>
          <w:szCs w:val="24"/>
        </w:rPr>
        <w:t xml:space="preserve">I. </w:t>
      </w:r>
      <w:r w:rsidR="005350ED" w:rsidRPr="00F36114">
        <w:rPr>
          <w:rFonts w:ascii="Times New Roman" w:hAnsi="Times New Roman" w:cs="Times New Roman"/>
          <w:b/>
          <w:sz w:val="24"/>
          <w:szCs w:val="24"/>
        </w:rPr>
        <w:t xml:space="preserve"> </w:t>
      </w:r>
      <w:r w:rsidR="00192C6E" w:rsidRPr="00F36114">
        <w:rPr>
          <w:rFonts w:ascii="Times New Roman" w:hAnsi="Times New Roman" w:cs="Times New Roman"/>
          <w:b/>
          <w:sz w:val="24"/>
          <w:szCs w:val="24"/>
        </w:rPr>
        <w:t>Response to Question</w:t>
      </w:r>
      <w:r w:rsidR="00A00F3D" w:rsidRPr="00F36114">
        <w:rPr>
          <w:rFonts w:ascii="Times New Roman" w:hAnsi="Times New Roman" w:cs="Times New Roman"/>
          <w:b/>
          <w:sz w:val="24"/>
          <w:szCs w:val="24"/>
        </w:rPr>
        <w:t>s</w:t>
      </w:r>
    </w:p>
    <w:p w14:paraId="4FF141E9" w14:textId="77777777" w:rsidR="00190776" w:rsidRPr="00F36114" w:rsidRDefault="00A00F3D" w:rsidP="00844766">
      <w:pPr>
        <w:pStyle w:val="ListParagraph"/>
        <w:numPr>
          <w:ilvl w:val="0"/>
          <w:numId w:val="26"/>
        </w:numPr>
        <w:spacing w:line="240" w:lineRule="auto"/>
        <w:contextualSpacing w:val="0"/>
        <w:jc w:val="both"/>
        <w:rPr>
          <w:rFonts w:ascii="Times New Roman" w:hAnsi="Times New Roman" w:cs="Times New Roman"/>
          <w:b/>
          <w:sz w:val="24"/>
          <w:szCs w:val="24"/>
        </w:rPr>
      </w:pPr>
      <w:r w:rsidRPr="00F36114">
        <w:rPr>
          <w:rFonts w:ascii="Times New Roman" w:hAnsi="Times New Roman" w:cs="Times New Roman"/>
          <w:b/>
          <w:sz w:val="24"/>
          <w:szCs w:val="24"/>
        </w:rPr>
        <w:t>Upon implementation of real-time co-optimization (RTC) in the ERCOT region, what value should the commission establish as the system-wide offer cap (SWOC)</w:t>
      </w:r>
      <w:r w:rsidR="00643A83" w:rsidRPr="00F36114">
        <w:rPr>
          <w:rFonts w:ascii="Times New Roman" w:hAnsi="Times New Roman" w:cs="Times New Roman"/>
          <w:b/>
          <w:sz w:val="24"/>
          <w:szCs w:val="24"/>
        </w:rPr>
        <w:t>?</w:t>
      </w:r>
      <w:r w:rsidRPr="00F36114">
        <w:rPr>
          <w:rFonts w:ascii="Times New Roman" w:hAnsi="Times New Roman" w:cs="Times New Roman"/>
          <w:b/>
          <w:sz w:val="24"/>
          <w:szCs w:val="24"/>
        </w:rPr>
        <w:t xml:space="preserve"> Why?</w:t>
      </w:r>
    </w:p>
    <w:p w14:paraId="757A5F28" w14:textId="77777777" w:rsidR="00830A11" w:rsidRPr="00F36114" w:rsidRDefault="00830A11" w:rsidP="00844766">
      <w:pPr>
        <w:pStyle w:val="ListParagraph"/>
        <w:numPr>
          <w:ilvl w:val="0"/>
          <w:numId w:val="26"/>
        </w:numPr>
        <w:spacing w:line="240" w:lineRule="auto"/>
        <w:contextualSpacing w:val="0"/>
        <w:jc w:val="both"/>
        <w:rPr>
          <w:rFonts w:ascii="Times New Roman" w:hAnsi="Times New Roman" w:cs="Times New Roman"/>
          <w:b/>
          <w:sz w:val="24"/>
          <w:szCs w:val="24"/>
        </w:rPr>
      </w:pPr>
      <w:r w:rsidRPr="00F36114">
        <w:rPr>
          <w:rFonts w:ascii="Times New Roman" w:hAnsi="Times New Roman" w:cs="Times New Roman"/>
          <w:b/>
          <w:sz w:val="24"/>
          <w:szCs w:val="24"/>
        </w:rPr>
        <w:t>Upon implementation of RTC in the ERCOT region, what value should the commission establish as the value of lost load (VOLL)? Why?</w:t>
      </w:r>
    </w:p>
    <w:p w14:paraId="72A187BA" w14:textId="77777777" w:rsidR="00830A11" w:rsidRPr="00F36114" w:rsidRDefault="00830A11" w:rsidP="00830A11">
      <w:pPr>
        <w:pStyle w:val="ListParagraph"/>
        <w:numPr>
          <w:ilvl w:val="0"/>
          <w:numId w:val="26"/>
        </w:numPr>
        <w:spacing w:after="360" w:line="240" w:lineRule="auto"/>
        <w:contextualSpacing w:val="0"/>
        <w:jc w:val="both"/>
        <w:rPr>
          <w:rFonts w:ascii="Times New Roman" w:hAnsi="Times New Roman" w:cs="Times New Roman"/>
          <w:b/>
          <w:sz w:val="24"/>
          <w:szCs w:val="24"/>
        </w:rPr>
      </w:pPr>
      <w:r w:rsidRPr="00F36114">
        <w:rPr>
          <w:rFonts w:ascii="Times New Roman" w:hAnsi="Times New Roman" w:cs="Times New Roman"/>
          <w:b/>
          <w:sz w:val="24"/>
          <w:szCs w:val="24"/>
        </w:rPr>
        <w:t>What parameters, if any, should the commission consider when determining the SWOC and VOLL?</w:t>
      </w:r>
    </w:p>
    <w:p w14:paraId="39E0D0B3" w14:textId="70A666DA" w:rsidR="0033495B" w:rsidRPr="00F36114" w:rsidRDefault="00B3660E" w:rsidP="00B3660E">
      <w:pPr>
        <w:spacing w:line="360" w:lineRule="auto"/>
        <w:ind w:firstLine="720"/>
        <w:jc w:val="both"/>
        <w:rPr>
          <w:rFonts w:ascii="Times New Roman" w:hAnsi="Times New Roman" w:cs="Times New Roman"/>
          <w:sz w:val="24"/>
          <w:szCs w:val="24"/>
        </w:rPr>
      </w:pPr>
      <w:r w:rsidRPr="00F36114">
        <w:rPr>
          <w:rFonts w:ascii="Times New Roman" w:hAnsi="Times New Roman" w:cs="Times New Roman"/>
          <w:sz w:val="24"/>
          <w:szCs w:val="24"/>
        </w:rPr>
        <w:t xml:space="preserve">TCPA responds to the first three questions together. </w:t>
      </w:r>
      <w:r w:rsidR="003C419A" w:rsidRPr="00F36114">
        <w:rPr>
          <w:rFonts w:ascii="Times New Roman" w:hAnsi="Times New Roman" w:cs="Times New Roman"/>
          <w:sz w:val="24"/>
          <w:szCs w:val="24"/>
        </w:rPr>
        <w:t xml:space="preserve">As explained by ERCOT in </w:t>
      </w:r>
      <w:r w:rsidR="00286F93" w:rsidRPr="00F36114">
        <w:rPr>
          <w:rFonts w:ascii="Times New Roman" w:hAnsi="Times New Roman" w:cs="Times New Roman"/>
          <w:sz w:val="24"/>
          <w:szCs w:val="24"/>
        </w:rPr>
        <w:t>an RTC concept</w:t>
      </w:r>
      <w:r w:rsidR="003C419A" w:rsidRPr="00F36114">
        <w:rPr>
          <w:rFonts w:ascii="Times New Roman" w:hAnsi="Times New Roman" w:cs="Times New Roman"/>
          <w:sz w:val="24"/>
          <w:szCs w:val="24"/>
        </w:rPr>
        <w:t xml:space="preserve"> paper,</w:t>
      </w:r>
      <w:r w:rsidR="003C419A" w:rsidRPr="00F36114">
        <w:rPr>
          <w:rStyle w:val="FootnoteReference"/>
          <w:rFonts w:ascii="Times New Roman" w:hAnsi="Times New Roman" w:cs="Times New Roman"/>
          <w:sz w:val="24"/>
          <w:szCs w:val="24"/>
        </w:rPr>
        <w:footnoteReference w:id="5"/>
      </w:r>
      <w:r w:rsidR="003C419A" w:rsidRPr="00F36114">
        <w:rPr>
          <w:rFonts w:ascii="Times New Roman" w:hAnsi="Times New Roman" w:cs="Times New Roman"/>
          <w:sz w:val="24"/>
          <w:szCs w:val="24"/>
        </w:rPr>
        <w:t xml:space="preserve"> under RTC, the values of SWOC, the ASDC maximum</w:t>
      </w:r>
      <w:r w:rsidR="00103FE1" w:rsidRPr="00F36114">
        <w:rPr>
          <w:rFonts w:ascii="Times New Roman" w:hAnsi="Times New Roman" w:cs="Times New Roman"/>
          <w:sz w:val="24"/>
          <w:szCs w:val="24"/>
        </w:rPr>
        <w:t xml:space="preserve"> (which will be triggered when reserves drop to </w:t>
      </w:r>
      <w:r w:rsidR="00561415" w:rsidRPr="00F36114">
        <w:rPr>
          <w:rFonts w:ascii="Times New Roman" w:hAnsi="Times New Roman" w:cs="Times New Roman"/>
          <w:sz w:val="24"/>
          <w:szCs w:val="24"/>
        </w:rPr>
        <w:t xml:space="preserve">the minimum contingency </w:t>
      </w:r>
      <w:r w:rsidR="00103FE1" w:rsidRPr="00F36114">
        <w:rPr>
          <w:rFonts w:ascii="Times New Roman" w:hAnsi="Times New Roman" w:cs="Times New Roman"/>
          <w:sz w:val="24"/>
          <w:szCs w:val="24"/>
        </w:rPr>
        <w:t>level</w:t>
      </w:r>
      <w:r w:rsidR="00606F94" w:rsidRPr="00F36114">
        <w:rPr>
          <w:rFonts w:ascii="Times New Roman" w:hAnsi="Times New Roman" w:cs="Times New Roman"/>
          <w:sz w:val="24"/>
          <w:szCs w:val="24"/>
        </w:rPr>
        <w:t xml:space="preserve"> </w:t>
      </w:r>
      <w:r w:rsidR="00561415" w:rsidRPr="00F36114">
        <w:rPr>
          <w:rFonts w:ascii="Times New Roman" w:hAnsi="Times New Roman" w:cs="Times New Roman"/>
          <w:sz w:val="24"/>
          <w:szCs w:val="24"/>
        </w:rPr>
        <w:t xml:space="preserve">(MCL) </w:t>
      </w:r>
      <w:r w:rsidR="00606F94" w:rsidRPr="00F36114">
        <w:rPr>
          <w:rFonts w:ascii="Times New Roman" w:hAnsi="Times New Roman" w:cs="Times New Roman"/>
          <w:sz w:val="24"/>
          <w:szCs w:val="24"/>
        </w:rPr>
        <w:t xml:space="preserve">and </w:t>
      </w:r>
      <w:r w:rsidR="00286F93" w:rsidRPr="00F36114">
        <w:rPr>
          <w:rFonts w:ascii="Times New Roman" w:hAnsi="Times New Roman" w:cs="Times New Roman"/>
          <w:sz w:val="24"/>
          <w:szCs w:val="24"/>
        </w:rPr>
        <w:t xml:space="preserve">will </w:t>
      </w:r>
      <w:r w:rsidR="00606F94" w:rsidRPr="00F36114">
        <w:rPr>
          <w:rFonts w:ascii="Times New Roman" w:hAnsi="Times New Roman" w:cs="Times New Roman"/>
          <w:sz w:val="24"/>
          <w:szCs w:val="24"/>
        </w:rPr>
        <w:t xml:space="preserve">effectively </w:t>
      </w:r>
      <w:r w:rsidR="006E0F2C">
        <w:rPr>
          <w:rFonts w:ascii="Times New Roman" w:hAnsi="Times New Roman" w:cs="Times New Roman"/>
          <w:sz w:val="24"/>
          <w:szCs w:val="24"/>
        </w:rPr>
        <w:t xml:space="preserve">replace </w:t>
      </w:r>
      <w:r w:rsidR="00561415" w:rsidRPr="00F36114">
        <w:rPr>
          <w:rFonts w:ascii="Times New Roman" w:hAnsi="Times New Roman" w:cs="Times New Roman"/>
          <w:sz w:val="24"/>
          <w:szCs w:val="24"/>
        </w:rPr>
        <w:t>the maximum ORDC price adder in today’s market</w:t>
      </w:r>
      <w:r w:rsidR="00103FE1" w:rsidRPr="00F36114">
        <w:rPr>
          <w:rFonts w:ascii="Times New Roman" w:hAnsi="Times New Roman" w:cs="Times New Roman"/>
          <w:sz w:val="24"/>
          <w:szCs w:val="24"/>
        </w:rPr>
        <w:t>)</w:t>
      </w:r>
      <w:r w:rsidR="003C419A" w:rsidRPr="00F36114">
        <w:rPr>
          <w:rFonts w:ascii="Times New Roman" w:hAnsi="Times New Roman" w:cs="Times New Roman"/>
          <w:sz w:val="24"/>
          <w:szCs w:val="24"/>
        </w:rPr>
        <w:t>, and the PBPC</w:t>
      </w:r>
      <w:r w:rsidR="006E0F2C">
        <w:rPr>
          <w:rStyle w:val="FootnoteReference"/>
          <w:rFonts w:ascii="Times New Roman" w:hAnsi="Times New Roman" w:cs="Times New Roman"/>
          <w:sz w:val="24"/>
          <w:szCs w:val="24"/>
        </w:rPr>
        <w:footnoteReference w:id="6"/>
      </w:r>
      <w:r w:rsidR="00103FE1" w:rsidRPr="00F36114">
        <w:rPr>
          <w:rFonts w:ascii="Times New Roman" w:hAnsi="Times New Roman" w:cs="Times New Roman"/>
          <w:sz w:val="24"/>
          <w:szCs w:val="24"/>
        </w:rPr>
        <w:t xml:space="preserve"> </w:t>
      </w:r>
      <w:r w:rsidR="003C419A" w:rsidRPr="00F36114">
        <w:rPr>
          <w:rFonts w:ascii="Times New Roman" w:hAnsi="Times New Roman" w:cs="Times New Roman"/>
          <w:sz w:val="24"/>
          <w:szCs w:val="24"/>
        </w:rPr>
        <w:t xml:space="preserve">must all be coordinated </w:t>
      </w:r>
      <w:r w:rsidR="00286F93" w:rsidRPr="00F36114">
        <w:rPr>
          <w:rFonts w:ascii="Times New Roman" w:hAnsi="Times New Roman" w:cs="Times New Roman"/>
          <w:sz w:val="24"/>
          <w:szCs w:val="24"/>
        </w:rPr>
        <w:t>for RTC to properly function.</w:t>
      </w:r>
      <w:r w:rsidR="001527C2" w:rsidRPr="00F36114">
        <w:rPr>
          <w:rFonts w:ascii="Times New Roman" w:hAnsi="Times New Roman" w:cs="Times New Roman"/>
          <w:sz w:val="24"/>
          <w:szCs w:val="24"/>
        </w:rPr>
        <w:t xml:space="preserve"> In th</w:t>
      </w:r>
      <w:r w:rsidR="005B5028" w:rsidRPr="00F36114">
        <w:rPr>
          <w:rFonts w:ascii="Times New Roman" w:hAnsi="Times New Roman" w:cs="Times New Roman"/>
          <w:sz w:val="24"/>
          <w:szCs w:val="24"/>
        </w:rPr>
        <w:t>e RTC</w:t>
      </w:r>
      <w:r w:rsidR="001527C2" w:rsidRPr="00F36114">
        <w:rPr>
          <w:rFonts w:ascii="Times New Roman" w:hAnsi="Times New Roman" w:cs="Times New Roman"/>
          <w:sz w:val="24"/>
          <w:szCs w:val="24"/>
        </w:rPr>
        <w:t xml:space="preserve"> construct,</w:t>
      </w:r>
      <w:r w:rsidR="00902C2C" w:rsidRPr="00F36114">
        <w:rPr>
          <w:rFonts w:ascii="Times New Roman" w:hAnsi="Times New Roman" w:cs="Times New Roman"/>
          <w:sz w:val="24"/>
          <w:szCs w:val="24"/>
        </w:rPr>
        <w:t xml:space="preserve"> while</w:t>
      </w:r>
      <w:r w:rsidR="001527C2" w:rsidRPr="00F36114">
        <w:rPr>
          <w:rFonts w:ascii="Times New Roman" w:hAnsi="Times New Roman" w:cs="Times New Roman"/>
          <w:sz w:val="24"/>
          <w:szCs w:val="24"/>
        </w:rPr>
        <w:t xml:space="preserve"> the VOLL </w:t>
      </w:r>
      <w:r w:rsidR="006E0F2C">
        <w:rPr>
          <w:rFonts w:ascii="Times New Roman" w:hAnsi="Times New Roman" w:cs="Times New Roman"/>
          <w:sz w:val="24"/>
          <w:szCs w:val="24"/>
        </w:rPr>
        <w:t>has no direct connection to any of the primary RTC variables and</w:t>
      </w:r>
      <w:r w:rsidR="006E0F2C" w:rsidRPr="00F36114">
        <w:rPr>
          <w:rFonts w:ascii="Times New Roman" w:hAnsi="Times New Roman" w:cs="Times New Roman"/>
          <w:sz w:val="24"/>
          <w:szCs w:val="24"/>
        </w:rPr>
        <w:t xml:space="preserve"> </w:t>
      </w:r>
      <w:r w:rsidR="001527C2" w:rsidRPr="00F36114">
        <w:rPr>
          <w:rFonts w:ascii="Times New Roman" w:hAnsi="Times New Roman" w:cs="Times New Roman"/>
          <w:sz w:val="24"/>
          <w:szCs w:val="24"/>
        </w:rPr>
        <w:t>will not directly determine scarcity pricing</w:t>
      </w:r>
      <w:r w:rsidR="00902C2C" w:rsidRPr="00F36114">
        <w:rPr>
          <w:rFonts w:ascii="Times New Roman" w:hAnsi="Times New Roman" w:cs="Times New Roman"/>
          <w:sz w:val="24"/>
          <w:szCs w:val="24"/>
        </w:rPr>
        <w:t xml:space="preserve"> (as explained below), the Commission should still </w:t>
      </w:r>
      <w:r w:rsidR="00FE01C0" w:rsidRPr="00F36114">
        <w:rPr>
          <w:rFonts w:ascii="Times New Roman" w:hAnsi="Times New Roman" w:cs="Times New Roman"/>
          <w:sz w:val="24"/>
          <w:szCs w:val="24"/>
        </w:rPr>
        <w:t>decide on</w:t>
      </w:r>
      <w:r w:rsidR="00902C2C" w:rsidRPr="00F36114">
        <w:rPr>
          <w:rFonts w:ascii="Times New Roman" w:hAnsi="Times New Roman" w:cs="Times New Roman"/>
          <w:sz w:val="24"/>
          <w:szCs w:val="24"/>
        </w:rPr>
        <w:t xml:space="preserve"> a value for VOLL and </w:t>
      </w:r>
      <w:r w:rsidR="00003F77" w:rsidRPr="00F36114">
        <w:rPr>
          <w:rFonts w:ascii="Times New Roman" w:hAnsi="Times New Roman" w:cs="Times New Roman"/>
          <w:sz w:val="24"/>
          <w:szCs w:val="24"/>
        </w:rPr>
        <w:t>approve a</w:t>
      </w:r>
      <w:r w:rsidR="00744D08" w:rsidRPr="00F36114">
        <w:rPr>
          <w:rFonts w:ascii="Times New Roman" w:hAnsi="Times New Roman" w:cs="Times New Roman"/>
          <w:sz w:val="24"/>
          <w:szCs w:val="24"/>
        </w:rPr>
        <w:t>n</w:t>
      </w:r>
      <w:r w:rsidR="00902C2C" w:rsidRPr="00F36114">
        <w:rPr>
          <w:rFonts w:ascii="Times New Roman" w:hAnsi="Times New Roman" w:cs="Times New Roman"/>
          <w:sz w:val="24"/>
          <w:szCs w:val="24"/>
        </w:rPr>
        <w:t xml:space="preserve"> RTC</w:t>
      </w:r>
      <w:r w:rsidR="00744D08" w:rsidRPr="00F36114">
        <w:rPr>
          <w:rFonts w:ascii="Times New Roman" w:hAnsi="Times New Roman" w:cs="Times New Roman"/>
          <w:sz w:val="24"/>
          <w:szCs w:val="24"/>
        </w:rPr>
        <w:t xml:space="preserve"> design</w:t>
      </w:r>
      <w:r w:rsidR="00003F77" w:rsidRPr="00F36114">
        <w:rPr>
          <w:rFonts w:ascii="Times New Roman" w:hAnsi="Times New Roman" w:cs="Times New Roman"/>
          <w:sz w:val="24"/>
          <w:szCs w:val="24"/>
        </w:rPr>
        <w:t xml:space="preserve"> that will result in prices at the </w:t>
      </w:r>
      <w:r w:rsidR="00854002">
        <w:rPr>
          <w:rFonts w:ascii="Times New Roman" w:hAnsi="Times New Roman" w:cs="Times New Roman"/>
          <w:sz w:val="24"/>
          <w:szCs w:val="24"/>
        </w:rPr>
        <w:t xml:space="preserve">desired </w:t>
      </w:r>
      <w:r w:rsidR="00902C2C" w:rsidRPr="00F36114">
        <w:rPr>
          <w:rFonts w:ascii="Times New Roman" w:hAnsi="Times New Roman" w:cs="Times New Roman"/>
          <w:sz w:val="24"/>
          <w:szCs w:val="24"/>
        </w:rPr>
        <w:t xml:space="preserve">VOLL under the same circumstances </w:t>
      </w:r>
      <w:r w:rsidR="001428E7" w:rsidRPr="00F36114">
        <w:rPr>
          <w:rFonts w:ascii="Times New Roman" w:hAnsi="Times New Roman" w:cs="Times New Roman"/>
          <w:sz w:val="24"/>
          <w:szCs w:val="24"/>
        </w:rPr>
        <w:t>as</w:t>
      </w:r>
      <w:r w:rsidR="00902C2C" w:rsidRPr="00F36114">
        <w:rPr>
          <w:rFonts w:ascii="Times New Roman" w:hAnsi="Times New Roman" w:cs="Times New Roman"/>
          <w:sz w:val="24"/>
          <w:szCs w:val="24"/>
        </w:rPr>
        <w:t xml:space="preserve"> today</w:t>
      </w:r>
      <w:r w:rsidR="001527C2" w:rsidRPr="00F36114">
        <w:rPr>
          <w:rFonts w:ascii="Times New Roman" w:hAnsi="Times New Roman" w:cs="Times New Roman"/>
          <w:sz w:val="24"/>
          <w:szCs w:val="24"/>
        </w:rPr>
        <w:t>.</w:t>
      </w:r>
      <w:r w:rsidR="00286F93" w:rsidRPr="00F36114">
        <w:rPr>
          <w:rFonts w:ascii="Times New Roman" w:hAnsi="Times New Roman" w:cs="Times New Roman"/>
          <w:sz w:val="24"/>
          <w:szCs w:val="24"/>
        </w:rPr>
        <w:t xml:space="preserve"> </w:t>
      </w:r>
      <w:r w:rsidR="0023318A" w:rsidRPr="00F36114">
        <w:rPr>
          <w:rFonts w:ascii="Times New Roman" w:hAnsi="Times New Roman" w:cs="Times New Roman"/>
          <w:sz w:val="24"/>
          <w:szCs w:val="24"/>
        </w:rPr>
        <w:t>T</w:t>
      </w:r>
      <w:r w:rsidR="00286F93" w:rsidRPr="00F36114">
        <w:rPr>
          <w:rFonts w:ascii="Times New Roman" w:eastAsia="Times New Roman" w:hAnsi="Times New Roman" w:cs="Times New Roman"/>
          <w:sz w:val="24"/>
          <w:szCs w:val="24"/>
        </w:rPr>
        <w:t xml:space="preserve">he interplay of SWOC, </w:t>
      </w:r>
      <w:r w:rsidR="00286F93" w:rsidRPr="00F36114">
        <w:rPr>
          <w:rFonts w:ascii="Times New Roman" w:eastAsia="Times New Roman" w:hAnsi="Times New Roman" w:cs="Times New Roman"/>
          <w:sz w:val="24"/>
          <w:szCs w:val="24"/>
        </w:rPr>
        <w:lastRenderedPageBreak/>
        <w:t>ASDCs</w:t>
      </w:r>
      <w:r w:rsidR="00561415" w:rsidRPr="00F36114">
        <w:rPr>
          <w:rFonts w:ascii="Times New Roman" w:eastAsia="Times New Roman" w:hAnsi="Times New Roman" w:cs="Times New Roman"/>
          <w:sz w:val="24"/>
          <w:szCs w:val="24"/>
        </w:rPr>
        <w:t xml:space="preserve">, </w:t>
      </w:r>
      <w:r w:rsidR="00286F93" w:rsidRPr="00F36114">
        <w:rPr>
          <w:rFonts w:ascii="Times New Roman" w:eastAsia="Times New Roman" w:hAnsi="Times New Roman" w:cs="Times New Roman"/>
          <w:sz w:val="24"/>
          <w:szCs w:val="24"/>
        </w:rPr>
        <w:t>and the PBPC will fundamentally influence price formation</w:t>
      </w:r>
      <w:r w:rsidR="00854002">
        <w:rPr>
          <w:rFonts w:ascii="Times New Roman" w:eastAsia="Times New Roman" w:hAnsi="Times New Roman" w:cs="Times New Roman"/>
          <w:sz w:val="24"/>
          <w:szCs w:val="24"/>
        </w:rPr>
        <w:t xml:space="preserve"> (including </w:t>
      </w:r>
      <w:r w:rsidR="00A56C1A">
        <w:rPr>
          <w:rFonts w:ascii="Times New Roman" w:eastAsia="Times New Roman" w:hAnsi="Times New Roman" w:cs="Times New Roman"/>
          <w:sz w:val="24"/>
          <w:szCs w:val="24"/>
        </w:rPr>
        <w:t xml:space="preserve">by dictating </w:t>
      </w:r>
      <w:r w:rsidR="00854002">
        <w:rPr>
          <w:rFonts w:ascii="Times New Roman" w:eastAsia="Times New Roman" w:hAnsi="Times New Roman" w:cs="Times New Roman"/>
          <w:sz w:val="24"/>
          <w:szCs w:val="24"/>
        </w:rPr>
        <w:t>whether prices will actually reach the desired VOLL during scarcity</w:t>
      </w:r>
      <w:r w:rsidR="00A56C1A">
        <w:rPr>
          <w:rFonts w:ascii="Times New Roman" w:eastAsia="Times New Roman" w:hAnsi="Times New Roman" w:cs="Times New Roman"/>
          <w:sz w:val="24"/>
          <w:szCs w:val="24"/>
        </w:rPr>
        <w:t xml:space="preserve"> conditions</w:t>
      </w:r>
      <w:r w:rsidR="00854002">
        <w:rPr>
          <w:rFonts w:ascii="Times New Roman" w:eastAsia="Times New Roman" w:hAnsi="Times New Roman" w:cs="Times New Roman"/>
          <w:sz w:val="24"/>
          <w:szCs w:val="24"/>
        </w:rPr>
        <w:t>)</w:t>
      </w:r>
      <w:r w:rsidR="00286F93" w:rsidRPr="00F36114">
        <w:rPr>
          <w:rFonts w:ascii="Times New Roman" w:eastAsia="Times New Roman" w:hAnsi="Times New Roman" w:cs="Times New Roman"/>
          <w:sz w:val="24"/>
          <w:szCs w:val="24"/>
        </w:rPr>
        <w:t xml:space="preserve"> and must be carefully understood and designed</w:t>
      </w:r>
      <w:r w:rsidR="00003F77" w:rsidRPr="00F36114">
        <w:rPr>
          <w:rFonts w:ascii="Times New Roman" w:eastAsia="Times New Roman" w:hAnsi="Times New Roman" w:cs="Times New Roman"/>
          <w:sz w:val="24"/>
          <w:szCs w:val="24"/>
        </w:rPr>
        <w:t xml:space="preserve"> </w:t>
      </w:r>
      <w:r w:rsidR="00286F93" w:rsidRPr="00F36114">
        <w:rPr>
          <w:rFonts w:ascii="Times New Roman" w:eastAsia="Times New Roman" w:hAnsi="Times New Roman" w:cs="Times New Roman"/>
          <w:sz w:val="24"/>
          <w:szCs w:val="24"/>
        </w:rPr>
        <w:t xml:space="preserve">to not </w:t>
      </w:r>
      <w:r w:rsidR="002852C3">
        <w:rPr>
          <w:rFonts w:ascii="Times New Roman" w:eastAsia="Times New Roman" w:hAnsi="Times New Roman" w:cs="Times New Roman"/>
          <w:sz w:val="24"/>
          <w:szCs w:val="24"/>
        </w:rPr>
        <w:t xml:space="preserve">undermine </w:t>
      </w:r>
      <w:r w:rsidR="00744D08" w:rsidRPr="00F36114">
        <w:rPr>
          <w:rFonts w:ascii="Times New Roman" w:eastAsia="Times New Roman" w:hAnsi="Times New Roman" w:cs="Times New Roman"/>
          <w:sz w:val="24"/>
          <w:szCs w:val="24"/>
        </w:rPr>
        <w:t xml:space="preserve">the Commission’s </w:t>
      </w:r>
      <w:r w:rsidR="002852C3">
        <w:rPr>
          <w:rFonts w:ascii="Times New Roman" w:eastAsia="Times New Roman" w:hAnsi="Times New Roman" w:cs="Times New Roman"/>
          <w:sz w:val="24"/>
          <w:szCs w:val="24"/>
        </w:rPr>
        <w:t xml:space="preserve">clear intent to allow for sufficient </w:t>
      </w:r>
      <w:r w:rsidR="00561415" w:rsidRPr="00F36114">
        <w:rPr>
          <w:rFonts w:ascii="Times New Roman" w:eastAsia="Times New Roman" w:hAnsi="Times New Roman" w:cs="Times New Roman"/>
          <w:sz w:val="24"/>
          <w:szCs w:val="24"/>
        </w:rPr>
        <w:t xml:space="preserve">price formation and </w:t>
      </w:r>
      <w:r w:rsidR="00286F93" w:rsidRPr="00F36114">
        <w:rPr>
          <w:rFonts w:ascii="Times New Roman" w:eastAsia="Times New Roman" w:hAnsi="Times New Roman" w:cs="Times New Roman"/>
          <w:sz w:val="24"/>
          <w:szCs w:val="24"/>
        </w:rPr>
        <w:t>resource adequacy policy decisions</w:t>
      </w:r>
      <w:r w:rsidR="00286F93" w:rsidRPr="00F36114">
        <w:rPr>
          <w:rFonts w:ascii="Times New Roman" w:hAnsi="Times New Roman" w:cs="Times New Roman"/>
          <w:sz w:val="24"/>
          <w:szCs w:val="24"/>
        </w:rPr>
        <w:t xml:space="preserve">, including </w:t>
      </w:r>
      <w:r w:rsidR="00286F93" w:rsidRPr="00F36114">
        <w:rPr>
          <w:rFonts w:ascii="Times New Roman" w:eastAsia="Times New Roman" w:hAnsi="Times New Roman" w:cs="Times New Roman"/>
          <w:sz w:val="24"/>
          <w:szCs w:val="24"/>
        </w:rPr>
        <w:t>the recent</w:t>
      </w:r>
      <w:r w:rsidR="00854B37" w:rsidRPr="00F36114">
        <w:rPr>
          <w:rFonts w:ascii="Times New Roman" w:eastAsia="Times New Roman" w:hAnsi="Times New Roman" w:cs="Times New Roman"/>
          <w:sz w:val="24"/>
          <w:szCs w:val="24"/>
        </w:rPr>
        <w:t xml:space="preserve"> decision to shift the</w:t>
      </w:r>
      <w:r w:rsidR="00286F93" w:rsidRPr="00F36114">
        <w:rPr>
          <w:rFonts w:ascii="Times New Roman" w:eastAsia="Times New Roman" w:hAnsi="Times New Roman" w:cs="Times New Roman"/>
          <w:sz w:val="24"/>
          <w:szCs w:val="24"/>
        </w:rPr>
        <w:t xml:space="preserve"> loss of load probability (LOLP) </w:t>
      </w:r>
      <w:r w:rsidR="00854B37" w:rsidRPr="00F36114">
        <w:rPr>
          <w:rFonts w:ascii="Times New Roman" w:eastAsia="Times New Roman" w:hAnsi="Times New Roman" w:cs="Times New Roman"/>
          <w:sz w:val="24"/>
          <w:szCs w:val="24"/>
        </w:rPr>
        <w:t>curve</w:t>
      </w:r>
      <w:r w:rsidR="00094C95" w:rsidRPr="00F36114">
        <w:rPr>
          <w:rFonts w:ascii="Times New Roman" w:eastAsia="Times New Roman" w:hAnsi="Times New Roman" w:cs="Times New Roman"/>
          <w:sz w:val="24"/>
          <w:szCs w:val="24"/>
        </w:rPr>
        <w:t xml:space="preserve"> of the ORDC</w:t>
      </w:r>
      <w:r w:rsidR="00854B37" w:rsidRPr="00F36114">
        <w:rPr>
          <w:rFonts w:ascii="Times New Roman" w:eastAsia="Times New Roman" w:hAnsi="Times New Roman" w:cs="Times New Roman"/>
          <w:sz w:val="24"/>
          <w:szCs w:val="24"/>
        </w:rPr>
        <w:t xml:space="preserve"> </w:t>
      </w:r>
      <w:r w:rsidR="00286F93" w:rsidRPr="00F36114">
        <w:rPr>
          <w:rFonts w:ascii="Times New Roman" w:eastAsia="Times New Roman" w:hAnsi="Times New Roman" w:cs="Times New Roman"/>
          <w:sz w:val="24"/>
          <w:szCs w:val="24"/>
        </w:rPr>
        <w:t>to more accurately reflect reliability risk in scarcity prices.</w:t>
      </w:r>
      <w:r w:rsidR="00286F93" w:rsidRPr="00F36114">
        <w:rPr>
          <w:rStyle w:val="FootnoteReference"/>
          <w:rFonts w:ascii="Times New Roman" w:hAnsi="Times New Roman" w:cs="Times New Roman"/>
          <w:sz w:val="24"/>
          <w:szCs w:val="24"/>
        </w:rPr>
        <w:footnoteReference w:id="7"/>
      </w:r>
      <w:r w:rsidR="003C419A" w:rsidRPr="00F36114">
        <w:rPr>
          <w:rFonts w:ascii="Times New Roman" w:hAnsi="Times New Roman" w:cs="Times New Roman"/>
          <w:sz w:val="24"/>
          <w:szCs w:val="24"/>
        </w:rPr>
        <w:t xml:space="preserve"> </w:t>
      </w:r>
      <w:r w:rsidR="00584343" w:rsidRPr="00F36114">
        <w:rPr>
          <w:rFonts w:ascii="Times New Roman" w:hAnsi="Times New Roman" w:cs="Times New Roman"/>
          <w:sz w:val="24"/>
          <w:szCs w:val="24"/>
        </w:rPr>
        <w:t>TCPA believes it is premature for the Commission to decide on the key RTC variables without the aid of an independent consultant to inform the Commission of the trade-offs inherent in those decisions</w:t>
      </w:r>
      <w:r w:rsidR="006E0F2C">
        <w:rPr>
          <w:rFonts w:ascii="Times New Roman" w:hAnsi="Times New Roman" w:cs="Times New Roman"/>
          <w:sz w:val="24"/>
          <w:szCs w:val="24"/>
        </w:rPr>
        <w:t xml:space="preserve">. The selection of the RTC variables </w:t>
      </w:r>
      <w:r w:rsidR="00A53C05">
        <w:rPr>
          <w:rFonts w:ascii="Times New Roman" w:hAnsi="Times New Roman" w:cs="Times New Roman"/>
          <w:sz w:val="24"/>
          <w:szCs w:val="24"/>
        </w:rPr>
        <w:t xml:space="preserve">will unquestionably </w:t>
      </w:r>
      <w:r w:rsidR="006E0F2C">
        <w:rPr>
          <w:rFonts w:ascii="Times New Roman" w:hAnsi="Times New Roman" w:cs="Times New Roman"/>
          <w:sz w:val="24"/>
          <w:szCs w:val="24"/>
        </w:rPr>
        <w:t>have an impact on resource adequacy and should be carefully analyzed.</w:t>
      </w:r>
      <w:r w:rsidR="006E0F2C" w:rsidRPr="00F36114">
        <w:rPr>
          <w:rFonts w:ascii="Times New Roman" w:hAnsi="Times New Roman" w:cs="Times New Roman"/>
          <w:sz w:val="24"/>
          <w:szCs w:val="24"/>
        </w:rPr>
        <w:t xml:space="preserve"> </w:t>
      </w:r>
      <w:r w:rsidR="006E0F2C">
        <w:rPr>
          <w:rFonts w:ascii="Times New Roman" w:hAnsi="Times New Roman" w:cs="Times New Roman"/>
          <w:sz w:val="24"/>
          <w:szCs w:val="24"/>
        </w:rPr>
        <w:t>Ultimately, the</w:t>
      </w:r>
      <w:r w:rsidR="006E0F2C" w:rsidRPr="00F36114">
        <w:rPr>
          <w:rFonts w:ascii="Times New Roman" w:hAnsi="Times New Roman" w:cs="Times New Roman"/>
          <w:sz w:val="24"/>
          <w:szCs w:val="24"/>
        </w:rPr>
        <w:t xml:space="preserve"> </w:t>
      </w:r>
      <w:r w:rsidR="00744D08" w:rsidRPr="00F36114">
        <w:rPr>
          <w:rFonts w:ascii="Times New Roman" w:hAnsi="Times New Roman" w:cs="Times New Roman"/>
          <w:sz w:val="24"/>
          <w:szCs w:val="24"/>
        </w:rPr>
        <w:t xml:space="preserve">values </w:t>
      </w:r>
      <w:r w:rsidR="006E0F2C">
        <w:rPr>
          <w:rFonts w:ascii="Times New Roman" w:hAnsi="Times New Roman" w:cs="Times New Roman"/>
          <w:sz w:val="24"/>
          <w:szCs w:val="24"/>
        </w:rPr>
        <w:t xml:space="preserve">chosen by </w:t>
      </w:r>
      <w:r w:rsidR="006B6756" w:rsidRPr="00F36114">
        <w:rPr>
          <w:rFonts w:ascii="Times New Roman" w:hAnsi="Times New Roman" w:cs="Times New Roman"/>
          <w:sz w:val="24"/>
          <w:szCs w:val="24"/>
        </w:rPr>
        <w:t xml:space="preserve">the Commission </w:t>
      </w:r>
      <w:r w:rsidR="00744D08" w:rsidRPr="00F36114">
        <w:rPr>
          <w:rFonts w:ascii="Times New Roman" w:hAnsi="Times New Roman" w:cs="Times New Roman"/>
          <w:sz w:val="24"/>
          <w:szCs w:val="24"/>
        </w:rPr>
        <w:t xml:space="preserve">should </w:t>
      </w:r>
      <w:r w:rsidR="00CE308B">
        <w:rPr>
          <w:rFonts w:ascii="Times New Roman" w:hAnsi="Times New Roman" w:cs="Times New Roman"/>
          <w:sz w:val="24"/>
          <w:szCs w:val="24"/>
        </w:rPr>
        <w:t xml:space="preserve">at a minimum </w:t>
      </w:r>
      <w:r w:rsidR="006E0F2C">
        <w:rPr>
          <w:rFonts w:ascii="Times New Roman" w:hAnsi="Times New Roman" w:cs="Times New Roman"/>
          <w:sz w:val="24"/>
          <w:szCs w:val="24"/>
        </w:rPr>
        <w:t xml:space="preserve">maintain the status quo and allow for </w:t>
      </w:r>
      <w:r w:rsidR="00744D08" w:rsidRPr="00F36114">
        <w:rPr>
          <w:rFonts w:ascii="Times New Roman" w:hAnsi="Times New Roman" w:cs="Times New Roman"/>
          <w:sz w:val="24"/>
          <w:szCs w:val="24"/>
        </w:rPr>
        <w:t xml:space="preserve">both </w:t>
      </w:r>
      <w:r w:rsidR="006E0F2C">
        <w:rPr>
          <w:rFonts w:ascii="Times New Roman" w:hAnsi="Times New Roman" w:cs="Times New Roman"/>
          <w:sz w:val="24"/>
          <w:szCs w:val="24"/>
        </w:rPr>
        <w:t xml:space="preserve">market participant </w:t>
      </w:r>
      <w:r w:rsidR="00744D08" w:rsidRPr="00F36114">
        <w:rPr>
          <w:rFonts w:ascii="Times New Roman" w:hAnsi="Times New Roman" w:cs="Times New Roman"/>
          <w:sz w:val="24"/>
          <w:szCs w:val="24"/>
        </w:rPr>
        <w:t>offer</w:t>
      </w:r>
      <w:r w:rsidR="006E0F2C">
        <w:rPr>
          <w:rFonts w:ascii="Times New Roman" w:hAnsi="Times New Roman" w:cs="Times New Roman"/>
          <w:sz w:val="24"/>
          <w:szCs w:val="24"/>
        </w:rPr>
        <w:t>s</w:t>
      </w:r>
      <w:r w:rsidR="00744D08" w:rsidRPr="00F36114">
        <w:rPr>
          <w:rFonts w:ascii="Times New Roman" w:hAnsi="Times New Roman" w:cs="Times New Roman"/>
          <w:sz w:val="24"/>
          <w:szCs w:val="24"/>
        </w:rPr>
        <w:t xml:space="preserve"> </w:t>
      </w:r>
      <w:r w:rsidR="006E0F2C">
        <w:rPr>
          <w:rFonts w:ascii="Times New Roman" w:hAnsi="Times New Roman" w:cs="Times New Roman"/>
          <w:sz w:val="24"/>
          <w:szCs w:val="24"/>
        </w:rPr>
        <w:t>and ASDCs to contribut</w:t>
      </w:r>
      <w:r w:rsidR="00CE308B">
        <w:rPr>
          <w:rFonts w:ascii="Times New Roman" w:hAnsi="Times New Roman" w:cs="Times New Roman"/>
          <w:sz w:val="24"/>
          <w:szCs w:val="24"/>
        </w:rPr>
        <w:t>e</w:t>
      </w:r>
      <w:r w:rsidR="006E0F2C">
        <w:rPr>
          <w:rFonts w:ascii="Times New Roman" w:hAnsi="Times New Roman" w:cs="Times New Roman"/>
          <w:sz w:val="24"/>
          <w:szCs w:val="24"/>
        </w:rPr>
        <w:t xml:space="preserve"> to price formation</w:t>
      </w:r>
      <w:r w:rsidR="00014CF6">
        <w:rPr>
          <w:rFonts w:ascii="Times New Roman" w:hAnsi="Times New Roman" w:cs="Times New Roman"/>
          <w:sz w:val="24"/>
          <w:szCs w:val="24"/>
        </w:rPr>
        <w:t>, though</w:t>
      </w:r>
      <w:r w:rsidR="006E0F2C">
        <w:rPr>
          <w:rFonts w:ascii="Times New Roman" w:hAnsi="Times New Roman" w:cs="Times New Roman"/>
          <w:sz w:val="24"/>
          <w:szCs w:val="24"/>
        </w:rPr>
        <w:t xml:space="preserve"> TCPA expects ASDCs to be the primary driver for scarcity price formation.</w:t>
      </w:r>
    </w:p>
    <w:p w14:paraId="00B32CB0" w14:textId="69F52D6F" w:rsidR="00830A11" w:rsidRPr="00F36114" w:rsidRDefault="00B3660E" w:rsidP="0033495B">
      <w:pPr>
        <w:spacing w:line="360" w:lineRule="auto"/>
        <w:ind w:firstLine="720"/>
        <w:jc w:val="both"/>
        <w:rPr>
          <w:rFonts w:ascii="Times New Roman" w:hAnsi="Times New Roman" w:cs="Times New Roman"/>
          <w:sz w:val="24"/>
          <w:szCs w:val="24"/>
        </w:rPr>
      </w:pPr>
      <w:r w:rsidRPr="00F36114">
        <w:rPr>
          <w:rFonts w:ascii="Times New Roman" w:hAnsi="Times New Roman" w:cs="Times New Roman"/>
          <w:sz w:val="24"/>
          <w:szCs w:val="24"/>
        </w:rPr>
        <w:t>Under the ORDC</w:t>
      </w:r>
      <w:r w:rsidR="0064567A" w:rsidRPr="00F36114">
        <w:rPr>
          <w:rFonts w:ascii="Times New Roman" w:hAnsi="Times New Roman" w:cs="Times New Roman"/>
          <w:sz w:val="24"/>
          <w:szCs w:val="24"/>
        </w:rPr>
        <w:t xml:space="preserve"> (which would be </w:t>
      </w:r>
      <w:r w:rsidR="006E0F2C">
        <w:rPr>
          <w:rFonts w:ascii="Times New Roman" w:hAnsi="Times New Roman" w:cs="Times New Roman"/>
          <w:sz w:val="24"/>
          <w:szCs w:val="24"/>
        </w:rPr>
        <w:t xml:space="preserve">replaced by </w:t>
      </w:r>
      <w:r w:rsidR="002C69C5">
        <w:rPr>
          <w:rFonts w:ascii="Times New Roman" w:hAnsi="Times New Roman" w:cs="Times New Roman"/>
          <w:sz w:val="24"/>
          <w:szCs w:val="24"/>
        </w:rPr>
        <w:t xml:space="preserve">multiple </w:t>
      </w:r>
      <w:r w:rsidR="006E0F2C">
        <w:rPr>
          <w:rFonts w:ascii="Times New Roman" w:hAnsi="Times New Roman" w:cs="Times New Roman"/>
          <w:sz w:val="24"/>
          <w:szCs w:val="24"/>
        </w:rPr>
        <w:t>individual ASDCs</w:t>
      </w:r>
      <w:r w:rsidR="006E0F2C" w:rsidRPr="00F36114">
        <w:rPr>
          <w:rFonts w:ascii="Times New Roman" w:hAnsi="Times New Roman" w:cs="Times New Roman"/>
          <w:sz w:val="24"/>
          <w:szCs w:val="24"/>
        </w:rPr>
        <w:t xml:space="preserve"> </w:t>
      </w:r>
      <w:r w:rsidR="0064567A" w:rsidRPr="00F36114">
        <w:rPr>
          <w:rFonts w:ascii="Times New Roman" w:hAnsi="Times New Roman" w:cs="Times New Roman"/>
          <w:sz w:val="24"/>
          <w:szCs w:val="24"/>
        </w:rPr>
        <w:t>in the RTC construct)</w:t>
      </w:r>
      <w:r w:rsidRPr="00F36114">
        <w:rPr>
          <w:rFonts w:ascii="Times New Roman" w:hAnsi="Times New Roman" w:cs="Times New Roman"/>
          <w:sz w:val="24"/>
          <w:szCs w:val="24"/>
        </w:rPr>
        <w:t>, prices reach t</w:t>
      </w:r>
      <w:r w:rsidR="00DA1C8B" w:rsidRPr="00F36114">
        <w:rPr>
          <w:rFonts w:ascii="Times New Roman" w:hAnsi="Times New Roman" w:cs="Times New Roman"/>
          <w:sz w:val="24"/>
          <w:szCs w:val="24"/>
        </w:rPr>
        <w:t>oday’s</w:t>
      </w:r>
      <w:r w:rsidRPr="00F36114">
        <w:rPr>
          <w:rFonts w:ascii="Times New Roman" w:hAnsi="Times New Roman" w:cs="Times New Roman"/>
          <w:sz w:val="24"/>
          <w:szCs w:val="24"/>
        </w:rPr>
        <w:t xml:space="preserve"> $9,000/MW</w:t>
      </w:r>
      <w:r w:rsidR="00103FE1" w:rsidRPr="00F36114">
        <w:rPr>
          <w:rFonts w:ascii="Times New Roman" w:hAnsi="Times New Roman" w:cs="Times New Roman"/>
          <w:sz w:val="24"/>
          <w:szCs w:val="24"/>
        </w:rPr>
        <w:t>h</w:t>
      </w:r>
      <w:r w:rsidRPr="00F36114">
        <w:rPr>
          <w:rFonts w:ascii="Times New Roman" w:hAnsi="Times New Roman" w:cs="Times New Roman"/>
          <w:sz w:val="24"/>
          <w:szCs w:val="24"/>
        </w:rPr>
        <w:t xml:space="preserve"> VOLL when reserves drop below the </w:t>
      </w:r>
      <w:r w:rsidR="00606F94" w:rsidRPr="00F36114">
        <w:rPr>
          <w:rFonts w:ascii="Times New Roman" w:hAnsi="Times New Roman" w:cs="Times New Roman"/>
          <w:sz w:val="24"/>
          <w:szCs w:val="24"/>
        </w:rPr>
        <w:t xml:space="preserve">current </w:t>
      </w:r>
      <w:r w:rsidRPr="00F36114">
        <w:rPr>
          <w:rFonts w:ascii="Times New Roman" w:hAnsi="Times New Roman" w:cs="Times New Roman"/>
          <w:sz w:val="24"/>
          <w:szCs w:val="24"/>
        </w:rPr>
        <w:t>MCL</w:t>
      </w:r>
      <w:r w:rsidR="00606F94" w:rsidRPr="00F36114">
        <w:rPr>
          <w:rFonts w:ascii="Times New Roman" w:hAnsi="Times New Roman" w:cs="Times New Roman"/>
          <w:sz w:val="24"/>
          <w:szCs w:val="24"/>
        </w:rPr>
        <w:t xml:space="preserve"> of 2,000 MW</w:t>
      </w:r>
      <w:r w:rsidRPr="00F36114">
        <w:rPr>
          <w:rFonts w:ascii="Times New Roman" w:hAnsi="Times New Roman" w:cs="Times New Roman"/>
          <w:sz w:val="24"/>
          <w:szCs w:val="24"/>
        </w:rPr>
        <w:t xml:space="preserve">. </w:t>
      </w:r>
      <w:r w:rsidR="00606F94" w:rsidRPr="00F36114">
        <w:rPr>
          <w:rFonts w:ascii="Times New Roman" w:hAnsi="Times New Roman" w:cs="Times New Roman"/>
          <w:sz w:val="24"/>
          <w:szCs w:val="24"/>
        </w:rPr>
        <w:t>Directionally, t</w:t>
      </w:r>
      <w:r w:rsidR="00ED2BBE" w:rsidRPr="00F36114">
        <w:rPr>
          <w:rFonts w:ascii="Times New Roman" w:hAnsi="Times New Roman" w:cs="Times New Roman"/>
          <w:sz w:val="24"/>
          <w:szCs w:val="24"/>
        </w:rPr>
        <w:t xml:space="preserve">his </w:t>
      </w:r>
      <w:r w:rsidR="00606F94" w:rsidRPr="00F36114">
        <w:rPr>
          <w:rFonts w:ascii="Times New Roman" w:hAnsi="Times New Roman" w:cs="Times New Roman"/>
          <w:sz w:val="24"/>
          <w:szCs w:val="24"/>
        </w:rPr>
        <w:t xml:space="preserve">general </w:t>
      </w:r>
      <w:r w:rsidR="00ED2BBE" w:rsidRPr="00F36114">
        <w:rPr>
          <w:rFonts w:ascii="Times New Roman" w:hAnsi="Times New Roman" w:cs="Times New Roman"/>
          <w:sz w:val="24"/>
          <w:szCs w:val="24"/>
        </w:rPr>
        <w:t>outcome should continue to occur foll</w:t>
      </w:r>
      <w:r w:rsidR="0033495B" w:rsidRPr="00F36114">
        <w:rPr>
          <w:rFonts w:ascii="Times New Roman" w:hAnsi="Times New Roman" w:cs="Times New Roman"/>
          <w:sz w:val="24"/>
          <w:szCs w:val="24"/>
        </w:rPr>
        <w:t>owing the implementation of RTC, and RTC should not degrade the expected</w:t>
      </w:r>
      <w:r w:rsidR="00330248" w:rsidRPr="00F36114">
        <w:rPr>
          <w:rFonts w:ascii="Times New Roman" w:hAnsi="Times New Roman" w:cs="Times New Roman"/>
          <w:sz w:val="24"/>
          <w:szCs w:val="24"/>
        </w:rPr>
        <w:t xml:space="preserve"> MERM of </w:t>
      </w:r>
      <w:r w:rsidR="009F424F">
        <w:rPr>
          <w:rFonts w:ascii="Times New Roman" w:hAnsi="Times New Roman" w:cs="Times New Roman"/>
          <w:sz w:val="24"/>
          <w:szCs w:val="24"/>
        </w:rPr>
        <w:t>11</w:t>
      </w:r>
      <w:r w:rsidR="00330248" w:rsidRPr="00F36114">
        <w:rPr>
          <w:rFonts w:ascii="Times New Roman" w:hAnsi="Times New Roman" w:cs="Times New Roman"/>
          <w:sz w:val="24"/>
          <w:szCs w:val="24"/>
        </w:rPr>
        <w:t xml:space="preserve"> percent</w:t>
      </w:r>
      <w:r w:rsidR="009F424F">
        <w:rPr>
          <w:rFonts w:ascii="Times New Roman" w:hAnsi="Times New Roman" w:cs="Times New Roman"/>
          <w:sz w:val="24"/>
          <w:szCs w:val="24"/>
        </w:rPr>
        <w:t xml:space="preserve"> following the implementation of the 0.5 LOLP shift</w:t>
      </w:r>
      <w:r w:rsidR="00023F28">
        <w:rPr>
          <w:rFonts w:ascii="Times New Roman" w:hAnsi="Times New Roman" w:cs="Times New Roman"/>
          <w:sz w:val="24"/>
          <w:szCs w:val="24"/>
        </w:rPr>
        <w:t>:</w:t>
      </w:r>
      <w:r w:rsidR="00D56F8D">
        <w:rPr>
          <w:rStyle w:val="FootnoteReference"/>
          <w:rFonts w:ascii="Times New Roman" w:hAnsi="Times New Roman" w:cs="Times New Roman"/>
          <w:sz w:val="24"/>
          <w:szCs w:val="24"/>
        </w:rPr>
        <w:footnoteReference w:id="8"/>
      </w:r>
    </w:p>
    <w:p w14:paraId="74C5FE40" w14:textId="77777777" w:rsidR="00830A11" w:rsidRPr="00F36114" w:rsidRDefault="00330248" w:rsidP="00330248">
      <w:pPr>
        <w:spacing w:after="360" w:line="240" w:lineRule="auto"/>
        <w:ind w:left="720" w:right="720"/>
        <w:jc w:val="both"/>
        <w:rPr>
          <w:rFonts w:ascii="Times New Roman" w:hAnsi="Times New Roman" w:cs="Times New Roman"/>
          <w:sz w:val="24"/>
          <w:szCs w:val="24"/>
        </w:rPr>
      </w:pPr>
      <w:r w:rsidRPr="00F36114">
        <w:rPr>
          <w:rFonts w:ascii="Times New Roman" w:hAnsi="Times New Roman" w:cs="Times New Roman"/>
          <w:sz w:val="24"/>
          <w:szCs w:val="24"/>
        </w:rPr>
        <w:t xml:space="preserve">The MERM describes the reserve margin that the market can be expected to support in equilibrium, as investment in new supply resources responds to expected market conditions. This concept is relevant in ERCOT because, unlike all other electricity systems in North America, ERCOT does not have a resource adequacy reliability standard or reserve margin requirement. In ERCOT, the reserve margin is </w:t>
      </w:r>
      <w:r w:rsidRPr="00F36114">
        <w:rPr>
          <w:rFonts w:ascii="Times New Roman" w:hAnsi="Times New Roman" w:cs="Times New Roman"/>
          <w:sz w:val="24"/>
          <w:szCs w:val="24"/>
        </w:rPr>
        <w:lastRenderedPageBreak/>
        <w:t>ultimately determined by suppliers’ costs and willingness to invest based on market prices, where prices are determined by market fundamentals and by the administratively-determined … ORDC during tight market conditions. This approach creates a supply response to changes in energy market prices towards a “market equilibrium”; low reserve margins cause high energy and ancillary service (A/S) prices and attract investment in new resources, and investment will continue until high reserve margins result in prices too low to support further investment.</w:t>
      </w:r>
      <w:r w:rsidR="00A90231" w:rsidRPr="00F36114">
        <w:rPr>
          <w:rStyle w:val="FootnoteReference"/>
          <w:rFonts w:ascii="Times New Roman" w:hAnsi="Times New Roman" w:cs="Times New Roman"/>
          <w:sz w:val="24"/>
          <w:szCs w:val="24"/>
        </w:rPr>
        <w:footnoteReference w:id="9"/>
      </w:r>
    </w:p>
    <w:p w14:paraId="6AB7E4CB" w14:textId="0FBF4F0C" w:rsidR="00830A11" w:rsidRPr="00F36114" w:rsidRDefault="00793DDA" w:rsidP="003C4953">
      <w:pPr>
        <w:spacing w:line="360" w:lineRule="auto"/>
        <w:ind w:firstLine="720"/>
        <w:jc w:val="both"/>
        <w:rPr>
          <w:rFonts w:ascii="Times New Roman" w:hAnsi="Times New Roman" w:cs="Times New Roman"/>
          <w:color w:val="000000" w:themeColor="text1"/>
          <w:sz w:val="24"/>
          <w:szCs w:val="24"/>
        </w:rPr>
      </w:pPr>
      <w:r w:rsidRPr="00F36114">
        <w:rPr>
          <w:rFonts w:ascii="Times New Roman" w:hAnsi="Times New Roman" w:cs="Times New Roman"/>
          <w:sz w:val="24"/>
          <w:szCs w:val="24"/>
        </w:rPr>
        <w:t>The market is</w:t>
      </w:r>
      <w:r w:rsidR="00F80F3E" w:rsidRPr="00F36114">
        <w:rPr>
          <w:rFonts w:ascii="Times New Roman" w:hAnsi="Times New Roman" w:cs="Times New Roman"/>
          <w:sz w:val="24"/>
          <w:szCs w:val="24"/>
        </w:rPr>
        <w:t xml:space="preserve"> </w:t>
      </w:r>
      <w:r w:rsidRPr="00F36114">
        <w:rPr>
          <w:rFonts w:ascii="Times New Roman" w:hAnsi="Times New Roman" w:cs="Times New Roman"/>
          <w:sz w:val="24"/>
          <w:szCs w:val="24"/>
        </w:rPr>
        <w:t xml:space="preserve">not </w:t>
      </w:r>
      <w:r w:rsidR="00F80F3E" w:rsidRPr="00F36114">
        <w:rPr>
          <w:rFonts w:ascii="Times New Roman" w:hAnsi="Times New Roman" w:cs="Times New Roman"/>
          <w:sz w:val="24"/>
          <w:szCs w:val="24"/>
        </w:rPr>
        <w:t xml:space="preserve">currently </w:t>
      </w:r>
      <w:r w:rsidRPr="00F36114">
        <w:rPr>
          <w:rFonts w:ascii="Times New Roman" w:hAnsi="Times New Roman" w:cs="Times New Roman"/>
          <w:sz w:val="24"/>
          <w:szCs w:val="24"/>
        </w:rPr>
        <w:t xml:space="preserve">in equilibrium, with </w:t>
      </w:r>
      <w:r w:rsidR="00F80F3E" w:rsidRPr="00F36114">
        <w:rPr>
          <w:rFonts w:ascii="Times New Roman" w:hAnsi="Times New Roman" w:cs="Times New Roman"/>
          <w:sz w:val="24"/>
          <w:szCs w:val="24"/>
        </w:rPr>
        <w:t xml:space="preserve">planning </w:t>
      </w:r>
      <w:r w:rsidRPr="00F36114">
        <w:rPr>
          <w:rFonts w:ascii="Times New Roman" w:hAnsi="Times New Roman" w:cs="Times New Roman"/>
          <w:sz w:val="24"/>
          <w:szCs w:val="24"/>
        </w:rPr>
        <w:t xml:space="preserve">reserve margins this summer </w:t>
      </w:r>
      <w:r w:rsidR="00F80F3E" w:rsidRPr="00F36114">
        <w:rPr>
          <w:rFonts w:ascii="Times New Roman" w:hAnsi="Times New Roman" w:cs="Times New Roman"/>
          <w:sz w:val="24"/>
          <w:szCs w:val="24"/>
        </w:rPr>
        <w:t xml:space="preserve">in </w:t>
      </w:r>
      <w:r w:rsidRPr="00F36114">
        <w:rPr>
          <w:rFonts w:ascii="Times New Roman" w:hAnsi="Times New Roman" w:cs="Times New Roman"/>
          <w:sz w:val="24"/>
          <w:szCs w:val="24"/>
        </w:rPr>
        <w:t>the 7</w:t>
      </w:r>
      <w:r w:rsidR="00F80F3E" w:rsidRPr="00F36114">
        <w:rPr>
          <w:rFonts w:ascii="Times New Roman" w:hAnsi="Times New Roman" w:cs="Times New Roman"/>
          <w:sz w:val="24"/>
          <w:szCs w:val="24"/>
        </w:rPr>
        <w:t>.5</w:t>
      </w:r>
      <w:r w:rsidRPr="00F36114">
        <w:rPr>
          <w:rFonts w:ascii="Times New Roman" w:hAnsi="Times New Roman" w:cs="Times New Roman"/>
          <w:sz w:val="24"/>
          <w:szCs w:val="24"/>
        </w:rPr>
        <w:t xml:space="preserve"> percent range</w:t>
      </w:r>
      <w:r w:rsidR="00F139B9" w:rsidRPr="00F36114">
        <w:rPr>
          <w:rFonts w:ascii="Times New Roman" w:hAnsi="Times New Roman" w:cs="Times New Roman"/>
          <w:sz w:val="24"/>
          <w:szCs w:val="24"/>
        </w:rPr>
        <w:t>,</w:t>
      </w:r>
      <w:r w:rsidRPr="00F36114">
        <w:rPr>
          <w:rStyle w:val="FootnoteReference"/>
          <w:rFonts w:ascii="Times New Roman" w:hAnsi="Times New Roman" w:cs="Times New Roman"/>
          <w:sz w:val="24"/>
          <w:szCs w:val="24"/>
        </w:rPr>
        <w:footnoteReference w:id="10"/>
      </w:r>
      <w:r w:rsidR="00F139B9" w:rsidRPr="00F36114">
        <w:rPr>
          <w:rFonts w:ascii="Times New Roman" w:hAnsi="Times New Roman" w:cs="Times New Roman"/>
          <w:sz w:val="24"/>
          <w:szCs w:val="24"/>
        </w:rPr>
        <w:t xml:space="preserve"> and movement toward equilibrium will take some time, as the Commission’s recent decisions to improve scarcity price formation have only recently</w:t>
      </w:r>
      <w:r w:rsidR="00D11ACB" w:rsidRPr="00F36114">
        <w:rPr>
          <w:rFonts w:ascii="Times New Roman" w:hAnsi="Times New Roman" w:cs="Times New Roman"/>
          <w:sz w:val="24"/>
          <w:szCs w:val="24"/>
        </w:rPr>
        <w:t xml:space="preserve"> </w:t>
      </w:r>
      <w:r w:rsidR="001527C2" w:rsidRPr="00F36114">
        <w:rPr>
          <w:rFonts w:ascii="Times New Roman" w:hAnsi="Times New Roman" w:cs="Times New Roman"/>
          <w:sz w:val="24"/>
          <w:szCs w:val="24"/>
        </w:rPr>
        <w:t xml:space="preserve">(and partially) </w:t>
      </w:r>
      <w:r w:rsidR="00F139B9" w:rsidRPr="00F36114">
        <w:rPr>
          <w:rFonts w:ascii="Times New Roman" w:hAnsi="Times New Roman" w:cs="Times New Roman"/>
          <w:sz w:val="24"/>
          <w:szCs w:val="24"/>
        </w:rPr>
        <w:t>gone into effect.</w:t>
      </w:r>
      <w:r w:rsidR="003C4953" w:rsidRPr="00F36114">
        <w:rPr>
          <w:rFonts w:ascii="Times New Roman" w:hAnsi="Times New Roman" w:cs="Times New Roman"/>
          <w:sz w:val="24"/>
          <w:szCs w:val="24"/>
        </w:rPr>
        <w:t xml:space="preserve"> </w:t>
      </w:r>
      <w:r w:rsidR="00F139B9" w:rsidRPr="00F36114">
        <w:rPr>
          <w:rFonts w:ascii="Times New Roman" w:hAnsi="Times New Roman" w:cs="Times New Roman"/>
          <w:sz w:val="24"/>
          <w:szCs w:val="24"/>
        </w:rPr>
        <w:t xml:space="preserve">The </w:t>
      </w:r>
      <w:r w:rsidR="00F139B9" w:rsidRPr="00F36114">
        <w:rPr>
          <w:rFonts w:ascii="Times New Roman" w:hAnsi="Times New Roman" w:cs="Times New Roman"/>
          <w:color w:val="000000" w:themeColor="text1"/>
          <w:sz w:val="24"/>
          <w:szCs w:val="24"/>
        </w:rPr>
        <w:t xml:space="preserve">market uncertainty created by the looming RTC implementation also further complicates </w:t>
      </w:r>
      <w:r w:rsidR="002852C3">
        <w:rPr>
          <w:rFonts w:ascii="Times New Roman" w:hAnsi="Times New Roman" w:cs="Times New Roman"/>
          <w:color w:val="000000" w:themeColor="text1"/>
          <w:sz w:val="24"/>
          <w:szCs w:val="24"/>
        </w:rPr>
        <w:t>capital-intensive</w:t>
      </w:r>
      <w:r w:rsidR="00831B62">
        <w:rPr>
          <w:rFonts w:ascii="Times New Roman" w:hAnsi="Times New Roman" w:cs="Times New Roman"/>
          <w:color w:val="000000" w:themeColor="text1"/>
          <w:sz w:val="24"/>
          <w:szCs w:val="24"/>
        </w:rPr>
        <w:t xml:space="preserve"> and long-lasting</w:t>
      </w:r>
      <w:r w:rsidR="002852C3">
        <w:rPr>
          <w:rFonts w:ascii="Times New Roman" w:hAnsi="Times New Roman" w:cs="Times New Roman"/>
          <w:color w:val="000000" w:themeColor="text1"/>
          <w:sz w:val="24"/>
          <w:szCs w:val="24"/>
        </w:rPr>
        <w:t xml:space="preserve"> </w:t>
      </w:r>
      <w:r w:rsidR="00F139B9" w:rsidRPr="00F36114">
        <w:rPr>
          <w:rFonts w:ascii="Times New Roman" w:hAnsi="Times New Roman" w:cs="Times New Roman"/>
          <w:color w:val="000000" w:themeColor="text1"/>
          <w:sz w:val="24"/>
          <w:szCs w:val="24"/>
        </w:rPr>
        <w:t xml:space="preserve">generation investment considerations. </w:t>
      </w:r>
      <w:r w:rsidR="003C4953" w:rsidRPr="00F36114">
        <w:rPr>
          <w:rFonts w:ascii="Times New Roman" w:hAnsi="Times New Roman" w:cs="Times New Roman"/>
          <w:color w:val="000000" w:themeColor="text1"/>
          <w:sz w:val="24"/>
          <w:szCs w:val="24"/>
        </w:rPr>
        <w:t xml:space="preserve">The Commission should not adopt RTC parameters that will harm </w:t>
      </w:r>
      <w:r w:rsidR="0033495B" w:rsidRPr="00F36114">
        <w:rPr>
          <w:rFonts w:ascii="Times New Roman" w:hAnsi="Times New Roman" w:cs="Times New Roman"/>
          <w:color w:val="000000" w:themeColor="text1"/>
          <w:sz w:val="24"/>
          <w:szCs w:val="24"/>
        </w:rPr>
        <w:t>the</w:t>
      </w:r>
      <w:r w:rsidR="003C4953" w:rsidRPr="00F36114">
        <w:rPr>
          <w:rFonts w:ascii="Times New Roman" w:hAnsi="Times New Roman" w:cs="Times New Roman"/>
          <w:color w:val="000000" w:themeColor="text1"/>
          <w:sz w:val="24"/>
          <w:szCs w:val="24"/>
        </w:rPr>
        <w:t xml:space="preserve"> pricing signals</w:t>
      </w:r>
      <w:r w:rsidR="0033495B" w:rsidRPr="00F36114">
        <w:rPr>
          <w:rFonts w:ascii="Times New Roman" w:hAnsi="Times New Roman" w:cs="Times New Roman"/>
          <w:color w:val="000000" w:themeColor="text1"/>
          <w:sz w:val="24"/>
          <w:szCs w:val="24"/>
        </w:rPr>
        <w:t xml:space="preserve"> that are necessary for the market to </w:t>
      </w:r>
      <w:r w:rsidR="00F139B9" w:rsidRPr="00F36114">
        <w:rPr>
          <w:rFonts w:ascii="Times New Roman" w:hAnsi="Times New Roman" w:cs="Times New Roman"/>
          <w:color w:val="000000" w:themeColor="text1"/>
          <w:sz w:val="24"/>
          <w:szCs w:val="24"/>
        </w:rPr>
        <w:t xml:space="preserve">move towards </w:t>
      </w:r>
      <w:r w:rsidR="0033495B" w:rsidRPr="00F36114">
        <w:rPr>
          <w:rFonts w:ascii="Times New Roman" w:hAnsi="Times New Roman" w:cs="Times New Roman"/>
          <w:color w:val="000000" w:themeColor="text1"/>
          <w:sz w:val="24"/>
          <w:szCs w:val="24"/>
        </w:rPr>
        <w:t>equilibrium</w:t>
      </w:r>
      <w:r w:rsidR="003C4953" w:rsidRPr="00F36114">
        <w:rPr>
          <w:rFonts w:ascii="Times New Roman" w:hAnsi="Times New Roman" w:cs="Times New Roman"/>
          <w:color w:val="000000" w:themeColor="text1"/>
          <w:sz w:val="24"/>
          <w:szCs w:val="24"/>
        </w:rPr>
        <w:t xml:space="preserve">. </w:t>
      </w:r>
    </w:p>
    <w:p w14:paraId="2BD13BC1" w14:textId="62F3C6BF" w:rsidR="00E1587E" w:rsidRPr="00F36114" w:rsidRDefault="002E23CE" w:rsidP="00426245">
      <w:pPr>
        <w:spacing w:line="360" w:lineRule="auto"/>
        <w:ind w:firstLine="720"/>
        <w:jc w:val="both"/>
        <w:rPr>
          <w:rFonts w:ascii="Times New Roman" w:hAnsi="Times New Roman" w:cs="Times New Roman"/>
          <w:color w:val="000000" w:themeColor="text1"/>
          <w:sz w:val="24"/>
          <w:szCs w:val="24"/>
        </w:rPr>
      </w:pPr>
      <w:r w:rsidRPr="00F36114">
        <w:rPr>
          <w:rFonts w:ascii="Times New Roman" w:hAnsi="Times New Roman" w:cs="Times New Roman"/>
          <w:color w:val="000000" w:themeColor="text1"/>
          <w:sz w:val="24"/>
          <w:szCs w:val="24"/>
        </w:rPr>
        <w:t>TCPA provides a couple of</w:t>
      </w:r>
      <w:r w:rsidR="003C4953" w:rsidRPr="00F36114">
        <w:rPr>
          <w:rFonts w:ascii="Times New Roman" w:hAnsi="Times New Roman" w:cs="Times New Roman"/>
          <w:color w:val="000000" w:themeColor="text1"/>
          <w:sz w:val="24"/>
          <w:szCs w:val="24"/>
        </w:rPr>
        <w:t xml:space="preserve"> examples</w:t>
      </w:r>
      <w:r w:rsidRPr="00F36114">
        <w:rPr>
          <w:rFonts w:ascii="Times New Roman" w:hAnsi="Times New Roman" w:cs="Times New Roman"/>
          <w:color w:val="000000" w:themeColor="text1"/>
          <w:sz w:val="24"/>
          <w:szCs w:val="24"/>
        </w:rPr>
        <w:t xml:space="preserve"> to</w:t>
      </w:r>
      <w:r w:rsidR="003C4953" w:rsidRPr="00F36114">
        <w:rPr>
          <w:rFonts w:ascii="Times New Roman" w:hAnsi="Times New Roman" w:cs="Times New Roman"/>
          <w:color w:val="000000" w:themeColor="text1"/>
          <w:sz w:val="24"/>
          <w:szCs w:val="24"/>
        </w:rPr>
        <w:t xml:space="preserve"> help illustrate the </w:t>
      </w:r>
      <w:r w:rsidR="0064567A" w:rsidRPr="00F36114">
        <w:rPr>
          <w:rFonts w:ascii="Times New Roman" w:hAnsi="Times New Roman" w:cs="Times New Roman"/>
          <w:color w:val="000000" w:themeColor="text1"/>
          <w:sz w:val="24"/>
          <w:szCs w:val="24"/>
        </w:rPr>
        <w:t>challenge</w:t>
      </w:r>
      <w:r w:rsidR="003C4953" w:rsidRPr="00F36114">
        <w:rPr>
          <w:rFonts w:ascii="Times New Roman" w:hAnsi="Times New Roman" w:cs="Times New Roman"/>
          <w:color w:val="000000" w:themeColor="text1"/>
          <w:sz w:val="24"/>
          <w:szCs w:val="24"/>
        </w:rPr>
        <w:t xml:space="preserve"> of establishing the </w:t>
      </w:r>
      <w:r w:rsidR="00265209" w:rsidRPr="00F36114">
        <w:rPr>
          <w:rFonts w:ascii="Times New Roman" w:hAnsi="Times New Roman" w:cs="Times New Roman"/>
          <w:color w:val="000000" w:themeColor="text1"/>
          <w:sz w:val="24"/>
          <w:szCs w:val="24"/>
        </w:rPr>
        <w:t>“</w:t>
      </w:r>
      <w:r w:rsidR="003C4953" w:rsidRPr="00F36114">
        <w:rPr>
          <w:rFonts w:ascii="Times New Roman" w:hAnsi="Times New Roman" w:cs="Times New Roman"/>
          <w:color w:val="000000" w:themeColor="text1"/>
          <w:sz w:val="24"/>
          <w:szCs w:val="24"/>
        </w:rPr>
        <w:t>right</w:t>
      </w:r>
      <w:r w:rsidR="00265209" w:rsidRPr="00F36114">
        <w:rPr>
          <w:rFonts w:ascii="Times New Roman" w:hAnsi="Times New Roman" w:cs="Times New Roman"/>
          <w:color w:val="000000" w:themeColor="text1"/>
          <w:sz w:val="24"/>
          <w:szCs w:val="24"/>
        </w:rPr>
        <w:t>”</w:t>
      </w:r>
      <w:r w:rsidR="003C4953" w:rsidRPr="00F36114">
        <w:rPr>
          <w:rFonts w:ascii="Times New Roman" w:hAnsi="Times New Roman" w:cs="Times New Roman"/>
          <w:color w:val="000000" w:themeColor="text1"/>
          <w:sz w:val="24"/>
          <w:szCs w:val="24"/>
        </w:rPr>
        <w:t xml:space="preserve"> RTC p</w:t>
      </w:r>
      <w:r w:rsidR="007111EC" w:rsidRPr="00F36114">
        <w:rPr>
          <w:rFonts w:ascii="Times New Roman" w:hAnsi="Times New Roman" w:cs="Times New Roman"/>
          <w:color w:val="000000" w:themeColor="text1"/>
          <w:sz w:val="24"/>
          <w:szCs w:val="24"/>
        </w:rPr>
        <w:t>arameters to achieve the “do no harm</w:t>
      </w:r>
      <w:r w:rsidR="00A90231" w:rsidRPr="00F36114">
        <w:rPr>
          <w:rFonts w:ascii="Times New Roman" w:hAnsi="Times New Roman" w:cs="Times New Roman"/>
          <w:color w:val="000000" w:themeColor="text1"/>
          <w:sz w:val="24"/>
          <w:szCs w:val="24"/>
        </w:rPr>
        <w:t xml:space="preserve"> to resource adequacy</w:t>
      </w:r>
      <w:r w:rsidR="00265209" w:rsidRPr="00F36114">
        <w:rPr>
          <w:rFonts w:ascii="Times New Roman" w:hAnsi="Times New Roman" w:cs="Times New Roman"/>
          <w:color w:val="000000" w:themeColor="text1"/>
          <w:sz w:val="24"/>
          <w:szCs w:val="24"/>
        </w:rPr>
        <w:t>”</w:t>
      </w:r>
      <w:r w:rsidR="007111EC" w:rsidRPr="00F36114">
        <w:rPr>
          <w:rFonts w:ascii="Times New Roman" w:hAnsi="Times New Roman" w:cs="Times New Roman"/>
          <w:color w:val="000000" w:themeColor="text1"/>
          <w:sz w:val="24"/>
          <w:szCs w:val="24"/>
        </w:rPr>
        <w:t xml:space="preserve"> objective</w:t>
      </w:r>
      <w:r w:rsidR="00A90231" w:rsidRPr="00F36114">
        <w:rPr>
          <w:rFonts w:ascii="Times New Roman" w:hAnsi="Times New Roman" w:cs="Times New Roman"/>
          <w:color w:val="000000" w:themeColor="text1"/>
          <w:sz w:val="24"/>
          <w:szCs w:val="24"/>
        </w:rPr>
        <w:t xml:space="preserve"> that should inform the Commission’s decisions on the major RTC design elements</w:t>
      </w:r>
      <w:r w:rsidR="007111EC" w:rsidRPr="00F36114">
        <w:rPr>
          <w:rFonts w:ascii="Times New Roman" w:hAnsi="Times New Roman" w:cs="Times New Roman"/>
          <w:color w:val="000000" w:themeColor="text1"/>
          <w:sz w:val="24"/>
          <w:szCs w:val="24"/>
        </w:rPr>
        <w:t xml:space="preserve">. </w:t>
      </w:r>
      <w:r w:rsidR="00E1587E" w:rsidRPr="00F36114">
        <w:rPr>
          <w:rFonts w:ascii="Times New Roman" w:hAnsi="Times New Roman" w:cs="Times New Roman"/>
          <w:color w:val="000000" w:themeColor="text1"/>
          <w:sz w:val="24"/>
          <w:szCs w:val="24"/>
        </w:rPr>
        <w:t xml:space="preserve">To set the framework for these examples, it is </w:t>
      </w:r>
      <w:r w:rsidR="00600516" w:rsidRPr="00F36114">
        <w:rPr>
          <w:rFonts w:ascii="Times New Roman" w:hAnsi="Times New Roman" w:cs="Times New Roman"/>
          <w:color w:val="000000" w:themeColor="text1"/>
          <w:sz w:val="24"/>
          <w:szCs w:val="24"/>
        </w:rPr>
        <w:t>useful</w:t>
      </w:r>
      <w:r w:rsidR="00E1587E" w:rsidRPr="00F36114">
        <w:rPr>
          <w:rFonts w:ascii="Times New Roman" w:hAnsi="Times New Roman" w:cs="Times New Roman"/>
          <w:color w:val="000000" w:themeColor="text1"/>
          <w:sz w:val="24"/>
          <w:szCs w:val="24"/>
        </w:rPr>
        <w:t xml:space="preserve"> to briefly describe the interaction among some of the key </w:t>
      </w:r>
      <w:r w:rsidRPr="00F36114">
        <w:rPr>
          <w:rFonts w:ascii="Times New Roman" w:hAnsi="Times New Roman" w:cs="Times New Roman"/>
          <w:color w:val="000000" w:themeColor="text1"/>
          <w:sz w:val="24"/>
          <w:szCs w:val="24"/>
        </w:rPr>
        <w:t xml:space="preserve">RTC </w:t>
      </w:r>
      <w:r w:rsidR="00E1587E" w:rsidRPr="00F36114">
        <w:rPr>
          <w:rFonts w:ascii="Times New Roman" w:hAnsi="Times New Roman" w:cs="Times New Roman"/>
          <w:color w:val="000000" w:themeColor="text1"/>
          <w:sz w:val="24"/>
          <w:szCs w:val="24"/>
        </w:rPr>
        <w:t>variables</w:t>
      </w:r>
      <w:r w:rsidR="00CA5279" w:rsidRPr="00F36114">
        <w:rPr>
          <w:rFonts w:ascii="Times New Roman" w:hAnsi="Times New Roman" w:cs="Times New Roman"/>
          <w:color w:val="000000" w:themeColor="text1"/>
          <w:sz w:val="24"/>
          <w:szCs w:val="24"/>
        </w:rPr>
        <w:t xml:space="preserve"> and the role </w:t>
      </w:r>
      <w:r w:rsidR="00F61AA3">
        <w:rPr>
          <w:rFonts w:ascii="Times New Roman" w:hAnsi="Times New Roman" w:cs="Times New Roman"/>
          <w:color w:val="000000" w:themeColor="text1"/>
          <w:sz w:val="24"/>
          <w:szCs w:val="24"/>
        </w:rPr>
        <w:t xml:space="preserve">they play </w:t>
      </w:r>
      <w:r w:rsidR="00CA5279" w:rsidRPr="00F36114">
        <w:rPr>
          <w:rFonts w:ascii="Times New Roman" w:hAnsi="Times New Roman" w:cs="Times New Roman"/>
          <w:color w:val="000000" w:themeColor="text1"/>
          <w:sz w:val="24"/>
          <w:szCs w:val="24"/>
        </w:rPr>
        <w:t>in this construct</w:t>
      </w:r>
      <w:r w:rsidR="00426245" w:rsidRPr="00F36114">
        <w:rPr>
          <w:rFonts w:ascii="Times New Roman" w:hAnsi="Times New Roman" w:cs="Times New Roman"/>
          <w:color w:val="000000" w:themeColor="text1"/>
          <w:sz w:val="24"/>
          <w:szCs w:val="24"/>
        </w:rPr>
        <w:t xml:space="preserve"> as compared to today</w:t>
      </w:r>
      <w:r w:rsidR="00E1587E" w:rsidRPr="00F36114">
        <w:rPr>
          <w:rFonts w:ascii="Times New Roman" w:hAnsi="Times New Roman" w:cs="Times New Roman"/>
          <w:color w:val="000000" w:themeColor="text1"/>
          <w:sz w:val="24"/>
          <w:szCs w:val="24"/>
        </w:rPr>
        <w:t xml:space="preserve">. In the RTC construct, the </w:t>
      </w:r>
      <w:r w:rsidR="000D76A8" w:rsidRPr="00F36114">
        <w:rPr>
          <w:rFonts w:ascii="Times New Roman" w:hAnsi="Times New Roman" w:cs="Times New Roman"/>
          <w:color w:val="000000" w:themeColor="text1"/>
          <w:sz w:val="24"/>
          <w:szCs w:val="24"/>
        </w:rPr>
        <w:t>price just before involuntary load shed will be</w:t>
      </w:r>
      <w:r w:rsidR="00600516" w:rsidRPr="00F36114">
        <w:rPr>
          <w:rFonts w:ascii="Times New Roman" w:hAnsi="Times New Roman" w:cs="Times New Roman"/>
          <w:color w:val="000000" w:themeColor="text1"/>
          <w:sz w:val="24"/>
          <w:szCs w:val="24"/>
        </w:rPr>
        <w:t xml:space="preserve"> the </w:t>
      </w:r>
      <w:r w:rsidR="00E1587E" w:rsidRPr="00F36114">
        <w:rPr>
          <w:rFonts w:ascii="Times New Roman" w:hAnsi="Times New Roman" w:cs="Times New Roman"/>
          <w:color w:val="000000" w:themeColor="text1"/>
          <w:sz w:val="24"/>
          <w:szCs w:val="24"/>
        </w:rPr>
        <w:t>ASDC maximum</w:t>
      </w:r>
      <w:r w:rsidRPr="00F36114">
        <w:rPr>
          <w:rFonts w:ascii="Times New Roman" w:hAnsi="Times New Roman" w:cs="Times New Roman"/>
          <w:color w:val="000000" w:themeColor="text1"/>
          <w:sz w:val="24"/>
          <w:szCs w:val="24"/>
        </w:rPr>
        <w:t xml:space="preserve"> plus the </w:t>
      </w:r>
      <w:r w:rsidR="001527C2" w:rsidRPr="00F36114">
        <w:rPr>
          <w:rFonts w:ascii="Times New Roman" w:hAnsi="Times New Roman" w:cs="Times New Roman"/>
          <w:color w:val="000000" w:themeColor="text1"/>
          <w:sz w:val="24"/>
          <w:szCs w:val="24"/>
        </w:rPr>
        <w:t xml:space="preserve">marginal energy offer </w:t>
      </w:r>
      <w:r w:rsidR="00607E09">
        <w:rPr>
          <w:rFonts w:ascii="Times New Roman" w:hAnsi="Times New Roman" w:cs="Times New Roman"/>
          <w:color w:val="000000" w:themeColor="text1"/>
          <w:sz w:val="24"/>
          <w:szCs w:val="24"/>
        </w:rPr>
        <w:t xml:space="preserve">that is converting ancillary service reserves into energy </w:t>
      </w:r>
      <w:r w:rsidR="001527C2" w:rsidRPr="00F36114">
        <w:rPr>
          <w:rFonts w:ascii="Times New Roman" w:hAnsi="Times New Roman" w:cs="Times New Roman"/>
          <w:color w:val="000000" w:themeColor="text1"/>
          <w:sz w:val="24"/>
          <w:szCs w:val="24"/>
        </w:rPr>
        <w:t>(</w:t>
      </w:r>
      <w:r w:rsidR="00607E09">
        <w:rPr>
          <w:rFonts w:ascii="Times New Roman" w:hAnsi="Times New Roman" w:cs="Times New Roman"/>
          <w:color w:val="000000" w:themeColor="text1"/>
          <w:sz w:val="24"/>
          <w:szCs w:val="24"/>
        </w:rPr>
        <w:t xml:space="preserve">at an energy price of </w:t>
      </w:r>
      <w:r w:rsidR="001527C2" w:rsidRPr="00F36114">
        <w:rPr>
          <w:rFonts w:ascii="Times New Roman" w:hAnsi="Times New Roman" w:cs="Times New Roman"/>
          <w:color w:val="000000" w:themeColor="text1"/>
          <w:sz w:val="24"/>
          <w:szCs w:val="24"/>
        </w:rPr>
        <w:t xml:space="preserve">up to </w:t>
      </w:r>
      <w:r w:rsidR="00607E09">
        <w:rPr>
          <w:rFonts w:ascii="Times New Roman" w:hAnsi="Times New Roman" w:cs="Times New Roman"/>
          <w:color w:val="000000" w:themeColor="text1"/>
          <w:sz w:val="24"/>
          <w:szCs w:val="24"/>
        </w:rPr>
        <w:t xml:space="preserve">but not more than </w:t>
      </w:r>
      <w:r w:rsidR="001527C2" w:rsidRPr="00F36114">
        <w:rPr>
          <w:rFonts w:ascii="Times New Roman" w:hAnsi="Times New Roman" w:cs="Times New Roman"/>
          <w:color w:val="000000" w:themeColor="text1"/>
          <w:sz w:val="24"/>
          <w:szCs w:val="24"/>
        </w:rPr>
        <w:t>the SWOC)</w:t>
      </w:r>
      <w:r w:rsidR="004A73AB">
        <w:rPr>
          <w:rFonts w:ascii="Times New Roman" w:hAnsi="Times New Roman" w:cs="Times New Roman"/>
          <w:color w:val="000000" w:themeColor="text1"/>
          <w:sz w:val="24"/>
          <w:szCs w:val="24"/>
        </w:rPr>
        <w:t xml:space="preserve">, </w:t>
      </w:r>
      <w:r w:rsidR="00607E09">
        <w:rPr>
          <w:rFonts w:ascii="Times New Roman" w:hAnsi="Times New Roman" w:cs="Times New Roman"/>
          <w:color w:val="000000" w:themeColor="text1"/>
          <w:sz w:val="24"/>
          <w:szCs w:val="24"/>
        </w:rPr>
        <w:t xml:space="preserve">the sum of </w:t>
      </w:r>
      <w:r w:rsidR="004A73AB">
        <w:rPr>
          <w:rFonts w:ascii="Times New Roman" w:hAnsi="Times New Roman" w:cs="Times New Roman"/>
          <w:color w:val="000000" w:themeColor="text1"/>
          <w:sz w:val="24"/>
          <w:szCs w:val="24"/>
        </w:rPr>
        <w:t>which may be a value less than today’s VOLL of $9,000</w:t>
      </w:r>
      <w:r w:rsidR="00600516" w:rsidRPr="00F36114">
        <w:rPr>
          <w:rFonts w:ascii="Times New Roman" w:hAnsi="Times New Roman" w:cs="Times New Roman"/>
          <w:color w:val="000000" w:themeColor="text1"/>
          <w:sz w:val="24"/>
          <w:szCs w:val="24"/>
        </w:rPr>
        <w:t>. That is</w:t>
      </w:r>
      <w:r w:rsidR="00E1587E" w:rsidRPr="00F36114">
        <w:rPr>
          <w:rFonts w:ascii="Times New Roman" w:hAnsi="Times New Roman" w:cs="Times New Roman"/>
          <w:color w:val="000000" w:themeColor="text1"/>
          <w:sz w:val="24"/>
          <w:szCs w:val="24"/>
        </w:rPr>
        <w:t xml:space="preserve"> because the maximum value on the ASDC curve(s) will be reached only when reserves are </w:t>
      </w:r>
      <w:r w:rsidRPr="00F36114">
        <w:rPr>
          <w:rFonts w:ascii="Times New Roman" w:hAnsi="Times New Roman" w:cs="Times New Roman"/>
          <w:color w:val="000000" w:themeColor="text1"/>
          <w:sz w:val="24"/>
          <w:szCs w:val="24"/>
        </w:rPr>
        <w:t>nearing depletion and</w:t>
      </w:r>
      <w:r w:rsidR="00E3321F" w:rsidRPr="00F36114">
        <w:rPr>
          <w:rFonts w:ascii="Times New Roman" w:hAnsi="Times New Roman" w:cs="Times New Roman"/>
          <w:color w:val="000000" w:themeColor="text1"/>
          <w:sz w:val="24"/>
          <w:szCs w:val="24"/>
        </w:rPr>
        <w:t xml:space="preserve"> R</w:t>
      </w:r>
      <w:r w:rsidR="00E1587E" w:rsidRPr="00F36114">
        <w:rPr>
          <w:rFonts w:ascii="Times New Roman" w:hAnsi="Times New Roman" w:cs="Times New Roman"/>
          <w:color w:val="000000" w:themeColor="text1"/>
          <w:sz w:val="24"/>
          <w:szCs w:val="24"/>
        </w:rPr>
        <w:t xml:space="preserve">TC </w:t>
      </w:r>
      <w:r w:rsidR="00607E09">
        <w:rPr>
          <w:rFonts w:ascii="Times New Roman" w:hAnsi="Times New Roman" w:cs="Times New Roman"/>
          <w:color w:val="000000" w:themeColor="text1"/>
          <w:sz w:val="24"/>
          <w:szCs w:val="24"/>
        </w:rPr>
        <w:t xml:space="preserve">is </w:t>
      </w:r>
      <w:r w:rsidR="00E1587E" w:rsidRPr="00F36114">
        <w:rPr>
          <w:rFonts w:ascii="Times New Roman" w:hAnsi="Times New Roman" w:cs="Times New Roman"/>
          <w:color w:val="000000" w:themeColor="text1"/>
          <w:sz w:val="24"/>
          <w:szCs w:val="24"/>
        </w:rPr>
        <w:t xml:space="preserve">designed to prioritize the dispatch of energy to meet </w:t>
      </w:r>
      <w:r w:rsidRPr="00F36114">
        <w:rPr>
          <w:rFonts w:ascii="Times New Roman" w:hAnsi="Times New Roman" w:cs="Times New Roman"/>
          <w:color w:val="000000" w:themeColor="text1"/>
          <w:sz w:val="24"/>
          <w:szCs w:val="24"/>
        </w:rPr>
        <w:t xml:space="preserve">inflexible system </w:t>
      </w:r>
      <w:r w:rsidR="00E1587E" w:rsidRPr="00F36114">
        <w:rPr>
          <w:rFonts w:ascii="Times New Roman" w:hAnsi="Times New Roman" w:cs="Times New Roman"/>
          <w:color w:val="000000" w:themeColor="text1"/>
          <w:sz w:val="24"/>
          <w:szCs w:val="24"/>
        </w:rPr>
        <w:t>demand in real-time over the reservation of capacity</w:t>
      </w:r>
      <w:r w:rsidR="00600516" w:rsidRPr="00F36114">
        <w:rPr>
          <w:rFonts w:ascii="Times New Roman" w:hAnsi="Times New Roman" w:cs="Times New Roman"/>
          <w:color w:val="000000" w:themeColor="text1"/>
          <w:sz w:val="24"/>
          <w:szCs w:val="24"/>
        </w:rPr>
        <w:t xml:space="preserve"> for ancillary services</w:t>
      </w:r>
      <w:r w:rsidRPr="00F36114">
        <w:rPr>
          <w:rFonts w:ascii="Times New Roman" w:hAnsi="Times New Roman" w:cs="Times New Roman"/>
          <w:color w:val="000000" w:themeColor="text1"/>
          <w:sz w:val="24"/>
          <w:szCs w:val="24"/>
        </w:rPr>
        <w:t>—m</w:t>
      </w:r>
      <w:r w:rsidR="00E3321F" w:rsidRPr="00F36114">
        <w:rPr>
          <w:rFonts w:ascii="Times New Roman" w:hAnsi="Times New Roman" w:cs="Times New Roman"/>
          <w:color w:val="000000" w:themeColor="text1"/>
          <w:sz w:val="24"/>
          <w:szCs w:val="24"/>
        </w:rPr>
        <w:t>eaning that</w:t>
      </w:r>
      <w:r w:rsidR="00426245" w:rsidRPr="00F36114">
        <w:rPr>
          <w:rFonts w:ascii="Times New Roman" w:hAnsi="Times New Roman" w:cs="Times New Roman"/>
          <w:color w:val="000000" w:themeColor="text1"/>
          <w:sz w:val="24"/>
          <w:szCs w:val="24"/>
        </w:rPr>
        <w:t xml:space="preserve"> the ASDC maximum </w:t>
      </w:r>
      <w:r w:rsidR="00426245" w:rsidRPr="00F36114">
        <w:rPr>
          <w:rFonts w:ascii="Times New Roman" w:hAnsi="Times New Roman" w:cs="Times New Roman"/>
          <w:color w:val="000000" w:themeColor="text1"/>
          <w:sz w:val="24"/>
          <w:szCs w:val="24"/>
        </w:rPr>
        <w:lastRenderedPageBreak/>
        <w:t xml:space="preserve">will be reached </w:t>
      </w:r>
      <w:r w:rsidR="00584D01" w:rsidRPr="00F36114">
        <w:rPr>
          <w:rFonts w:ascii="Times New Roman" w:hAnsi="Times New Roman" w:cs="Times New Roman"/>
          <w:color w:val="000000" w:themeColor="text1"/>
          <w:sz w:val="24"/>
          <w:szCs w:val="24"/>
        </w:rPr>
        <w:t xml:space="preserve">only </w:t>
      </w:r>
      <w:r w:rsidR="00426245" w:rsidRPr="00F36114">
        <w:rPr>
          <w:rFonts w:ascii="Times New Roman" w:hAnsi="Times New Roman" w:cs="Times New Roman"/>
          <w:color w:val="000000" w:themeColor="text1"/>
          <w:sz w:val="24"/>
          <w:szCs w:val="24"/>
        </w:rPr>
        <w:t xml:space="preserve">when </w:t>
      </w:r>
      <w:r w:rsidR="00E1587E" w:rsidRPr="00F36114">
        <w:rPr>
          <w:rFonts w:ascii="Times New Roman" w:hAnsi="Times New Roman" w:cs="Times New Roman"/>
          <w:color w:val="000000" w:themeColor="text1"/>
          <w:sz w:val="24"/>
          <w:szCs w:val="24"/>
        </w:rPr>
        <w:t xml:space="preserve">load shed </w:t>
      </w:r>
      <w:r w:rsidR="00426245" w:rsidRPr="00F36114">
        <w:rPr>
          <w:rFonts w:ascii="Times New Roman" w:hAnsi="Times New Roman" w:cs="Times New Roman"/>
          <w:color w:val="000000" w:themeColor="text1"/>
          <w:sz w:val="24"/>
          <w:szCs w:val="24"/>
        </w:rPr>
        <w:t xml:space="preserve">is </w:t>
      </w:r>
      <w:r w:rsidR="00E1587E" w:rsidRPr="00F36114">
        <w:rPr>
          <w:rFonts w:ascii="Times New Roman" w:hAnsi="Times New Roman" w:cs="Times New Roman"/>
          <w:color w:val="000000" w:themeColor="text1"/>
          <w:sz w:val="24"/>
          <w:szCs w:val="24"/>
        </w:rPr>
        <w:t>imminent</w:t>
      </w:r>
      <w:r w:rsidR="00426245" w:rsidRPr="00F36114">
        <w:rPr>
          <w:rFonts w:ascii="Times New Roman" w:hAnsi="Times New Roman" w:cs="Times New Roman"/>
          <w:color w:val="000000" w:themeColor="text1"/>
          <w:sz w:val="24"/>
          <w:szCs w:val="24"/>
        </w:rPr>
        <w:t xml:space="preserve"> (similar to </w:t>
      </w:r>
      <w:r w:rsidR="002D3D2A">
        <w:rPr>
          <w:rFonts w:ascii="Times New Roman" w:hAnsi="Times New Roman" w:cs="Times New Roman"/>
          <w:color w:val="000000" w:themeColor="text1"/>
          <w:sz w:val="24"/>
          <w:szCs w:val="24"/>
        </w:rPr>
        <w:t>reaching</w:t>
      </w:r>
      <w:r w:rsidR="002D3D2A" w:rsidRPr="00F36114">
        <w:rPr>
          <w:rFonts w:ascii="Times New Roman" w:hAnsi="Times New Roman" w:cs="Times New Roman"/>
          <w:color w:val="000000" w:themeColor="text1"/>
          <w:sz w:val="24"/>
          <w:szCs w:val="24"/>
        </w:rPr>
        <w:t xml:space="preserve"> </w:t>
      </w:r>
      <w:r w:rsidR="00426245" w:rsidRPr="00F36114">
        <w:rPr>
          <w:rFonts w:ascii="Times New Roman" w:hAnsi="Times New Roman" w:cs="Times New Roman"/>
          <w:color w:val="000000" w:themeColor="text1"/>
          <w:sz w:val="24"/>
          <w:szCs w:val="24"/>
        </w:rPr>
        <w:t>the MCL in the ORDC construct)</w:t>
      </w:r>
      <w:r w:rsidR="00E1587E" w:rsidRPr="00F36114">
        <w:rPr>
          <w:rFonts w:ascii="Times New Roman" w:hAnsi="Times New Roman" w:cs="Times New Roman"/>
          <w:color w:val="000000" w:themeColor="text1"/>
          <w:sz w:val="24"/>
          <w:szCs w:val="24"/>
        </w:rPr>
        <w:t>.</w:t>
      </w:r>
      <w:r w:rsidR="00E1587E" w:rsidRPr="00F36114">
        <w:rPr>
          <w:rStyle w:val="FootnoteReference"/>
          <w:rFonts w:ascii="Times New Roman" w:hAnsi="Times New Roman" w:cs="Times New Roman"/>
          <w:color w:val="000000" w:themeColor="text1"/>
          <w:sz w:val="24"/>
          <w:szCs w:val="24"/>
        </w:rPr>
        <w:footnoteReference w:id="11"/>
      </w:r>
      <w:r w:rsidR="00CA5279" w:rsidRPr="00F36114">
        <w:rPr>
          <w:rFonts w:ascii="Times New Roman" w:hAnsi="Times New Roman" w:cs="Times New Roman"/>
          <w:color w:val="000000" w:themeColor="text1"/>
          <w:sz w:val="24"/>
          <w:szCs w:val="24"/>
        </w:rPr>
        <w:t xml:space="preserve"> The difference from today is that</w:t>
      </w:r>
      <w:r w:rsidR="002A5910">
        <w:rPr>
          <w:rFonts w:ascii="Times New Roman" w:hAnsi="Times New Roman" w:cs="Times New Roman"/>
          <w:color w:val="000000" w:themeColor="text1"/>
          <w:sz w:val="24"/>
          <w:szCs w:val="24"/>
        </w:rPr>
        <w:t xml:space="preserve"> </w:t>
      </w:r>
      <w:r w:rsidR="0033495B" w:rsidRPr="00F36114">
        <w:rPr>
          <w:rFonts w:ascii="Times New Roman" w:hAnsi="Times New Roman" w:cs="Times New Roman"/>
          <w:color w:val="000000" w:themeColor="text1"/>
          <w:sz w:val="24"/>
          <w:szCs w:val="24"/>
        </w:rPr>
        <w:t xml:space="preserve">under the RTC construct, </w:t>
      </w:r>
      <w:r w:rsidR="00CA5279" w:rsidRPr="00F36114">
        <w:rPr>
          <w:rFonts w:ascii="Times New Roman" w:hAnsi="Times New Roman" w:cs="Times New Roman"/>
          <w:color w:val="000000" w:themeColor="text1"/>
          <w:sz w:val="24"/>
          <w:szCs w:val="24"/>
        </w:rPr>
        <w:t>the ASDCs will create scarcity pricing as reserves deplete, and the price just before load shed</w:t>
      </w:r>
      <w:r w:rsidR="002F095B">
        <w:rPr>
          <w:rFonts w:ascii="Times New Roman" w:hAnsi="Times New Roman" w:cs="Times New Roman"/>
          <w:color w:val="000000" w:themeColor="text1"/>
          <w:sz w:val="24"/>
          <w:szCs w:val="24"/>
        </w:rPr>
        <w:t xml:space="preserve"> </w:t>
      </w:r>
      <w:r w:rsidR="00CA5279" w:rsidRPr="00F36114">
        <w:rPr>
          <w:rFonts w:ascii="Times New Roman" w:hAnsi="Times New Roman" w:cs="Times New Roman"/>
          <w:color w:val="000000" w:themeColor="text1"/>
          <w:sz w:val="24"/>
          <w:szCs w:val="24"/>
        </w:rPr>
        <w:t xml:space="preserve">will equal the ASDC maximum plus the </w:t>
      </w:r>
      <w:r w:rsidR="00426245" w:rsidRPr="00F36114">
        <w:rPr>
          <w:rFonts w:ascii="Times New Roman" w:hAnsi="Times New Roman" w:cs="Times New Roman"/>
          <w:color w:val="000000" w:themeColor="text1"/>
          <w:sz w:val="24"/>
          <w:szCs w:val="24"/>
        </w:rPr>
        <w:t>marginal energy offer</w:t>
      </w:r>
      <w:r w:rsidR="00034EEF" w:rsidRPr="00F36114">
        <w:rPr>
          <w:rFonts w:ascii="Times New Roman" w:hAnsi="Times New Roman" w:cs="Times New Roman"/>
          <w:color w:val="000000" w:themeColor="text1"/>
          <w:sz w:val="24"/>
          <w:szCs w:val="24"/>
        </w:rPr>
        <w:t xml:space="preserve"> (</w:t>
      </w:r>
      <w:r w:rsidR="001A7837" w:rsidRPr="00F36114">
        <w:rPr>
          <w:rFonts w:ascii="Times New Roman" w:hAnsi="Times New Roman" w:cs="Times New Roman"/>
          <w:color w:val="000000" w:themeColor="text1"/>
          <w:sz w:val="24"/>
          <w:szCs w:val="24"/>
        </w:rPr>
        <w:t>and</w:t>
      </w:r>
      <w:r w:rsidR="007C6B6B" w:rsidRPr="00F36114">
        <w:rPr>
          <w:rFonts w:ascii="Times New Roman" w:hAnsi="Times New Roman" w:cs="Times New Roman"/>
          <w:color w:val="000000" w:themeColor="text1"/>
          <w:sz w:val="24"/>
          <w:szCs w:val="24"/>
        </w:rPr>
        <w:t>, depending on the RTC design</w:t>
      </w:r>
      <w:r w:rsidR="00607E09">
        <w:rPr>
          <w:rFonts w:ascii="Times New Roman" w:hAnsi="Times New Roman" w:cs="Times New Roman"/>
          <w:color w:val="000000" w:themeColor="text1"/>
          <w:sz w:val="24"/>
          <w:szCs w:val="24"/>
        </w:rPr>
        <w:t xml:space="preserve"> and specific offers at that time</w:t>
      </w:r>
      <w:r w:rsidR="007C6B6B" w:rsidRPr="00F36114">
        <w:rPr>
          <w:rFonts w:ascii="Times New Roman" w:hAnsi="Times New Roman" w:cs="Times New Roman"/>
          <w:color w:val="000000" w:themeColor="text1"/>
          <w:sz w:val="24"/>
          <w:szCs w:val="24"/>
        </w:rPr>
        <w:t>,</w:t>
      </w:r>
      <w:r w:rsidR="001A7837" w:rsidRPr="00F36114">
        <w:rPr>
          <w:rFonts w:ascii="Times New Roman" w:hAnsi="Times New Roman" w:cs="Times New Roman"/>
          <w:color w:val="000000" w:themeColor="text1"/>
          <w:sz w:val="24"/>
          <w:szCs w:val="24"/>
        </w:rPr>
        <w:t xml:space="preserve"> that price </w:t>
      </w:r>
      <w:r w:rsidR="00607E09">
        <w:rPr>
          <w:rFonts w:ascii="Times New Roman" w:hAnsi="Times New Roman" w:cs="Times New Roman"/>
          <w:color w:val="000000" w:themeColor="text1"/>
          <w:sz w:val="24"/>
          <w:szCs w:val="24"/>
        </w:rPr>
        <w:t xml:space="preserve">may or </w:t>
      </w:r>
      <w:r w:rsidR="001A7837" w:rsidRPr="00F36114">
        <w:rPr>
          <w:rFonts w:ascii="Times New Roman" w:hAnsi="Times New Roman" w:cs="Times New Roman"/>
          <w:color w:val="000000" w:themeColor="text1"/>
          <w:sz w:val="24"/>
          <w:szCs w:val="24"/>
        </w:rPr>
        <w:t xml:space="preserve">may not </w:t>
      </w:r>
      <w:r w:rsidR="002D3D2A">
        <w:rPr>
          <w:rFonts w:ascii="Times New Roman" w:hAnsi="Times New Roman" w:cs="Times New Roman"/>
          <w:color w:val="000000" w:themeColor="text1"/>
          <w:sz w:val="24"/>
          <w:szCs w:val="24"/>
        </w:rPr>
        <w:t>reach</w:t>
      </w:r>
      <w:r w:rsidR="002D3D2A" w:rsidRPr="00F36114">
        <w:rPr>
          <w:rFonts w:ascii="Times New Roman" w:hAnsi="Times New Roman" w:cs="Times New Roman"/>
          <w:color w:val="000000" w:themeColor="text1"/>
          <w:sz w:val="24"/>
          <w:szCs w:val="24"/>
        </w:rPr>
        <w:t xml:space="preserve"> </w:t>
      </w:r>
      <w:r w:rsidR="002D3D2A">
        <w:rPr>
          <w:rFonts w:ascii="Times New Roman" w:hAnsi="Times New Roman" w:cs="Times New Roman"/>
          <w:color w:val="000000" w:themeColor="text1"/>
          <w:sz w:val="24"/>
          <w:szCs w:val="24"/>
        </w:rPr>
        <w:t>the</w:t>
      </w:r>
      <w:r w:rsidR="001A7837" w:rsidRPr="00F36114">
        <w:rPr>
          <w:rFonts w:ascii="Times New Roman" w:hAnsi="Times New Roman" w:cs="Times New Roman"/>
          <w:color w:val="000000" w:themeColor="text1"/>
          <w:sz w:val="24"/>
          <w:szCs w:val="24"/>
        </w:rPr>
        <w:t xml:space="preserve"> </w:t>
      </w:r>
      <w:r w:rsidR="00034EEF" w:rsidRPr="00F36114">
        <w:rPr>
          <w:rFonts w:ascii="Times New Roman" w:hAnsi="Times New Roman" w:cs="Times New Roman"/>
          <w:color w:val="000000" w:themeColor="text1"/>
          <w:sz w:val="24"/>
          <w:szCs w:val="24"/>
        </w:rPr>
        <w:t>VOLL</w:t>
      </w:r>
      <w:r w:rsidR="001A7837" w:rsidRPr="00F36114">
        <w:rPr>
          <w:rFonts w:ascii="Times New Roman" w:hAnsi="Times New Roman" w:cs="Times New Roman"/>
          <w:color w:val="000000" w:themeColor="text1"/>
          <w:sz w:val="24"/>
          <w:szCs w:val="24"/>
        </w:rPr>
        <w:t xml:space="preserve"> set by the Commission</w:t>
      </w:r>
      <w:r w:rsidR="00034EEF" w:rsidRPr="00F36114">
        <w:rPr>
          <w:rFonts w:ascii="Times New Roman" w:hAnsi="Times New Roman" w:cs="Times New Roman"/>
          <w:color w:val="000000" w:themeColor="text1"/>
          <w:sz w:val="24"/>
          <w:szCs w:val="24"/>
        </w:rPr>
        <w:t>)</w:t>
      </w:r>
      <w:r w:rsidR="00426245" w:rsidRPr="00F36114">
        <w:rPr>
          <w:rFonts w:ascii="Times New Roman" w:hAnsi="Times New Roman" w:cs="Times New Roman"/>
          <w:color w:val="000000" w:themeColor="text1"/>
          <w:sz w:val="24"/>
          <w:szCs w:val="24"/>
        </w:rPr>
        <w:t>.</w:t>
      </w:r>
      <w:r w:rsidR="00426245" w:rsidRPr="00F36114">
        <w:rPr>
          <w:rStyle w:val="FootnoteReference"/>
          <w:rFonts w:ascii="Times New Roman" w:hAnsi="Times New Roman" w:cs="Times New Roman"/>
          <w:color w:val="000000" w:themeColor="text1"/>
          <w:sz w:val="24"/>
          <w:szCs w:val="24"/>
        </w:rPr>
        <w:footnoteReference w:id="12"/>
      </w:r>
      <w:r w:rsidR="00426245" w:rsidRPr="00F36114">
        <w:rPr>
          <w:rFonts w:ascii="Times New Roman" w:hAnsi="Times New Roman" w:cs="Times New Roman"/>
          <w:color w:val="000000" w:themeColor="text1"/>
          <w:sz w:val="24"/>
          <w:szCs w:val="24"/>
        </w:rPr>
        <w:t xml:space="preserve"> </w:t>
      </w:r>
      <w:r w:rsidR="00D41FB6">
        <w:rPr>
          <w:rFonts w:ascii="Times New Roman" w:hAnsi="Times New Roman" w:cs="Times New Roman"/>
          <w:color w:val="000000" w:themeColor="text1"/>
          <w:sz w:val="24"/>
          <w:szCs w:val="24"/>
        </w:rPr>
        <w:t>Then only after</w:t>
      </w:r>
      <w:r w:rsidR="00D41FB6" w:rsidRPr="00F36114">
        <w:rPr>
          <w:rFonts w:ascii="Times New Roman" w:hAnsi="Times New Roman" w:cs="Times New Roman"/>
          <w:color w:val="000000" w:themeColor="text1"/>
          <w:sz w:val="24"/>
          <w:szCs w:val="24"/>
        </w:rPr>
        <w:t xml:space="preserve"> </w:t>
      </w:r>
      <w:r w:rsidR="00E1587E" w:rsidRPr="00F36114">
        <w:rPr>
          <w:rFonts w:ascii="Times New Roman" w:hAnsi="Times New Roman" w:cs="Times New Roman"/>
          <w:color w:val="000000" w:themeColor="text1"/>
          <w:sz w:val="24"/>
          <w:szCs w:val="24"/>
        </w:rPr>
        <w:t>all available supply (energy and reserves) is exhausted</w:t>
      </w:r>
      <w:r w:rsidR="00607E09">
        <w:rPr>
          <w:rFonts w:ascii="Times New Roman" w:hAnsi="Times New Roman" w:cs="Times New Roman"/>
          <w:color w:val="000000" w:themeColor="text1"/>
          <w:sz w:val="24"/>
          <w:szCs w:val="24"/>
        </w:rPr>
        <w:t>, which TCPA does not believe to be a realistic scenario as discussed further below</w:t>
      </w:r>
      <w:r w:rsidR="00E1587E" w:rsidRPr="00F36114">
        <w:rPr>
          <w:rFonts w:ascii="Times New Roman" w:hAnsi="Times New Roman" w:cs="Times New Roman"/>
          <w:color w:val="000000" w:themeColor="text1"/>
          <w:sz w:val="24"/>
          <w:szCs w:val="24"/>
        </w:rPr>
        <w:t xml:space="preserve">, the PBPC </w:t>
      </w:r>
      <w:r w:rsidR="00607E09">
        <w:rPr>
          <w:rFonts w:ascii="Times New Roman" w:hAnsi="Times New Roman" w:cs="Times New Roman"/>
          <w:color w:val="000000" w:themeColor="text1"/>
          <w:sz w:val="24"/>
          <w:szCs w:val="24"/>
        </w:rPr>
        <w:t xml:space="preserve">would </w:t>
      </w:r>
      <w:r w:rsidR="00E3321F" w:rsidRPr="00F36114">
        <w:rPr>
          <w:rFonts w:ascii="Times New Roman" w:hAnsi="Times New Roman" w:cs="Times New Roman"/>
          <w:color w:val="000000" w:themeColor="text1"/>
          <w:sz w:val="24"/>
          <w:szCs w:val="24"/>
        </w:rPr>
        <w:t xml:space="preserve">set the price for the next MW </w:t>
      </w:r>
      <w:r w:rsidR="00CA5279" w:rsidRPr="00F36114">
        <w:rPr>
          <w:rFonts w:ascii="Times New Roman" w:hAnsi="Times New Roman" w:cs="Times New Roman"/>
          <w:color w:val="000000" w:themeColor="text1"/>
          <w:sz w:val="24"/>
          <w:szCs w:val="24"/>
        </w:rPr>
        <w:t xml:space="preserve">(i.e., of </w:t>
      </w:r>
      <w:r w:rsidR="00665876">
        <w:rPr>
          <w:rFonts w:ascii="Times New Roman" w:hAnsi="Times New Roman" w:cs="Times New Roman"/>
          <w:color w:val="000000" w:themeColor="text1"/>
          <w:sz w:val="24"/>
          <w:szCs w:val="24"/>
        </w:rPr>
        <w:t>uncontrolled</w:t>
      </w:r>
      <w:r w:rsidR="00665876" w:rsidRPr="00F36114">
        <w:rPr>
          <w:rFonts w:ascii="Times New Roman" w:hAnsi="Times New Roman" w:cs="Times New Roman"/>
          <w:color w:val="000000" w:themeColor="text1"/>
          <w:sz w:val="24"/>
          <w:szCs w:val="24"/>
        </w:rPr>
        <w:t xml:space="preserve"> </w:t>
      </w:r>
      <w:r w:rsidR="00CA5279" w:rsidRPr="00F36114">
        <w:rPr>
          <w:rFonts w:ascii="Times New Roman" w:hAnsi="Times New Roman" w:cs="Times New Roman"/>
          <w:color w:val="000000" w:themeColor="text1"/>
          <w:sz w:val="24"/>
          <w:szCs w:val="24"/>
        </w:rPr>
        <w:t>load shed).</w:t>
      </w:r>
      <w:r w:rsidR="002955FC" w:rsidRPr="00F36114">
        <w:rPr>
          <w:rStyle w:val="FootnoteReference"/>
          <w:rFonts w:ascii="Times New Roman" w:hAnsi="Times New Roman" w:cs="Times New Roman"/>
          <w:color w:val="000000" w:themeColor="text1"/>
          <w:sz w:val="24"/>
          <w:szCs w:val="24"/>
        </w:rPr>
        <w:footnoteReference w:id="13"/>
      </w:r>
      <w:r w:rsidR="008A6CC1">
        <w:rPr>
          <w:rFonts w:ascii="Times New Roman" w:hAnsi="Times New Roman" w:cs="Times New Roman"/>
          <w:color w:val="000000" w:themeColor="text1"/>
          <w:sz w:val="24"/>
          <w:szCs w:val="24"/>
        </w:rPr>
        <w:t xml:space="preserve"> Therefore, it is important to note that the ASDC maximum is much more</w:t>
      </w:r>
      <w:r w:rsidR="00D41FB6">
        <w:rPr>
          <w:rFonts w:ascii="Times New Roman" w:hAnsi="Times New Roman" w:cs="Times New Roman"/>
          <w:color w:val="000000" w:themeColor="text1"/>
          <w:sz w:val="24"/>
          <w:szCs w:val="24"/>
        </w:rPr>
        <w:t xml:space="preserve"> likely</w:t>
      </w:r>
      <w:r w:rsidR="008A6CC1">
        <w:rPr>
          <w:rFonts w:ascii="Times New Roman" w:hAnsi="Times New Roman" w:cs="Times New Roman"/>
          <w:color w:val="000000" w:themeColor="text1"/>
          <w:sz w:val="24"/>
          <w:szCs w:val="24"/>
        </w:rPr>
        <w:t xml:space="preserve"> </w:t>
      </w:r>
      <w:r w:rsidR="00D41FB6">
        <w:rPr>
          <w:rFonts w:ascii="Times New Roman" w:hAnsi="Times New Roman" w:cs="Times New Roman"/>
          <w:color w:val="000000" w:themeColor="text1"/>
          <w:sz w:val="24"/>
          <w:szCs w:val="24"/>
        </w:rPr>
        <w:t>(</w:t>
      </w:r>
      <w:r w:rsidR="00D47169">
        <w:rPr>
          <w:rFonts w:ascii="Times New Roman" w:hAnsi="Times New Roman" w:cs="Times New Roman"/>
          <w:color w:val="000000" w:themeColor="text1"/>
          <w:sz w:val="24"/>
          <w:szCs w:val="24"/>
        </w:rPr>
        <w:t>if not certain</w:t>
      </w:r>
      <w:r w:rsidR="00D41FB6">
        <w:rPr>
          <w:rFonts w:ascii="Times New Roman" w:hAnsi="Times New Roman" w:cs="Times New Roman"/>
          <w:color w:val="000000" w:themeColor="text1"/>
          <w:sz w:val="24"/>
          <w:szCs w:val="24"/>
        </w:rPr>
        <w:t>)</w:t>
      </w:r>
      <w:r w:rsidR="008A6CC1">
        <w:rPr>
          <w:rFonts w:ascii="Times New Roman" w:hAnsi="Times New Roman" w:cs="Times New Roman"/>
          <w:color w:val="000000" w:themeColor="text1"/>
          <w:sz w:val="24"/>
          <w:szCs w:val="24"/>
        </w:rPr>
        <w:t xml:space="preserve"> to set scarcity prices </w:t>
      </w:r>
      <w:r w:rsidR="006131E5">
        <w:rPr>
          <w:rFonts w:ascii="Times New Roman" w:hAnsi="Times New Roman" w:cs="Times New Roman"/>
          <w:color w:val="000000" w:themeColor="text1"/>
          <w:sz w:val="24"/>
          <w:szCs w:val="24"/>
        </w:rPr>
        <w:t xml:space="preserve">rather </w:t>
      </w:r>
      <w:r w:rsidR="008A6CC1">
        <w:rPr>
          <w:rFonts w:ascii="Times New Roman" w:hAnsi="Times New Roman" w:cs="Times New Roman"/>
          <w:color w:val="000000" w:themeColor="text1"/>
          <w:sz w:val="24"/>
          <w:szCs w:val="24"/>
        </w:rPr>
        <w:t>than the PBPC.</w:t>
      </w:r>
    </w:p>
    <w:p w14:paraId="14EE2632" w14:textId="3D1C7B28" w:rsidR="003C4953" w:rsidRPr="00F36114" w:rsidRDefault="00C40CBA" w:rsidP="003C4953">
      <w:pPr>
        <w:spacing w:line="360" w:lineRule="auto"/>
        <w:ind w:firstLine="720"/>
        <w:jc w:val="both"/>
        <w:rPr>
          <w:rFonts w:ascii="Times New Roman" w:hAnsi="Times New Roman" w:cs="Times New Roman"/>
          <w:color w:val="000000" w:themeColor="text1"/>
          <w:sz w:val="24"/>
          <w:szCs w:val="24"/>
        </w:rPr>
      </w:pPr>
      <w:r w:rsidRPr="00F36114">
        <w:rPr>
          <w:rFonts w:ascii="Times New Roman" w:hAnsi="Times New Roman" w:cs="Times New Roman"/>
          <w:color w:val="000000" w:themeColor="text1"/>
          <w:sz w:val="24"/>
          <w:szCs w:val="24"/>
        </w:rPr>
        <w:t>With this background as a reference, TCPA walks through two examples of RTC parameters. The first comes from ERCOT’s</w:t>
      </w:r>
      <w:r w:rsidR="00B877AA" w:rsidRPr="00F36114">
        <w:rPr>
          <w:rFonts w:ascii="Times New Roman" w:hAnsi="Times New Roman" w:cs="Times New Roman"/>
          <w:color w:val="000000" w:themeColor="text1"/>
          <w:sz w:val="24"/>
          <w:szCs w:val="24"/>
        </w:rPr>
        <w:t xml:space="preserve"> RTC concept paper, as well as its</w:t>
      </w:r>
      <w:r w:rsidRPr="00F36114">
        <w:rPr>
          <w:rFonts w:ascii="Times New Roman" w:hAnsi="Times New Roman" w:cs="Times New Roman"/>
          <w:color w:val="000000" w:themeColor="text1"/>
          <w:sz w:val="24"/>
          <w:szCs w:val="24"/>
        </w:rPr>
        <w:t xml:space="preserve"> presentation at the </w:t>
      </w:r>
      <w:r w:rsidR="003C4953" w:rsidRPr="00F36114">
        <w:rPr>
          <w:rFonts w:ascii="Times New Roman" w:hAnsi="Times New Roman" w:cs="Times New Roman"/>
          <w:color w:val="000000" w:themeColor="text1"/>
          <w:sz w:val="24"/>
          <w:szCs w:val="24"/>
        </w:rPr>
        <w:t>recent March 6, 2019 workshop regarding RTC,</w:t>
      </w:r>
      <w:r w:rsidRPr="00F36114">
        <w:rPr>
          <w:rFonts w:ascii="Times New Roman" w:hAnsi="Times New Roman" w:cs="Times New Roman"/>
          <w:color w:val="000000" w:themeColor="text1"/>
          <w:sz w:val="24"/>
          <w:szCs w:val="24"/>
        </w:rPr>
        <w:t xml:space="preserve"> at which</w:t>
      </w:r>
      <w:r w:rsidR="003C4953" w:rsidRPr="00F36114">
        <w:rPr>
          <w:rFonts w:ascii="Times New Roman" w:hAnsi="Times New Roman" w:cs="Times New Roman"/>
          <w:color w:val="000000" w:themeColor="text1"/>
          <w:sz w:val="24"/>
          <w:szCs w:val="24"/>
        </w:rPr>
        <w:t xml:space="preserve"> ERCOT provided a spreadsheet example of an RTC design with a $2,000 SWOC, </w:t>
      </w:r>
      <w:r w:rsidR="00CA5279" w:rsidRPr="00F36114">
        <w:rPr>
          <w:rFonts w:ascii="Times New Roman" w:hAnsi="Times New Roman" w:cs="Times New Roman"/>
          <w:color w:val="000000" w:themeColor="text1"/>
          <w:sz w:val="24"/>
          <w:szCs w:val="24"/>
        </w:rPr>
        <w:t xml:space="preserve">a </w:t>
      </w:r>
      <w:r w:rsidR="003C4953" w:rsidRPr="00F36114">
        <w:rPr>
          <w:rFonts w:ascii="Times New Roman" w:hAnsi="Times New Roman" w:cs="Times New Roman"/>
          <w:color w:val="000000" w:themeColor="text1"/>
          <w:sz w:val="24"/>
          <w:szCs w:val="24"/>
        </w:rPr>
        <w:t>$7,000</w:t>
      </w:r>
      <w:r w:rsidRPr="00F36114">
        <w:rPr>
          <w:rFonts w:ascii="Times New Roman" w:hAnsi="Times New Roman" w:cs="Times New Roman"/>
          <w:color w:val="000000" w:themeColor="text1"/>
          <w:sz w:val="24"/>
          <w:szCs w:val="24"/>
        </w:rPr>
        <w:t>.99</w:t>
      </w:r>
      <w:r w:rsidR="003C4953" w:rsidRPr="00F36114">
        <w:rPr>
          <w:rFonts w:ascii="Times New Roman" w:hAnsi="Times New Roman" w:cs="Times New Roman"/>
          <w:color w:val="000000" w:themeColor="text1"/>
          <w:sz w:val="24"/>
          <w:szCs w:val="24"/>
        </w:rPr>
        <w:t xml:space="preserve"> ASDC maximum, and </w:t>
      </w:r>
      <w:r w:rsidR="00B75BE0" w:rsidRPr="00F36114">
        <w:rPr>
          <w:rFonts w:ascii="Times New Roman" w:hAnsi="Times New Roman" w:cs="Times New Roman"/>
          <w:color w:val="000000" w:themeColor="text1"/>
          <w:sz w:val="24"/>
          <w:szCs w:val="24"/>
        </w:rPr>
        <w:t xml:space="preserve">a </w:t>
      </w:r>
      <w:r w:rsidR="003C4953" w:rsidRPr="00F36114">
        <w:rPr>
          <w:rFonts w:ascii="Times New Roman" w:hAnsi="Times New Roman" w:cs="Times New Roman"/>
          <w:color w:val="000000" w:themeColor="text1"/>
          <w:sz w:val="24"/>
          <w:szCs w:val="24"/>
        </w:rPr>
        <w:t xml:space="preserve">$9,001 PBPC </w:t>
      </w:r>
      <w:r w:rsidRPr="00F36114">
        <w:rPr>
          <w:rFonts w:ascii="Times New Roman" w:hAnsi="Times New Roman" w:cs="Times New Roman"/>
          <w:color w:val="000000" w:themeColor="text1"/>
          <w:sz w:val="24"/>
          <w:szCs w:val="24"/>
        </w:rPr>
        <w:t>value</w:t>
      </w:r>
      <w:r w:rsidR="003C4953" w:rsidRPr="00F36114">
        <w:rPr>
          <w:rFonts w:ascii="Times New Roman" w:hAnsi="Times New Roman" w:cs="Times New Roman"/>
          <w:color w:val="000000" w:themeColor="text1"/>
          <w:sz w:val="24"/>
          <w:szCs w:val="24"/>
        </w:rPr>
        <w:t>.</w:t>
      </w:r>
      <w:r w:rsidR="007111EC" w:rsidRPr="00F36114">
        <w:rPr>
          <w:rStyle w:val="FootnoteReference"/>
          <w:rFonts w:ascii="Times New Roman" w:hAnsi="Times New Roman" w:cs="Times New Roman"/>
          <w:color w:val="000000" w:themeColor="text1"/>
          <w:sz w:val="24"/>
          <w:szCs w:val="24"/>
        </w:rPr>
        <w:footnoteReference w:id="14"/>
      </w:r>
      <w:r w:rsidR="003C4953" w:rsidRPr="00F36114">
        <w:rPr>
          <w:rFonts w:ascii="Times New Roman" w:hAnsi="Times New Roman" w:cs="Times New Roman"/>
          <w:color w:val="000000" w:themeColor="text1"/>
          <w:sz w:val="24"/>
          <w:szCs w:val="24"/>
        </w:rPr>
        <w:t xml:space="preserve"> ERCOT </w:t>
      </w:r>
      <w:r w:rsidR="00B877AA" w:rsidRPr="00F36114">
        <w:rPr>
          <w:rFonts w:ascii="Times New Roman" w:hAnsi="Times New Roman" w:cs="Times New Roman"/>
          <w:color w:val="000000" w:themeColor="text1"/>
          <w:sz w:val="24"/>
          <w:szCs w:val="24"/>
        </w:rPr>
        <w:t xml:space="preserve">has </w:t>
      </w:r>
      <w:r w:rsidR="003C4953" w:rsidRPr="00F36114">
        <w:rPr>
          <w:rFonts w:ascii="Times New Roman" w:hAnsi="Times New Roman" w:cs="Times New Roman"/>
          <w:color w:val="000000" w:themeColor="text1"/>
          <w:sz w:val="24"/>
          <w:szCs w:val="24"/>
        </w:rPr>
        <w:t>represented that a $2,000 SWOC would cover most competitive offers</w:t>
      </w:r>
      <w:r w:rsidR="008129EE" w:rsidRPr="00F36114">
        <w:rPr>
          <w:rFonts w:ascii="Times New Roman" w:hAnsi="Times New Roman" w:cs="Times New Roman"/>
          <w:color w:val="000000" w:themeColor="text1"/>
          <w:sz w:val="24"/>
          <w:szCs w:val="24"/>
        </w:rPr>
        <w:t xml:space="preserve">, and </w:t>
      </w:r>
      <w:r w:rsidR="00B877AA" w:rsidRPr="00F36114">
        <w:rPr>
          <w:rFonts w:ascii="Times New Roman" w:hAnsi="Times New Roman" w:cs="Times New Roman"/>
          <w:color w:val="000000" w:themeColor="text1"/>
          <w:sz w:val="24"/>
          <w:szCs w:val="24"/>
        </w:rPr>
        <w:t>the $9,001 PBPC was based on to</w:t>
      </w:r>
      <w:r w:rsidR="008129EE" w:rsidRPr="00F36114">
        <w:rPr>
          <w:rFonts w:ascii="Times New Roman" w:hAnsi="Times New Roman" w:cs="Times New Roman"/>
          <w:color w:val="000000" w:themeColor="text1"/>
          <w:sz w:val="24"/>
          <w:szCs w:val="24"/>
        </w:rPr>
        <w:t>day’s VOLL</w:t>
      </w:r>
      <w:r w:rsidR="00B877AA" w:rsidRPr="00F36114">
        <w:rPr>
          <w:rFonts w:ascii="Times New Roman" w:hAnsi="Times New Roman" w:cs="Times New Roman"/>
          <w:color w:val="000000" w:themeColor="text1"/>
          <w:sz w:val="24"/>
          <w:szCs w:val="24"/>
        </w:rPr>
        <w:t xml:space="preserve"> plus $1</w:t>
      </w:r>
      <w:r w:rsidRPr="00F36114">
        <w:rPr>
          <w:rFonts w:ascii="Times New Roman" w:hAnsi="Times New Roman" w:cs="Times New Roman"/>
          <w:color w:val="000000" w:themeColor="text1"/>
          <w:sz w:val="24"/>
          <w:szCs w:val="24"/>
        </w:rPr>
        <w:t>.</w:t>
      </w:r>
      <w:r w:rsidR="00B75BE0" w:rsidRPr="00F36114">
        <w:rPr>
          <w:rStyle w:val="FootnoteReference"/>
          <w:rFonts w:ascii="Times New Roman" w:hAnsi="Times New Roman" w:cs="Times New Roman"/>
          <w:color w:val="000000" w:themeColor="text1"/>
          <w:sz w:val="24"/>
          <w:szCs w:val="24"/>
        </w:rPr>
        <w:footnoteReference w:id="15"/>
      </w:r>
      <w:r w:rsidRPr="00F36114">
        <w:rPr>
          <w:rFonts w:ascii="Times New Roman" w:hAnsi="Times New Roman" w:cs="Times New Roman"/>
          <w:color w:val="000000" w:themeColor="text1"/>
          <w:sz w:val="24"/>
          <w:szCs w:val="24"/>
        </w:rPr>
        <w:t xml:space="preserve"> The $7,000.99 ASDC maximum</w:t>
      </w:r>
      <w:r w:rsidR="008129EE" w:rsidRPr="00F36114">
        <w:rPr>
          <w:rFonts w:ascii="Times New Roman" w:hAnsi="Times New Roman" w:cs="Times New Roman"/>
          <w:color w:val="000000" w:themeColor="text1"/>
          <w:sz w:val="24"/>
          <w:szCs w:val="24"/>
        </w:rPr>
        <w:t xml:space="preserve"> was</w:t>
      </w:r>
      <w:r w:rsidR="00B877AA" w:rsidRPr="00F36114">
        <w:rPr>
          <w:rFonts w:ascii="Times New Roman" w:hAnsi="Times New Roman" w:cs="Times New Roman"/>
          <w:color w:val="000000" w:themeColor="text1"/>
          <w:sz w:val="24"/>
          <w:szCs w:val="24"/>
        </w:rPr>
        <w:t xml:space="preserve"> ostensibly</w:t>
      </w:r>
      <w:r w:rsidR="008129EE" w:rsidRPr="00F36114">
        <w:rPr>
          <w:rFonts w:ascii="Times New Roman" w:hAnsi="Times New Roman" w:cs="Times New Roman"/>
          <w:color w:val="000000" w:themeColor="text1"/>
          <w:sz w:val="24"/>
          <w:szCs w:val="24"/>
        </w:rPr>
        <w:t xml:space="preserve"> selected to ensure that the SWOC plus the ASDC maximum would be coordinated</w:t>
      </w:r>
      <w:r w:rsidR="00B877AA" w:rsidRPr="00F36114">
        <w:rPr>
          <w:rFonts w:ascii="Times New Roman" w:hAnsi="Times New Roman" w:cs="Times New Roman"/>
          <w:color w:val="000000" w:themeColor="text1"/>
          <w:sz w:val="24"/>
          <w:szCs w:val="24"/>
        </w:rPr>
        <w:t xml:space="preserve"> with</w:t>
      </w:r>
      <w:r w:rsidR="008129EE" w:rsidRPr="00F36114">
        <w:rPr>
          <w:rFonts w:ascii="Times New Roman" w:hAnsi="Times New Roman" w:cs="Times New Roman"/>
          <w:color w:val="000000" w:themeColor="text1"/>
          <w:sz w:val="24"/>
          <w:szCs w:val="24"/>
        </w:rPr>
        <w:t xml:space="preserve"> (and not exceed</w:t>
      </w:r>
      <w:r w:rsidR="00B877AA" w:rsidRPr="00F36114">
        <w:rPr>
          <w:rFonts w:ascii="Times New Roman" w:hAnsi="Times New Roman" w:cs="Times New Roman"/>
          <w:color w:val="000000" w:themeColor="text1"/>
          <w:sz w:val="24"/>
          <w:szCs w:val="24"/>
        </w:rPr>
        <w:t>)</w:t>
      </w:r>
      <w:r w:rsidR="008129EE" w:rsidRPr="00F36114">
        <w:rPr>
          <w:rFonts w:ascii="Times New Roman" w:hAnsi="Times New Roman" w:cs="Times New Roman"/>
          <w:color w:val="000000" w:themeColor="text1"/>
          <w:sz w:val="24"/>
          <w:szCs w:val="24"/>
        </w:rPr>
        <w:t xml:space="preserve"> the PBPC maximum</w:t>
      </w:r>
      <w:r w:rsidR="006131E5">
        <w:rPr>
          <w:rFonts w:ascii="Times New Roman" w:hAnsi="Times New Roman" w:cs="Times New Roman"/>
          <w:color w:val="000000" w:themeColor="text1"/>
          <w:sz w:val="24"/>
          <w:szCs w:val="24"/>
        </w:rPr>
        <w:t xml:space="preserve"> under the most extreme</w:t>
      </w:r>
      <w:r w:rsidR="00697A77">
        <w:rPr>
          <w:rFonts w:ascii="Times New Roman" w:hAnsi="Times New Roman" w:cs="Times New Roman"/>
          <w:color w:val="000000" w:themeColor="text1"/>
          <w:sz w:val="24"/>
          <w:szCs w:val="24"/>
        </w:rPr>
        <w:t xml:space="preserve"> scenario</w:t>
      </w:r>
      <w:r w:rsidRPr="00F36114">
        <w:rPr>
          <w:rFonts w:ascii="Times New Roman" w:hAnsi="Times New Roman" w:cs="Times New Roman"/>
          <w:color w:val="000000" w:themeColor="text1"/>
          <w:sz w:val="24"/>
          <w:szCs w:val="24"/>
        </w:rPr>
        <w:t>.</w:t>
      </w:r>
      <w:r w:rsidR="00B877AA" w:rsidRPr="00F36114">
        <w:rPr>
          <w:rStyle w:val="FootnoteReference"/>
          <w:rFonts w:ascii="Times New Roman" w:hAnsi="Times New Roman" w:cs="Times New Roman"/>
          <w:color w:val="000000" w:themeColor="text1"/>
          <w:sz w:val="24"/>
          <w:szCs w:val="24"/>
        </w:rPr>
        <w:footnoteReference w:id="16"/>
      </w:r>
      <w:r w:rsidRPr="00F36114">
        <w:rPr>
          <w:rFonts w:ascii="Times New Roman" w:hAnsi="Times New Roman" w:cs="Times New Roman"/>
          <w:color w:val="000000" w:themeColor="text1"/>
          <w:sz w:val="24"/>
          <w:szCs w:val="24"/>
        </w:rPr>
        <w:t xml:space="preserve"> </w:t>
      </w:r>
      <w:r w:rsidR="008129EE" w:rsidRPr="00F36114">
        <w:rPr>
          <w:rFonts w:ascii="Times New Roman" w:hAnsi="Times New Roman" w:cs="Times New Roman"/>
          <w:color w:val="000000" w:themeColor="text1"/>
          <w:sz w:val="24"/>
          <w:szCs w:val="24"/>
        </w:rPr>
        <w:t>Under this example (using ERCOT’s spreadsheet model to calculate potential RTC outcomes), prices would reach $9,000</w:t>
      </w:r>
      <w:r w:rsidR="001B293D" w:rsidRPr="00F36114">
        <w:rPr>
          <w:rFonts w:ascii="Times New Roman" w:hAnsi="Times New Roman" w:cs="Times New Roman"/>
          <w:color w:val="000000" w:themeColor="text1"/>
          <w:sz w:val="24"/>
          <w:szCs w:val="24"/>
        </w:rPr>
        <w:t xml:space="preserve"> </w:t>
      </w:r>
      <w:r w:rsidR="00754E00" w:rsidRPr="00F36114">
        <w:rPr>
          <w:rFonts w:ascii="Times New Roman" w:hAnsi="Times New Roman" w:cs="Times New Roman"/>
          <w:color w:val="000000" w:themeColor="text1"/>
          <w:sz w:val="24"/>
          <w:szCs w:val="24"/>
        </w:rPr>
        <w:t xml:space="preserve">in </w:t>
      </w:r>
      <w:r w:rsidR="008A6CC1">
        <w:rPr>
          <w:rFonts w:ascii="Times New Roman" w:hAnsi="Times New Roman" w:cs="Times New Roman"/>
          <w:color w:val="000000" w:themeColor="text1"/>
          <w:sz w:val="24"/>
          <w:szCs w:val="24"/>
        </w:rPr>
        <w:t>extremely</w:t>
      </w:r>
      <w:r w:rsidR="008A6CC1" w:rsidRPr="00F36114">
        <w:rPr>
          <w:rFonts w:ascii="Times New Roman" w:hAnsi="Times New Roman" w:cs="Times New Roman"/>
          <w:color w:val="000000" w:themeColor="text1"/>
          <w:sz w:val="24"/>
          <w:szCs w:val="24"/>
        </w:rPr>
        <w:t xml:space="preserve"> </w:t>
      </w:r>
      <w:r w:rsidR="00754E00" w:rsidRPr="00F36114">
        <w:rPr>
          <w:rFonts w:ascii="Times New Roman" w:hAnsi="Times New Roman" w:cs="Times New Roman"/>
          <w:color w:val="000000" w:themeColor="text1"/>
          <w:sz w:val="24"/>
          <w:szCs w:val="24"/>
        </w:rPr>
        <w:t xml:space="preserve">rare instances when </w:t>
      </w:r>
      <w:r w:rsidR="008A6CC1">
        <w:rPr>
          <w:rFonts w:ascii="Times New Roman" w:hAnsi="Times New Roman" w:cs="Times New Roman"/>
          <w:color w:val="000000" w:themeColor="text1"/>
          <w:sz w:val="24"/>
          <w:szCs w:val="24"/>
        </w:rPr>
        <w:t xml:space="preserve">a substantial amount of </w:t>
      </w:r>
      <w:r w:rsidR="008129EE" w:rsidRPr="00F36114">
        <w:rPr>
          <w:rFonts w:ascii="Times New Roman" w:hAnsi="Times New Roman" w:cs="Times New Roman"/>
          <w:color w:val="000000" w:themeColor="text1"/>
          <w:sz w:val="24"/>
          <w:szCs w:val="24"/>
        </w:rPr>
        <w:t xml:space="preserve">energy offers cleared at </w:t>
      </w:r>
      <w:r w:rsidR="008129EE" w:rsidRPr="00F36114">
        <w:rPr>
          <w:rFonts w:ascii="Times New Roman" w:hAnsi="Times New Roman" w:cs="Times New Roman"/>
          <w:color w:val="000000" w:themeColor="text1"/>
          <w:sz w:val="24"/>
          <w:szCs w:val="24"/>
        </w:rPr>
        <w:lastRenderedPageBreak/>
        <w:t xml:space="preserve">$2,000/MWh (i.e., at the SWOC) </w:t>
      </w:r>
      <w:r w:rsidR="008129EE" w:rsidRPr="000D27AF">
        <w:rPr>
          <w:rFonts w:ascii="Times New Roman" w:hAnsi="Times New Roman" w:cs="Times New Roman"/>
          <w:i/>
          <w:color w:val="000000" w:themeColor="text1"/>
          <w:sz w:val="24"/>
          <w:szCs w:val="24"/>
        </w:rPr>
        <w:t>and</w:t>
      </w:r>
      <w:r w:rsidR="008129EE" w:rsidRPr="00F36114">
        <w:rPr>
          <w:rFonts w:ascii="Times New Roman" w:hAnsi="Times New Roman" w:cs="Times New Roman"/>
          <w:color w:val="000000" w:themeColor="text1"/>
          <w:sz w:val="24"/>
          <w:szCs w:val="24"/>
        </w:rPr>
        <w:t xml:space="preserve"> reserves </w:t>
      </w:r>
      <w:r w:rsidR="008A6CC1">
        <w:rPr>
          <w:rFonts w:ascii="Times New Roman" w:hAnsi="Times New Roman" w:cs="Times New Roman"/>
          <w:color w:val="000000" w:themeColor="text1"/>
          <w:sz w:val="24"/>
          <w:szCs w:val="24"/>
        </w:rPr>
        <w:t xml:space="preserve">were significantly diminished, driving </w:t>
      </w:r>
      <w:r w:rsidR="008129EE" w:rsidRPr="00F36114">
        <w:rPr>
          <w:rFonts w:ascii="Times New Roman" w:hAnsi="Times New Roman" w:cs="Times New Roman"/>
          <w:color w:val="000000" w:themeColor="text1"/>
          <w:sz w:val="24"/>
          <w:szCs w:val="24"/>
        </w:rPr>
        <w:t xml:space="preserve">the ASDC </w:t>
      </w:r>
      <w:r w:rsidR="008A6CC1">
        <w:rPr>
          <w:rFonts w:ascii="Times New Roman" w:hAnsi="Times New Roman" w:cs="Times New Roman"/>
          <w:color w:val="000000" w:themeColor="text1"/>
          <w:sz w:val="24"/>
          <w:szCs w:val="24"/>
        </w:rPr>
        <w:t xml:space="preserve">to the </w:t>
      </w:r>
      <w:r w:rsidR="008129EE" w:rsidRPr="00F36114">
        <w:rPr>
          <w:rFonts w:ascii="Times New Roman" w:hAnsi="Times New Roman" w:cs="Times New Roman"/>
          <w:color w:val="000000" w:themeColor="text1"/>
          <w:sz w:val="24"/>
          <w:szCs w:val="24"/>
        </w:rPr>
        <w:t>maximum of $7,000</w:t>
      </w:r>
      <w:r w:rsidRPr="00F36114">
        <w:rPr>
          <w:rFonts w:ascii="Times New Roman" w:hAnsi="Times New Roman" w:cs="Times New Roman"/>
          <w:color w:val="000000" w:themeColor="text1"/>
          <w:sz w:val="24"/>
          <w:szCs w:val="24"/>
        </w:rPr>
        <w:t>.99</w:t>
      </w:r>
      <w:r w:rsidR="008129EE" w:rsidRPr="00F36114">
        <w:rPr>
          <w:rFonts w:ascii="Times New Roman" w:hAnsi="Times New Roman" w:cs="Times New Roman"/>
          <w:color w:val="000000" w:themeColor="text1"/>
          <w:sz w:val="24"/>
          <w:szCs w:val="24"/>
        </w:rPr>
        <w:t>/MW</w:t>
      </w:r>
      <w:r w:rsidR="005E6142">
        <w:rPr>
          <w:rFonts w:ascii="Times New Roman" w:hAnsi="Times New Roman" w:cs="Times New Roman"/>
          <w:color w:val="000000" w:themeColor="text1"/>
          <w:sz w:val="24"/>
          <w:szCs w:val="24"/>
        </w:rPr>
        <w:t>,</w:t>
      </w:r>
      <w:r w:rsidR="008129EE" w:rsidRPr="00F36114">
        <w:rPr>
          <w:rFonts w:ascii="Times New Roman" w:hAnsi="Times New Roman" w:cs="Times New Roman"/>
          <w:color w:val="000000" w:themeColor="text1"/>
          <w:sz w:val="24"/>
          <w:szCs w:val="24"/>
        </w:rPr>
        <w:t xml:space="preserve"> or if the PBPC set the price due to </w:t>
      </w:r>
      <w:r w:rsidR="007111EC" w:rsidRPr="00F36114">
        <w:rPr>
          <w:rFonts w:ascii="Times New Roman" w:hAnsi="Times New Roman" w:cs="Times New Roman"/>
          <w:color w:val="000000" w:themeColor="text1"/>
          <w:sz w:val="24"/>
          <w:szCs w:val="24"/>
        </w:rPr>
        <w:t xml:space="preserve">total </w:t>
      </w:r>
      <w:r w:rsidR="008129EE" w:rsidRPr="00F36114">
        <w:rPr>
          <w:rFonts w:ascii="Times New Roman" w:hAnsi="Times New Roman" w:cs="Times New Roman"/>
          <w:color w:val="000000" w:themeColor="text1"/>
          <w:sz w:val="24"/>
          <w:szCs w:val="24"/>
        </w:rPr>
        <w:t xml:space="preserve">demand exceeding all available </w:t>
      </w:r>
      <w:r w:rsidR="007111EC" w:rsidRPr="00F36114">
        <w:rPr>
          <w:rFonts w:ascii="Times New Roman" w:hAnsi="Times New Roman" w:cs="Times New Roman"/>
          <w:color w:val="000000" w:themeColor="text1"/>
          <w:sz w:val="24"/>
          <w:szCs w:val="24"/>
        </w:rPr>
        <w:t>supply (</w:t>
      </w:r>
      <w:r w:rsidR="006B0E39">
        <w:rPr>
          <w:rFonts w:ascii="Times New Roman" w:hAnsi="Times New Roman" w:cs="Times New Roman"/>
          <w:color w:val="000000" w:themeColor="text1"/>
          <w:sz w:val="24"/>
          <w:szCs w:val="24"/>
        </w:rPr>
        <w:t xml:space="preserve">again, a highly </w:t>
      </w:r>
      <w:r w:rsidR="008A6CC1">
        <w:rPr>
          <w:rFonts w:ascii="Times New Roman" w:hAnsi="Times New Roman" w:cs="Times New Roman"/>
          <w:color w:val="000000" w:themeColor="text1"/>
          <w:sz w:val="24"/>
          <w:szCs w:val="24"/>
        </w:rPr>
        <w:t>unlikely</w:t>
      </w:r>
      <w:r w:rsidR="006B0E39">
        <w:rPr>
          <w:rFonts w:ascii="Times New Roman" w:hAnsi="Times New Roman" w:cs="Times New Roman"/>
          <w:color w:val="000000" w:themeColor="text1"/>
          <w:sz w:val="24"/>
          <w:szCs w:val="24"/>
        </w:rPr>
        <w:t xml:space="preserve"> practical outcome</w:t>
      </w:r>
      <w:r w:rsidR="007111EC" w:rsidRPr="00F36114">
        <w:rPr>
          <w:rFonts w:ascii="Times New Roman" w:hAnsi="Times New Roman" w:cs="Times New Roman"/>
          <w:color w:val="000000" w:themeColor="text1"/>
          <w:sz w:val="24"/>
          <w:szCs w:val="24"/>
        </w:rPr>
        <w:t>)</w:t>
      </w:r>
      <w:r w:rsidR="008129EE" w:rsidRPr="00F36114">
        <w:rPr>
          <w:rFonts w:ascii="Times New Roman" w:hAnsi="Times New Roman" w:cs="Times New Roman"/>
          <w:color w:val="000000" w:themeColor="text1"/>
          <w:sz w:val="24"/>
          <w:szCs w:val="24"/>
        </w:rPr>
        <w:t>.</w:t>
      </w:r>
      <w:r w:rsidR="007111EC" w:rsidRPr="00F36114">
        <w:rPr>
          <w:rFonts w:ascii="Times New Roman" w:hAnsi="Times New Roman" w:cs="Times New Roman"/>
          <w:color w:val="000000" w:themeColor="text1"/>
          <w:sz w:val="24"/>
          <w:szCs w:val="24"/>
        </w:rPr>
        <w:t xml:space="preserve"> That would represent a significant departure from the current ORDC design, where prices reach $9,000 (with the ORDC adder) </w:t>
      </w:r>
      <w:r w:rsidRPr="00F36114">
        <w:rPr>
          <w:rFonts w:ascii="Times New Roman" w:hAnsi="Times New Roman" w:cs="Times New Roman"/>
          <w:color w:val="000000" w:themeColor="text1"/>
          <w:sz w:val="24"/>
          <w:szCs w:val="24"/>
        </w:rPr>
        <w:t>any time</w:t>
      </w:r>
      <w:r w:rsidR="007111EC" w:rsidRPr="00F36114">
        <w:rPr>
          <w:rFonts w:ascii="Times New Roman" w:hAnsi="Times New Roman" w:cs="Times New Roman"/>
          <w:color w:val="000000" w:themeColor="text1"/>
          <w:sz w:val="24"/>
          <w:szCs w:val="24"/>
        </w:rPr>
        <w:t xml:space="preserve"> the available operating reserves dip below the MCL of 2,000 MW.</w:t>
      </w:r>
      <w:r w:rsidRPr="00F36114">
        <w:rPr>
          <w:rFonts w:ascii="Times New Roman" w:hAnsi="Times New Roman" w:cs="Times New Roman"/>
          <w:color w:val="000000" w:themeColor="text1"/>
          <w:sz w:val="24"/>
          <w:szCs w:val="24"/>
        </w:rPr>
        <w:t xml:space="preserve"> In ERCOT’s</w:t>
      </w:r>
      <w:r w:rsidR="00AA0330" w:rsidRPr="00F36114">
        <w:rPr>
          <w:rFonts w:ascii="Times New Roman" w:hAnsi="Times New Roman" w:cs="Times New Roman"/>
          <w:color w:val="000000" w:themeColor="text1"/>
          <w:sz w:val="24"/>
          <w:szCs w:val="24"/>
        </w:rPr>
        <w:t xml:space="preserve"> example spreadsheet</w:t>
      </w:r>
      <w:r w:rsidRPr="00F36114">
        <w:rPr>
          <w:rFonts w:ascii="Times New Roman" w:hAnsi="Times New Roman" w:cs="Times New Roman"/>
          <w:color w:val="000000" w:themeColor="text1"/>
          <w:sz w:val="24"/>
          <w:szCs w:val="24"/>
        </w:rPr>
        <w:t xml:space="preserve">, </w:t>
      </w:r>
      <w:r w:rsidR="00B877AA" w:rsidRPr="00F36114">
        <w:rPr>
          <w:rFonts w:ascii="Times New Roman" w:hAnsi="Times New Roman" w:cs="Times New Roman"/>
          <w:color w:val="000000" w:themeColor="text1"/>
          <w:sz w:val="24"/>
          <w:szCs w:val="24"/>
        </w:rPr>
        <w:t>if</w:t>
      </w:r>
      <w:r w:rsidR="00E4576E" w:rsidRPr="00F36114">
        <w:rPr>
          <w:rFonts w:ascii="Times New Roman" w:hAnsi="Times New Roman" w:cs="Times New Roman"/>
          <w:color w:val="000000" w:themeColor="text1"/>
          <w:sz w:val="24"/>
          <w:szCs w:val="24"/>
        </w:rPr>
        <w:t xml:space="preserve"> you set the demand such that the system is 1</w:t>
      </w:r>
      <w:r w:rsidR="008A01E0" w:rsidRPr="00F36114">
        <w:rPr>
          <w:rFonts w:ascii="Times New Roman" w:hAnsi="Times New Roman" w:cs="Times New Roman"/>
          <w:color w:val="000000" w:themeColor="text1"/>
          <w:sz w:val="24"/>
          <w:szCs w:val="24"/>
        </w:rPr>
        <w:t> </w:t>
      </w:r>
      <w:r w:rsidR="00E4576E" w:rsidRPr="00F36114">
        <w:rPr>
          <w:rFonts w:ascii="Times New Roman" w:hAnsi="Times New Roman" w:cs="Times New Roman"/>
          <w:color w:val="000000" w:themeColor="text1"/>
          <w:sz w:val="24"/>
          <w:szCs w:val="24"/>
        </w:rPr>
        <w:t>MW short of running out of all energy and reserves (i.e., if you set the demand parameter in ERCOT’s spreadsheet to 57,999 MW</w:t>
      </w:r>
      <w:r w:rsidR="00E4576E" w:rsidRPr="00F36114">
        <w:rPr>
          <w:rStyle w:val="FootnoteReference"/>
          <w:rFonts w:ascii="Times New Roman" w:hAnsi="Times New Roman" w:cs="Times New Roman"/>
          <w:color w:val="000000" w:themeColor="text1"/>
          <w:sz w:val="24"/>
          <w:szCs w:val="24"/>
        </w:rPr>
        <w:footnoteReference w:id="17"/>
      </w:r>
      <w:r w:rsidR="00E4576E" w:rsidRPr="00F36114">
        <w:rPr>
          <w:rFonts w:ascii="Times New Roman" w:hAnsi="Times New Roman" w:cs="Times New Roman"/>
          <w:color w:val="000000" w:themeColor="text1"/>
          <w:sz w:val="24"/>
          <w:szCs w:val="24"/>
        </w:rPr>
        <w:t>), energy prices clear</w:t>
      </w:r>
      <w:r w:rsidR="006B6756" w:rsidRPr="00F36114">
        <w:rPr>
          <w:rFonts w:ascii="Times New Roman" w:hAnsi="Times New Roman" w:cs="Times New Roman"/>
          <w:color w:val="000000" w:themeColor="text1"/>
          <w:sz w:val="24"/>
          <w:szCs w:val="24"/>
        </w:rPr>
        <w:t xml:space="preserve"> only</w:t>
      </w:r>
      <w:r w:rsidR="00E4576E" w:rsidRPr="00F36114">
        <w:rPr>
          <w:rFonts w:ascii="Times New Roman" w:hAnsi="Times New Roman" w:cs="Times New Roman"/>
          <w:color w:val="000000" w:themeColor="text1"/>
          <w:sz w:val="24"/>
          <w:szCs w:val="24"/>
        </w:rPr>
        <w:t xml:space="preserve"> </w:t>
      </w:r>
      <w:r w:rsidR="00704616" w:rsidRPr="00F36114">
        <w:rPr>
          <w:rFonts w:ascii="Times New Roman" w:hAnsi="Times New Roman" w:cs="Times New Roman"/>
          <w:color w:val="000000" w:themeColor="text1"/>
          <w:sz w:val="24"/>
          <w:szCs w:val="24"/>
        </w:rPr>
        <w:t xml:space="preserve">at </w:t>
      </w:r>
      <w:r w:rsidR="00E4576E" w:rsidRPr="00F36114">
        <w:rPr>
          <w:rFonts w:ascii="Times New Roman" w:hAnsi="Times New Roman" w:cs="Times New Roman"/>
          <w:color w:val="000000" w:themeColor="text1"/>
          <w:sz w:val="24"/>
          <w:szCs w:val="24"/>
        </w:rPr>
        <w:t>$7,</w:t>
      </w:r>
      <w:r w:rsidR="00704616" w:rsidRPr="00F36114">
        <w:rPr>
          <w:rFonts w:ascii="Times New Roman" w:hAnsi="Times New Roman" w:cs="Times New Roman"/>
          <w:color w:val="000000" w:themeColor="text1"/>
          <w:sz w:val="24"/>
          <w:szCs w:val="24"/>
        </w:rPr>
        <w:t>060</w:t>
      </w:r>
      <w:r w:rsidR="00E4576E" w:rsidRPr="00F36114">
        <w:rPr>
          <w:rFonts w:ascii="Times New Roman" w:hAnsi="Times New Roman" w:cs="Times New Roman"/>
          <w:color w:val="000000" w:themeColor="text1"/>
          <w:sz w:val="24"/>
          <w:szCs w:val="24"/>
        </w:rPr>
        <w:t>.99</w:t>
      </w:r>
      <w:r w:rsidR="00EB7801">
        <w:rPr>
          <w:rFonts w:ascii="Times New Roman" w:hAnsi="Times New Roman" w:cs="Times New Roman"/>
          <w:color w:val="000000" w:themeColor="text1"/>
          <w:sz w:val="24"/>
          <w:szCs w:val="24"/>
        </w:rPr>
        <w:t xml:space="preserve"> with those parameters</w:t>
      </w:r>
      <w:r w:rsidR="00E4576E" w:rsidRPr="00F36114">
        <w:rPr>
          <w:rFonts w:ascii="Times New Roman" w:hAnsi="Times New Roman" w:cs="Times New Roman"/>
          <w:color w:val="000000" w:themeColor="text1"/>
          <w:sz w:val="24"/>
          <w:szCs w:val="24"/>
        </w:rPr>
        <w:t>.</w:t>
      </w:r>
      <w:r w:rsidR="00E4576E" w:rsidRPr="00F36114">
        <w:rPr>
          <w:rStyle w:val="FootnoteReference"/>
          <w:rFonts w:ascii="Times New Roman" w:hAnsi="Times New Roman" w:cs="Times New Roman"/>
          <w:color w:val="000000" w:themeColor="text1"/>
          <w:sz w:val="24"/>
          <w:szCs w:val="24"/>
        </w:rPr>
        <w:footnoteReference w:id="18"/>
      </w:r>
      <w:r w:rsidR="00B94206" w:rsidRPr="00F36114">
        <w:rPr>
          <w:rFonts w:ascii="Times New Roman" w:hAnsi="Times New Roman" w:cs="Times New Roman"/>
          <w:color w:val="000000" w:themeColor="text1"/>
          <w:sz w:val="24"/>
          <w:szCs w:val="24"/>
        </w:rPr>
        <w:t xml:space="preserve"> In other words, under this </w:t>
      </w:r>
      <w:r w:rsidR="001B293D" w:rsidRPr="00F36114">
        <w:rPr>
          <w:rFonts w:ascii="Times New Roman" w:hAnsi="Times New Roman" w:cs="Times New Roman"/>
          <w:color w:val="000000" w:themeColor="text1"/>
          <w:sz w:val="24"/>
          <w:szCs w:val="24"/>
        </w:rPr>
        <w:t>example</w:t>
      </w:r>
      <w:r w:rsidR="00B94206" w:rsidRPr="00F36114">
        <w:rPr>
          <w:rFonts w:ascii="Times New Roman" w:hAnsi="Times New Roman" w:cs="Times New Roman"/>
          <w:color w:val="000000" w:themeColor="text1"/>
          <w:sz w:val="24"/>
          <w:szCs w:val="24"/>
        </w:rPr>
        <w:t>,</w:t>
      </w:r>
      <w:r w:rsidR="00A76CFF" w:rsidRPr="00F36114">
        <w:rPr>
          <w:rFonts w:ascii="Times New Roman" w:hAnsi="Times New Roman" w:cs="Times New Roman"/>
          <w:color w:val="000000" w:themeColor="text1"/>
          <w:sz w:val="24"/>
          <w:szCs w:val="24"/>
        </w:rPr>
        <w:t xml:space="preserve"> </w:t>
      </w:r>
      <w:r w:rsidR="00B94206" w:rsidRPr="00F36114">
        <w:rPr>
          <w:rFonts w:ascii="Times New Roman" w:hAnsi="Times New Roman" w:cs="Times New Roman"/>
          <w:color w:val="000000" w:themeColor="text1"/>
          <w:sz w:val="24"/>
          <w:szCs w:val="24"/>
        </w:rPr>
        <w:t xml:space="preserve">the ERCOT grid </w:t>
      </w:r>
      <w:r w:rsidR="006131E5">
        <w:rPr>
          <w:rFonts w:ascii="Times New Roman" w:hAnsi="Times New Roman" w:cs="Times New Roman"/>
          <w:color w:val="000000" w:themeColor="text1"/>
          <w:sz w:val="24"/>
          <w:szCs w:val="24"/>
        </w:rPr>
        <w:t>would</w:t>
      </w:r>
      <w:r w:rsidR="006131E5" w:rsidRPr="00F36114">
        <w:rPr>
          <w:rFonts w:ascii="Times New Roman" w:hAnsi="Times New Roman" w:cs="Times New Roman"/>
          <w:color w:val="000000" w:themeColor="text1"/>
          <w:sz w:val="24"/>
          <w:szCs w:val="24"/>
        </w:rPr>
        <w:t xml:space="preserve"> </w:t>
      </w:r>
      <w:r w:rsidR="005E6142">
        <w:rPr>
          <w:rFonts w:ascii="Times New Roman" w:hAnsi="Times New Roman" w:cs="Times New Roman"/>
          <w:color w:val="000000" w:themeColor="text1"/>
          <w:sz w:val="24"/>
          <w:szCs w:val="24"/>
        </w:rPr>
        <w:t xml:space="preserve">already </w:t>
      </w:r>
      <w:r w:rsidR="00B94206" w:rsidRPr="00F36114">
        <w:rPr>
          <w:rFonts w:ascii="Times New Roman" w:hAnsi="Times New Roman" w:cs="Times New Roman"/>
          <w:color w:val="000000" w:themeColor="text1"/>
          <w:sz w:val="24"/>
          <w:szCs w:val="24"/>
        </w:rPr>
        <w:t xml:space="preserve">be </w:t>
      </w:r>
      <w:r w:rsidR="006131E5">
        <w:rPr>
          <w:rFonts w:ascii="Times New Roman" w:hAnsi="Times New Roman" w:cs="Times New Roman"/>
          <w:color w:val="000000" w:themeColor="text1"/>
          <w:sz w:val="24"/>
          <w:szCs w:val="24"/>
        </w:rPr>
        <w:t>shedding firm load</w:t>
      </w:r>
      <w:r w:rsidR="00B94206" w:rsidRPr="00F36114">
        <w:rPr>
          <w:rFonts w:ascii="Times New Roman" w:hAnsi="Times New Roman" w:cs="Times New Roman"/>
          <w:color w:val="000000" w:themeColor="text1"/>
          <w:sz w:val="24"/>
          <w:szCs w:val="24"/>
        </w:rPr>
        <w:t>,</w:t>
      </w:r>
      <w:r w:rsidR="00F37219">
        <w:rPr>
          <w:rStyle w:val="FootnoteReference"/>
          <w:rFonts w:ascii="Times New Roman" w:hAnsi="Times New Roman" w:cs="Times New Roman"/>
          <w:color w:val="000000" w:themeColor="text1"/>
          <w:sz w:val="24"/>
          <w:szCs w:val="24"/>
        </w:rPr>
        <w:footnoteReference w:id="19"/>
      </w:r>
      <w:r w:rsidR="00B94206" w:rsidRPr="00F36114">
        <w:rPr>
          <w:rFonts w:ascii="Times New Roman" w:hAnsi="Times New Roman" w:cs="Times New Roman"/>
          <w:color w:val="000000" w:themeColor="text1"/>
          <w:sz w:val="24"/>
          <w:szCs w:val="24"/>
        </w:rPr>
        <w:t xml:space="preserve"> and yet energy prices would be well below the current $9,000 VOLL</w:t>
      </w:r>
      <w:r w:rsidR="00A76CFF" w:rsidRPr="00F36114">
        <w:rPr>
          <w:rFonts w:ascii="Times New Roman" w:hAnsi="Times New Roman" w:cs="Times New Roman"/>
          <w:color w:val="000000" w:themeColor="text1"/>
          <w:sz w:val="24"/>
          <w:szCs w:val="24"/>
        </w:rPr>
        <w:t>.</w:t>
      </w:r>
      <w:r w:rsidR="00B75BE0" w:rsidRPr="00F36114">
        <w:rPr>
          <w:rFonts w:ascii="Times New Roman" w:hAnsi="Times New Roman" w:cs="Times New Roman"/>
          <w:color w:val="000000" w:themeColor="text1"/>
          <w:sz w:val="24"/>
          <w:szCs w:val="24"/>
        </w:rPr>
        <w:t xml:space="preserve"> </w:t>
      </w:r>
    </w:p>
    <w:p w14:paraId="22E9399A" w14:textId="77777777" w:rsidR="006D4F01" w:rsidRDefault="00B94206" w:rsidP="003C4953">
      <w:pPr>
        <w:spacing w:line="360" w:lineRule="auto"/>
        <w:ind w:firstLine="720"/>
        <w:jc w:val="both"/>
        <w:rPr>
          <w:rFonts w:ascii="Times New Roman" w:hAnsi="Times New Roman" w:cs="Times New Roman"/>
          <w:color w:val="000000" w:themeColor="text1"/>
          <w:sz w:val="24"/>
          <w:szCs w:val="24"/>
        </w:rPr>
      </w:pPr>
      <w:r w:rsidRPr="00F36114">
        <w:rPr>
          <w:rFonts w:ascii="Times New Roman" w:hAnsi="Times New Roman" w:cs="Times New Roman"/>
          <w:color w:val="000000" w:themeColor="text1"/>
          <w:sz w:val="24"/>
          <w:szCs w:val="24"/>
        </w:rPr>
        <w:t>Another example</w:t>
      </w:r>
      <w:r w:rsidR="00DD76A7">
        <w:rPr>
          <w:rFonts w:ascii="Times New Roman" w:hAnsi="Times New Roman" w:cs="Times New Roman"/>
          <w:color w:val="000000" w:themeColor="text1"/>
          <w:sz w:val="24"/>
          <w:szCs w:val="24"/>
        </w:rPr>
        <w:t>, suggested by ERCOT</w:t>
      </w:r>
      <w:r w:rsidR="00A54566">
        <w:rPr>
          <w:rFonts w:ascii="Times New Roman" w:hAnsi="Times New Roman" w:cs="Times New Roman"/>
          <w:color w:val="000000" w:themeColor="text1"/>
          <w:sz w:val="24"/>
          <w:szCs w:val="24"/>
        </w:rPr>
        <w:t xml:space="preserve"> in certain publications</w:t>
      </w:r>
      <w:r w:rsidR="00DD76A7">
        <w:rPr>
          <w:rFonts w:ascii="Times New Roman" w:hAnsi="Times New Roman" w:cs="Times New Roman"/>
          <w:color w:val="000000" w:themeColor="text1"/>
          <w:sz w:val="24"/>
          <w:szCs w:val="24"/>
        </w:rPr>
        <w:t>,</w:t>
      </w:r>
      <w:r w:rsidR="00A54566">
        <w:rPr>
          <w:rStyle w:val="FootnoteReference"/>
          <w:rFonts w:ascii="Times New Roman" w:hAnsi="Times New Roman" w:cs="Times New Roman"/>
          <w:color w:val="000000" w:themeColor="text1"/>
          <w:sz w:val="24"/>
          <w:szCs w:val="24"/>
        </w:rPr>
        <w:footnoteReference w:id="20"/>
      </w:r>
      <w:r w:rsidRPr="00F36114">
        <w:rPr>
          <w:rFonts w:ascii="Times New Roman" w:hAnsi="Times New Roman" w:cs="Times New Roman"/>
          <w:color w:val="000000" w:themeColor="text1"/>
          <w:sz w:val="24"/>
          <w:szCs w:val="24"/>
        </w:rPr>
        <w:t xml:space="preserve"> would be to set the </w:t>
      </w:r>
      <w:r w:rsidR="007111EC" w:rsidRPr="00F36114">
        <w:rPr>
          <w:rFonts w:ascii="Times New Roman" w:hAnsi="Times New Roman" w:cs="Times New Roman"/>
          <w:color w:val="000000" w:themeColor="text1"/>
          <w:sz w:val="24"/>
          <w:szCs w:val="24"/>
        </w:rPr>
        <w:t xml:space="preserve">SWOC at $2,000, the ASDC maximum at </w:t>
      </w:r>
      <w:r w:rsidRPr="00F36114">
        <w:rPr>
          <w:rFonts w:ascii="Times New Roman" w:hAnsi="Times New Roman" w:cs="Times New Roman"/>
          <w:color w:val="000000" w:themeColor="text1"/>
          <w:sz w:val="24"/>
          <w:szCs w:val="24"/>
        </w:rPr>
        <w:t>$9,000, and</w:t>
      </w:r>
      <w:r w:rsidR="00E3321F" w:rsidRPr="00F36114">
        <w:rPr>
          <w:rFonts w:ascii="Times New Roman" w:hAnsi="Times New Roman" w:cs="Times New Roman"/>
          <w:color w:val="000000" w:themeColor="text1"/>
          <w:sz w:val="24"/>
          <w:szCs w:val="24"/>
        </w:rPr>
        <w:t xml:space="preserve"> the PBPC value at $11,001</w:t>
      </w:r>
      <w:r w:rsidR="003E7308" w:rsidRPr="00F36114">
        <w:rPr>
          <w:rFonts w:ascii="Times New Roman" w:hAnsi="Times New Roman" w:cs="Times New Roman"/>
          <w:color w:val="000000" w:themeColor="text1"/>
          <w:sz w:val="24"/>
          <w:szCs w:val="24"/>
        </w:rPr>
        <w:t>. In this example, prices would reach</w:t>
      </w:r>
      <w:r w:rsidR="00A76CFF" w:rsidRPr="00F36114">
        <w:rPr>
          <w:rFonts w:ascii="Times New Roman" w:hAnsi="Times New Roman" w:cs="Times New Roman"/>
          <w:color w:val="000000" w:themeColor="text1"/>
          <w:sz w:val="24"/>
          <w:szCs w:val="24"/>
        </w:rPr>
        <w:t xml:space="preserve"> (or exceed) $9,000 as soon as reserves were depleted to the point that the ASDC maximum value was reached</w:t>
      </w:r>
      <w:r w:rsidR="003E7308" w:rsidRPr="00F36114">
        <w:rPr>
          <w:rFonts w:ascii="Times New Roman" w:hAnsi="Times New Roman" w:cs="Times New Roman"/>
          <w:color w:val="000000" w:themeColor="text1"/>
          <w:sz w:val="24"/>
          <w:szCs w:val="24"/>
        </w:rPr>
        <w:t xml:space="preserve">. </w:t>
      </w:r>
      <w:r w:rsidR="00AC47E8" w:rsidRPr="00F36114">
        <w:rPr>
          <w:rFonts w:ascii="Times New Roman" w:hAnsi="Times New Roman" w:cs="Times New Roman"/>
          <w:color w:val="000000" w:themeColor="text1"/>
          <w:sz w:val="24"/>
          <w:szCs w:val="24"/>
        </w:rPr>
        <w:t>With these parameters</w:t>
      </w:r>
      <w:r w:rsidR="003E7308" w:rsidRPr="00F36114">
        <w:rPr>
          <w:rFonts w:ascii="Times New Roman" w:hAnsi="Times New Roman" w:cs="Times New Roman"/>
          <w:color w:val="000000" w:themeColor="text1"/>
          <w:sz w:val="24"/>
          <w:szCs w:val="24"/>
        </w:rPr>
        <w:t>,</w:t>
      </w:r>
      <w:r w:rsidR="0064567A" w:rsidRPr="00F36114">
        <w:rPr>
          <w:rFonts w:ascii="Times New Roman" w:hAnsi="Times New Roman" w:cs="Times New Roman"/>
          <w:color w:val="000000" w:themeColor="text1"/>
          <w:sz w:val="24"/>
          <w:szCs w:val="24"/>
        </w:rPr>
        <w:t xml:space="preserve"> there would be </w:t>
      </w:r>
      <w:r w:rsidR="00EB7801">
        <w:rPr>
          <w:rFonts w:ascii="Times New Roman" w:hAnsi="Times New Roman" w:cs="Times New Roman"/>
          <w:color w:val="000000" w:themeColor="text1"/>
          <w:sz w:val="24"/>
          <w:szCs w:val="24"/>
        </w:rPr>
        <w:t xml:space="preserve">rare </w:t>
      </w:r>
      <w:r w:rsidR="0064567A" w:rsidRPr="00F36114">
        <w:rPr>
          <w:rFonts w:ascii="Times New Roman" w:hAnsi="Times New Roman" w:cs="Times New Roman"/>
          <w:color w:val="000000" w:themeColor="text1"/>
          <w:sz w:val="24"/>
          <w:szCs w:val="24"/>
        </w:rPr>
        <w:t xml:space="preserve">instances where actual prices would exceed the </w:t>
      </w:r>
      <w:r w:rsidR="00980245" w:rsidRPr="00F36114">
        <w:rPr>
          <w:rFonts w:ascii="Times New Roman" w:hAnsi="Times New Roman" w:cs="Times New Roman"/>
          <w:color w:val="000000" w:themeColor="text1"/>
          <w:sz w:val="24"/>
          <w:szCs w:val="24"/>
        </w:rPr>
        <w:t xml:space="preserve">current </w:t>
      </w:r>
      <w:r w:rsidR="0064567A" w:rsidRPr="00F36114">
        <w:rPr>
          <w:rFonts w:ascii="Times New Roman" w:hAnsi="Times New Roman" w:cs="Times New Roman"/>
          <w:color w:val="000000" w:themeColor="text1"/>
          <w:sz w:val="24"/>
          <w:szCs w:val="24"/>
        </w:rPr>
        <w:t>VOLL of</w:t>
      </w:r>
      <w:r w:rsidR="003E7308" w:rsidRPr="00F36114">
        <w:rPr>
          <w:rFonts w:ascii="Times New Roman" w:hAnsi="Times New Roman" w:cs="Times New Roman"/>
          <w:color w:val="000000" w:themeColor="text1"/>
          <w:sz w:val="24"/>
          <w:szCs w:val="24"/>
        </w:rPr>
        <w:t xml:space="preserve"> $9,000</w:t>
      </w:r>
      <w:r w:rsidR="0064567A" w:rsidRPr="00F36114">
        <w:rPr>
          <w:rFonts w:ascii="Times New Roman" w:hAnsi="Times New Roman" w:cs="Times New Roman"/>
          <w:color w:val="000000" w:themeColor="text1"/>
          <w:sz w:val="24"/>
          <w:szCs w:val="24"/>
        </w:rPr>
        <w:t>/MWh</w:t>
      </w:r>
      <w:r w:rsidR="000E74D4" w:rsidRPr="00F36114">
        <w:rPr>
          <w:rFonts w:ascii="Times New Roman" w:hAnsi="Times New Roman" w:cs="Times New Roman"/>
          <w:color w:val="000000" w:themeColor="text1"/>
          <w:sz w:val="24"/>
          <w:szCs w:val="24"/>
        </w:rPr>
        <w:t>, because the energy price in times of scarcity would equal the ASDC maximum plus the marginal energy offer, which theoretically could be as high as the SWOC. This potential occurrence</w:t>
      </w:r>
      <w:r w:rsidR="00EB7801">
        <w:rPr>
          <w:rFonts w:ascii="Times New Roman" w:hAnsi="Times New Roman" w:cs="Times New Roman"/>
          <w:color w:val="000000" w:themeColor="text1"/>
          <w:sz w:val="24"/>
          <w:szCs w:val="24"/>
        </w:rPr>
        <w:t>, while rare,</w:t>
      </w:r>
      <w:r w:rsidR="000E74D4" w:rsidRPr="00F36114">
        <w:rPr>
          <w:rFonts w:ascii="Times New Roman" w:hAnsi="Times New Roman" w:cs="Times New Roman"/>
          <w:color w:val="000000" w:themeColor="text1"/>
          <w:sz w:val="24"/>
          <w:szCs w:val="24"/>
        </w:rPr>
        <w:t xml:space="preserve"> </w:t>
      </w:r>
      <w:r w:rsidR="0064567A" w:rsidRPr="00F36114">
        <w:rPr>
          <w:rFonts w:ascii="Times New Roman" w:hAnsi="Times New Roman" w:cs="Times New Roman"/>
          <w:color w:val="000000" w:themeColor="text1"/>
          <w:sz w:val="24"/>
          <w:szCs w:val="24"/>
        </w:rPr>
        <w:t>could be addressed by imposing an effective price cap of $9</w:t>
      </w:r>
      <w:r w:rsidR="003E7308" w:rsidRPr="00F36114">
        <w:rPr>
          <w:rFonts w:ascii="Times New Roman" w:hAnsi="Times New Roman" w:cs="Times New Roman"/>
          <w:color w:val="000000" w:themeColor="text1"/>
          <w:sz w:val="24"/>
          <w:szCs w:val="24"/>
        </w:rPr>
        <w:t xml:space="preserve">,000. However, </w:t>
      </w:r>
      <w:r w:rsidR="007255F3">
        <w:rPr>
          <w:rFonts w:ascii="Times New Roman" w:hAnsi="Times New Roman" w:cs="Times New Roman"/>
          <w:color w:val="000000" w:themeColor="text1"/>
          <w:sz w:val="24"/>
          <w:szCs w:val="24"/>
        </w:rPr>
        <w:t>capping prices</w:t>
      </w:r>
      <w:r w:rsidR="003E7308" w:rsidRPr="00F36114">
        <w:rPr>
          <w:rFonts w:ascii="Times New Roman" w:hAnsi="Times New Roman" w:cs="Times New Roman"/>
          <w:color w:val="000000" w:themeColor="text1"/>
          <w:sz w:val="24"/>
          <w:szCs w:val="24"/>
        </w:rPr>
        <w:t xml:space="preserve"> could </w:t>
      </w:r>
      <w:r w:rsidR="007255F3">
        <w:rPr>
          <w:rFonts w:ascii="Times New Roman" w:hAnsi="Times New Roman" w:cs="Times New Roman"/>
          <w:color w:val="000000" w:themeColor="text1"/>
          <w:sz w:val="24"/>
          <w:szCs w:val="24"/>
        </w:rPr>
        <w:t xml:space="preserve">result in </w:t>
      </w:r>
      <w:proofErr w:type="spellStart"/>
      <w:r w:rsidR="00C40FA9" w:rsidRPr="00F36114">
        <w:rPr>
          <w:rFonts w:ascii="Times New Roman" w:hAnsi="Times New Roman" w:cs="Times New Roman"/>
          <w:color w:val="000000" w:themeColor="text1"/>
          <w:sz w:val="24"/>
          <w:szCs w:val="24"/>
        </w:rPr>
        <w:t>unhedg</w:t>
      </w:r>
      <w:r w:rsidR="00AA0330" w:rsidRPr="00F36114">
        <w:rPr>
          <w:rFonts w:ascii="Times New Roman" w:hAnsi="Times New Roman" w:cs="Times New Roman"/>
          <w:color w:val="000000" w:themeColor="text1"/>
          <w:sz w:val="24"/>
          <w:szCs w:val="24"/>
        </w:rPr>
        <w:t>e</w:t>
      </w:r>
      <w:r w:rsidR="00C40FA9" w:rsidRPr="00F36114">
        <w:rPr>
          <w:rFonts w:ascii="Times New Roman" w:hAnsi="Times New Roman" w:cs="Times New Roman"/>
          <w:color w:val="000000" w:themeColor="text1"/>
          <w:sz w:val="24"/>
          <w:szCs w:val="24"/>
        </w:rPr>
        <w:t>able</w:t>
      </w:r>
      <w:proofErr w:type="spellEnd"/>
      <w:r w:rsidR="00C40FA9" w:rsidRPr="00F36114">
        <w:rPr>
          <w:rFonts w:ascii="Times New Roman" w:hAnsi="Times New Roman" w:cs="Times New Roman"/>
          <w:color w:val="000000" w:themeColor="text1"/>
          <w:sz w:val="24"/>
          <w:szCs w:val="24"/>
        </w:rPr>
        <w:t xml:space="preserve"> </w:t>
      </w:r>
      <w:r w:rsidR="00EB7801">
        <w:rPr>
          <w:rFonts w:ascii="Times New Roman" w:hAnsi="Times New Roman" w:cs="Times New Roman"/>
          <w:color w:val="000000" w:themeColor="text1"/>
          <w:sz w:val="24"/>
          <w:szCs w:val="24"/>
        </w:rPr>
        <w:t>uplift</w:t>
      </w:r>
      <w:r w:rsidR="003E7308" w:rsidRPr="00F36114">
        <w:rPr>
          <w:rFonts w:ascii="Times New Roman" w:hAnsi="Times New Roman" w:cs="Times New Roman"/>
          <w:color w:val="000000" w:themeColor="text1"/>
          <w:sz w:val="24"/>
          <w:szCs w:val="24"/>
        </w:rPr>
        <w:t>.</w:t>
      </w:r>
      <w:r w:rsidR="00844766" w:rsidRPr="00F36114">
        <w:rPr>
          <w:rStyle w:val="FootnoteReference"/>
          <w:rFonts w:ascii="Times New Roman" w:hAnsi="Times New Roman" w:cs="Times New Roman"/>
          <w:color w:val="000000" w:themeColor="text1"/>
          <w:sz w:val="24"/>
          <w:szCs w:val="24"/>
        </w:rPr>
        <w:footnoteReference w:id="21"/>
      </w:r>
      <w:r w:rsidR="000E74D4" w:rsidRPr="00F36114">
        <w:rPr>
          <w:rFonts w:ascii="Times New Roman" w:hAnsi="Times New Roman" w:cs="Times New Roman"/>
          <w:color w:val="000000" w:themeColor="text1"/>
          <w:sz w:val="24"/>
          <w:szCs w:val="24"/>
        </w:rPr>
        <w:t xml:space="preserve"> </w:t>
      </w:r>
    </w:p>
    <w:p w14:paraId="0BD0C7FF" w14:textId="3AC49EE0" w:rsidR="003E7308" w:rsidRPr="00F36114" w:rsidRDefault="00472466" w:rsidP="003C4953">
      <w:pPr>
        <w:spacing w:line="360" w:lineRule="auto"/>
        <w:ind w:firstLine="720"/>
        <w:jc w:val="both"/>
        <w:rPr>
          <w:rFonts w:ascii="Times New Roman" w:hAnsi="Times New Roman" w:cs="Times New Roman"/>
          <w:color w:val="000000" w:themeColor="text1"/>
          <w:sz w:val="24"/>
          <w:szCs w:val="24"/>
        </w:rPr>
      </w:pPr>
      <w:r w:rsidRPr="00F36114">
        <w:rPr>
          <w:rFonts w:ascii="Times New Roman" w:hAnsi="Times New Roman" w:cs="Times New Roman"/>
          <w:color w:val="000000" w:themeColor="text1"/>
          <w:sz w:val="24"/>
          <w:szCs w:val="24"/>
        </w:rPr>
        <w:lastRenderedPageBreak/>
        <w:t>Th</w:t>
      </w:r>
      <w:r>
        <w:rPr>
          <w:rFonts w:ascii="Times New Roman" w:hAnsi="Times New Roman" w:cs="Times New Roman"/>
          <w:color w:val="000000" w:themeColor="text1"/>
          <w:sz w:val="24"/>
          <w:szCs w:val="24"/>
        </w:rPr>
        <w:t>ese</w:t>
      </w:r>
      <w:r w:rsidRPr="00F36114">
        <w:rPr>
          <w:rFonts w:ascii="Times New Roman" w:hAnsi="Times New Roman" w:cs="Times New Roman"/>
          <w:color w:val="000000" w:themeColor="text1"/>
          <w:sz w:val="24"/>
          <w:szCs w:val="24"/>
        </w:rPr>
        <w:t xml:space="preserve"> </w:t>
      </w:r>
      <w:r w:rsidR="00B84C72" w:rsidRPr="00F36114">
        <w:rPr>
          <w:rFonts w:ascii="Times New Roman" w:hAnsi="Times New Roman" w:cs="Times New Roman"/>
          <w:color w:val="000000" w:themeColor="text1"/>
          <w:sz w:val="24"/>
          <w:szCs w:val="24"/>
        </w:rPr>
        <w:t>example</w:t>
      </w:r>
      <w:r>
        <w:rPr>
          <w:rFonts w:ascii="Times New Roman" w:hAnsi="Times New Roman" w:cs="Times New Roman"/>
          <w:color w:val="000000" w:themeColor="text1"/>
          <w:sz w:val="24"/>
          <w:szCs w:val="24"/>
        </w:rPr>
        <w:t>s</w:t>
      </w:r>
      <w:r w:rsidR="00B84C72" w:rsidRPr="00F36114">
        <w:rPr>
          <w:rFonts w:ascii="Times New Roman" w:hAnsi="Times New Roman" w:cs="Times New Roman"/>
          <w:color w:val="000000" w:themeColor="text1"/>
          <w:sz w:val="24"/>
          <w:szCs w:val="24"/>
        </w:rPr>
        <w:t xml:space="preserve"> also </w:t>
      </w:r>
      <w:r w:rsidR="00AB429A">
        <w:rPr>
          <w:rFonts w:ascii="Times New Roman" w:hAnsi="Times New Roman" w:cs="Times New Roman"/>
          <w:color w:val="000000" w:themeColor="text1"/>
          <w:sz w:val="24"/>
          <w:szCs w:val="24"/>
        </w:rPr>
        <w:t>demonstrate the difficulty of defining</w:t>
      </w:r>
      <w:r w:rsidR="00B84C72" w:rsidRPr="00F36114">
        <w:rPr>
          <w:rFonts w:ascii="Times New Roman" w:hAnsi="Times New Roman" w:cs="Times New Roman"/>
          <w:color w:val="000000" w:themeColor="text1"/>
          <w:sz w:val="24"/>
          <w:szCs w:val="24"/>
        </w:rPr>
        <w:t xml:space="preserve"> VOLL </w:t>
      </w:r>
      <w:r w:rsidR="00AB429A">
        <w:rPr>
          <w:rFonts w:ascii="Times New Roman" w:hAnsi="Times New Roman" w:cs="Times New Roman"/>
          <w:color w:val="000000" w:themeColor="text1"/>
          <w:sz w:val="24"/>
          <w:szCs w:val="24"/>
        </w:rPr>
        <w:t>in the RTC construct</w:t>
      </w:r>
      <w:r w:rsidR="00C40FA9" w:rsidRPr="00F36114">
        <w:rPr>
          <w:rFonts w:ascii="Times New Roman" w:hAnsi="Times New Roman" w:cs="Times New Roman"/>
          <w:color w:val="000000" w:themeColor="text1"/>
          <w:sz w:val="24"/>
          <w:szCs w:val="24"/>
        </w:rPr>
        <w:t xml:space="preserve"> – </w:t>
      </w:r>
      <w:r w:rsidR="00AB429A">
        <w:rPr>
          <w:rFonts w:ascii="Times New Roman" w:hAnsi="Times New Roman" w:cs="Times New Roman"/>
          <w:color w:val="000000" w:themeColor="text1"/>
          <w:sz w:val="24"/>
          <w:szCs w:val="24"/>
        </w:rPr>
        <w:t>e.g., in th</w:t>
      </w:r>
      <w:r>
        <w:rPr>
          <w:rFonts w:ascii="Times New Roman" w:hAnsi="Times New Roman" w:cs="Times New Roman"/>
          <w:color w:val="000000" w:themeColor="text1"/>
          <w:sz w:val="24"/>
          <w:szCs w:val="24"/>
        </w:rPr>
        <w:t>ese</w:t>
      </w:r>
      <w:r w:rsidR="00AB429A">
        <w:rPr>
          <w:rFonts w:ascii="Times New Roman" w:hAnsi="Times New Roman" w:cs="Times New Roman"/>
          <w:color w:val="000000" w:themeColor="text1"/>
          <w:sz w:val="24"/>
          <w:szCs w:val="24"/>
        </w:rPr>
        <w:t xml:space="preserve"> example</w:t>
      </w:r>
      <w:r>
        <w:rPr>
          <w:rFonts w:ascii="Times New Roman" w:hAnsi="Times New Roman" w:cs="Times New Roman"/>
          <w:color w:val="000000" w:themeColor="text1"/>
          <w:sz w:val="24"/>
          <w:szCs w:val="24"/>
        </w:rPr>
        <w:t>s</w:t>
      </w:r>
      <w:r w:rsidR="00AB429A">
        <w:rPr>
          <w:rFonts w:ascii="Times New Roman" w:hAnsi="Times New Roman" w:cs="Times New Roman"/>
          <w:color w:val="000000" w:themeColor="text1"/>
          <w:sz w:val="24"/>
          <w:szCs w:val="24"/>
        </w:rPr>
        <w:t xml:space="preserve">, VOLL could be characterized as </w:t>
      </w:r>
      <w:r w:rsidR="00C40FA9" w:rsidRPr="00F36114">
        <w:rPr>
          <w:rFonts w:ascii="Times New Roman" w:hAnsi="Times New Roman" w:cs="Times New Roman"/>
          <w:color w:val="000000" w:themeColor="text1"/>
          <w:sz w:val="24"/>
          <w:szCs w:val="24"/>
        </w:rPr>
        <w:t xml:space="preserve">the sum of the ASDC maximum and the SWOC, </w:t>
      </w:r>
      <w:r w:rsidR="00AB429A">
        <w:rPr>
          <w:rFonts w:ascii="Times New Roman" w:hAnsi="Times New Roman" w:cs="Times New Roman"/>
          <w:color w:val="000000" w:themeColor="text1"/>
          <w:sz w:val="24"/>
          <w:szCs w:val="24"/>
        </w:rPr>
        <w:t xml:space="preserve">the </w:t>
      </w:r>
      <w:r w:rsidR="005353EC">
        <w:rPr>
          <w:rFonts w:ascii="Times New Roman" w:hAnsi="Times New Roman" w:cs="Times New Roman"/>
          <w:color w:val="000000" w:themeColor="text1"/>
          <w:sz w:val="24"/>
          <w:szCs w:val="24"/>
        </w:rPr>
        <w:t xml:space="preserve">ASDC maximum, </w:t>
      </w:r>
      <w:r w:rsidR="00C40FA9" w:rsidRPr="00F36114">
        <w:rPr>
          <w:rFonts w:ascii="Times New Roman" w:hAnsi="Times New Roman" w:cs="Times New Roman"/>
          <w:color w:val="000000" w:themeColor="text1"/>
          <w:sz w:val="24"/>
          <w:szCs w:val="24"/>
        </w:rPr>
        <w:t xml:space="preserve">or </w:t>
      </w:r>
      <w:r w:rsidR="00247C85">
        <w:rPr>
          <w:rFonts w:ascii="Times New Roman" w:hAnsi="Times New Roman" w:cs="Times New Roman"/>
          <w:color w:val="000000" w:themeColor="text1"/>
          <w:sz w:val="24"/>
          <w:szCs w:val="24"/>
        </w:rPr>
        <w:t>any applicable</w:t>
      </w:r>
      <w:r w:rsidR="00C40FA9" w:rsidRPr="00F36114">
        <w:rPr>
          <w:rFonts w:ascii="Times New Roman" w:hAnsi="Times New Roman" w:cs="Times New Roman"/>
          <w:color w:val="000000" w:themeColor="text1"/>
          <w:sz w:val="24"/>
          <w:szCs w:val="24"/>
        </w:rPr>
        <w:t xml:space="preserve"> effective price cap.</w:t>
      </w:r>
      <w:r w:rsidR="006D4F01">
        <w:rPr>
          <w:rFonts w:ascii="Times New Roman" w:hAnsi="Times New Roman" w:cs="Times New Roman"/>
          <w:color w:val="000000" w:themeColor="text1"/>
          <w:sz w:val="24"/>
          <w:szCs w:val="24"/>
        </w:rPr>
        <w:t xml:space="preserve"> </w:t>
      </w:r>
      <w:r w:rsidR="000E74D4" w:rsidRPr="00F36114">
        <w:rPr>
          <w:rFonts w:ascii="Times New Roman" w:hAnsi="Times New Roman" w:cs="Times New Roman"/>
          <w:color w:val="000000" w:themeColor="text1"/>
          <w:sz w:val="24"/>
          <w:szCs w:val="24"/>
        </w:rPr>
        <w:t>T</w:t>
      </w:r>
      <w:r w:rsidR="00844766" w:rsidRPr="00F36114">
        <w:rPr>
          <w:rFonts w:ascii="Times New Roman" w:hAnsi="Times New Roman" w:cs="Times New Roman"/>
          <w:color w:val="000000" w:themeColor="text1"/>
          <w:sz w:val="24"/>
          <w:szCs w:val="24"/>
        </w:rPr>
        <w:t xml:space="preserve">hese examples are </w:t>
      </w:r>
      <w:bookmarkStart w:id="3" w:name="_GoBack"/>
      <w:r w:rsidR="006D4F01">
        <w:rPr>
          <w:rFonts w:ascii="Times New Roman" w:hAnsi="Times New Roman" w:cs="Times New Roman"/>
          <w:color w:val="000000" w:themeColor="text1"/>
          <w:sz w:val="24"/>
          <w:szCs w:val="24"/>
        </w:rPr>
        <w:t xml:space="preserve">also </w:t>
      </w:r>
      <w:bookmarkEnd w:id="3"/>
      <w:r w:rsidR="00844766" w:rsidRPr="00F36114">
        <w:rPr>
          <w:rFonts w:ascii="Times New Roman" w:hAnsi="Times New Roman" w:cs="Times New Roman"/>
          <w:color w:val="000000" w:themeColor="text1"/>
          <w:sz w:val="24"/>
          <w:szCs w:val="24"/>
        </w:rPr>
        <w:t>intended to be purely illustrative to demonstrate the inherent complexities of the RTC market design and the challenge of designing RTC in a</w:t>
      </w:r>
      <w:r w:rsidR="00B2519B" w:rsidRPr="00F36114">
        <w:rPr>
          <w:rFonts w:ascii="Times New Roman" w:hAnsi="Times New Roman" w:cs="Times New Roman"/>
          <w:color w:val="000000" w:themeColor="text1"/>
          <w:sz w:val="24"/>
          <w:szCs w:val="24"/>
        </w:rPr>
        <w:t>n optimal</w:t>
      </w:r>
      <w:r w:rsidR="00844766" w:rsidRPr="00F36114">
        <w:rPr>
          <w:rFonts w:ascii="Times New Roman" w:hAnsi="Times New Roman" w:cs="Times New Roman"/>
          <w:color w:val="000000" w:themeColor="text1"/>
          <w:sz w:val="24"/>
          <w:szCs w:val="24"/>
        </w:rPr>
        <w:t xml:space="preserve"> manner that will do no harm to resource adequacy</w:t>
      </w:r>
      <w:r w:rsidR="00C72EE8">
        <w:rPr>
          <w:rFonts w:ascii="Times New Roman" w:hAnsi="Times New Roman" w:cs="Times New Roman"/>
          <w:color w:val="000000" w:themeColor="text1"/>
          <w:sz w:val="24"/>
          <w:szCs w:val="24"/>
        </w:rPr>
        <w:t xml:space="preserve"> and thereby to underscore the need for additional independent analysis before deciding upon the key RTC parameters</w:t>
      </w:r>
      <w:r w:rsidR="00844766" w:rsidRPr="00F36114">
        <w:rPr>
          <w:rFonts w:ascii="Times New Roman" w:hAnsi="Times New Roman" w:cs="Times New Roman"/>
          <w:color w:val="000000" w:themeColor="text1"/>
          <w:sz w:val="24"/>
          <w:szCs w:val="24"/>
        </w:rPr>
        <w:t xml:space="preserve">. </w:t>
      </w:r>
    </w:p>
    <w:p w14:paraId="63952C6B" w14:textId="585C93E1" w:rsidR="00395022" w:rsidRPr="00F36114" w:rsidRDefault="00431C7A" w:rsidP="003C4953">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395022" w:rsidRPr="00F36114">
        <w:rPr>
          <w:rFonts w:ascii="Times New Roman" w:hAnsi="Times New Roman" w:cs="Times New Roman"/>
          <w:color w:val="000000" w:themeColor="text1"/>
          <w:sz w:val="24"/>
          <w:szCs w:val="24"/>
        </w:rPr>
        <w:t>nother parameter that the Commission should consider is whether the low system-wide offer cap (LCAP) is still needed in the RTC construct. In Project No. 48721, TCPA has advocated eliminating the LCAP even in the current market construc</w:t>
      </w:r>
      <w:r w:rsidR="000E74D4" w:rsidRPr="00F36114">
        <w:rPr>
          <w:rFonts w:ascii="Times New Roman" w:hAnsi="Times New Roman" w:cs="Times New Roman"/>
          <w:color w:val="000000" w:themeColor="text1"/>
          <w:sz w:val="24"/>
          <w:szCs w:val="24"/>
        </w:rPr>
        <w:t xml:space="preserve">t because the LCAP is </w:t>
      </w:r>
      <w:r w:rsidR="00522553" w:rsidRPr="00F36114">
        <w:rPr>
          <w:rFonts w:ascii="Times New Roman" w:hAnsi="Times New Roman" w:cs="Times New Roman"/>
          <w:color w:val="000000" w:themeColor="text1"/>
          <w:sz w:val="24"/>
          <w:szCs w:val="24"/>
        </w:rPr>
        <w:t xml:space="preserve">conceptually inconsistent with </w:t>
      </w:r>
      <w:r w:rsidR="000E74D4" w:rsidRPr="00F36114">
        <w:rPr>
          <w:rFonts w:ascii="Times New Roman" w:hAnsi="Times New Roman" w:cs="Times New Roman"/>
          <w:color w:val="000000" w:themeColor="text1"/>
          <w:sz w:val="24"/>
          <w:szCs w:val="24"/>
        </w:rPr>
        <w:t>an energy-only market design.</w:t>
      </w:r>
      <w:r w:rsidR="00395022" w:rsidRPr="00F36114">
        <w:rPr>
          <w:rFonts w:ascii="Times New Roman" w:hAnsi="Times New Roman" w:cs="Times New Roman"/>
          <w:color w:val="000000" w:themeColor="text1"/>
          <w:sz w:val="24"/>
          <w:szCs w:val="24"/>
        </w:rPr>
        <w:t xml:space="preserve"> If the Commission designs the RTC in a manner that relies primarily on the ASDC, rather than energy offers, to establish scarcity pricing, then there will be even less of a need for the LCAP. The current LCAP is $2,000/MWh, which</w:t>
      </w:r>
      <w:r w:rsidR="000E74D4" w:rsidRPr="00F36114">
        <w:rPr>
          <w:rFonts w:ascii="Times New Roman" w:hAnsi="Times New Roman" w:cs="Times New Roman"/>
          <w:color w:val="000000" w:themeColor="text1"/>
          <w:sz w:val="24"/>
          <w:szCs w:val="24"/>
        </w:rPr>
        <w:t>, as noted above,</w:t>
      </w:r>
      <w:r w:rsidR="00395022" w:rsidRPr="00F36114">
        <w:rPr>
          <w:rFonts w:ascii="Times New Roman" w:hAnsi="Times New Roman" w:cs="Times New Roman"/>
          <w:color w:val="000000" w:themeColor="text1"/>
          <w:sz w:val="24"/>
          <w:szCs w:val="24"/>
        </w:rPr>
        <w:t xml:space="preserve"> is the same value that ERCOT has</w:t>
      </w:r>
      <w:r w:rsidR="000E74D4" w:rsidRPr="00F36114">
        <w:rPr>
          <w:rFonts w:ascii="Times New Roman" w:hAnsi="Times New Roman" w:cs="Times New Roman"/>
          <w:color w:val="000000" w:themeColor="text1"/>
          <w:sz w:val="24"/>
          <w:szCs w:val="24"/>
        </w:rPr>
        <w:t xml:space="preserve"> used as the sample </w:t>
      </w:r>
      <w:r w:rsidR="00395022" w:rsidRPr="00F36114">
        <w:rPr>
          <w:rFonts w:ascii="Times New Roman" w:hAnsi="Times New Roman" w:cs="Times New Roman"/>
          <w:color w:val="000000" w:themeColor="text1"/>
          <w:sz w:val="24"/>
          <w:szCs w:val="24"/>
        </w:rPr>
        <w:t xml:space="preserve">SWOC in </w:t>
      </w:r>
      <w:r w:rsidR="000E74D4" w:rsidRPr="00F36114">
        <w:rPr>
          <w:rFonts w:ascii="Times New Roman" w:hAnsi="Times New Roman" w:cs="Times New Roman"/>
          <w:color w:val="000000" w:themeColor="text1"/>
          <w:sz w:val="24"/>
          <w:szCs w:val="24"/>
        </w:rPr>
        <w:t>its RTC concept paper and spreadsheet.</w:t>
      </w:r>
      <w:r w:rsidR="00395022" w:rsidRPr="00F36114">
        <w:rPr>
          <w:rFonts w:ascii="Times New Roman" w:hAnsi="Times New Roman" w:cs="Times New Roman"/>
          <w:color w:val="000000" w:themeColor="text1"/>
          <w:sz w:val="24"/>
          <w:szCs w:val="24"/>
        </w:rPr>
        <w:t xml:space="preserve"> While TCPA is not prepared</w:t>
      </w:r>
      <w:r w:rsidR="000E74D4" w:rsidRPr="00F36114">
        <w:rPr>
          <w:rFonts w:ascii="Times New Roman" w:hAnsi="Times New Roman" w:cs="Times New Roman"/>
          <w:color w:val="000000" w:themeColor="text1"/>
          <w:sz w:val="24"/>
          <w:szCs w:val="24"/>
        </w:rPr>
        <w:t xml:space="preserve"> </w:t>
      </w:r>
      <w:r w:rsidR="00B46868" w:rsidRPr="00F36114">
        <w:rPr>
          <w:rFonts w:ascii="Times New Roman" w:hAnsi="Times New Roman" w:cs="Times New Roman"/>
          <w:color w:val="000000" w:themeColor="text1"/>
          <w:sz w:val="24"/>
          <w:szCs w:val="24"/>
        </w:rPr>
        <w:t xml:space="preserve">yet </w:t>
      </w:r>
      <w:r w:rsidR="00395022" w:rsidRPr="00F36114">
        <w:rPr>
          <w:rFonts w:ascii="Times New Roman" w:hAnsi="Times New Roman" w:cs="Times New Roman"/>
          <w:color w:val="000000" w:themeColor="text1"/>
          <w:sz w:val="24"/>
          <w:szCs w:val="24"/>
        </w:rPr>
        <w:t>to support a specific value for the SWOC for purposes of the RTC design</w:t>
      </w:r>
      <w:r w:rsidR="0064567A" w:rsidRPr="00F36114">
        <w:rPr>
          <w:rFonts w:ascii="Times New Roman" w:hAnsi="Times New Roman" w:cs="Times New Roman"/>
          <w:color w:val="000000" w:themeColor="text1"/>
          <w:sz w:val="24"/>
          <w:szCs w:val="24"/>
        </w:rPr>
        <w:t>,</w:t>
      </w:r>
      <w:r w:rsidR="00395022" w:rsidRPr="00F36114">
        <w:rPr>
          <w:rFonts w:ascii="Times New Roman" w:hAnsi="Times New Roman" w:cs="Times New Roman"/>
          <w:color w:val="000000" w:themeColor="text1"/>
          <w:sz w:val="24"/>
          <w:szCs w:val="24"/>
        </w:rPr>
        <w:t xml:space="preserve"> </w:t>
      </w:r>
      <w:r w:rsidR="0086005C">
        <w:rPr>
          <w:rFonts w:ascii="Times New Roman" w:hAnsi="Times New Roman" w:cs="Times New Roman"/>
          <w:color w:val="000000" w:themeColor="text1"/>
          <w:sz w:val="24"/>
          <w:szCs w:val="24"/>
        </w:rPr>
        <w:t xml:space="preserve">TCPA notes this connection because </w:t>
      </w:r>
      <w:r w:rsidR="00395022" w:rsidRPr="00F36114">
        <w:rPr>
          <w:rFonts w:ascii="Times New Roman" w:hAnsi="Times New Roman" w:cs="Times New Roman"/>
          <w:color w:val="000000" w:themeColor="text1"/>
          <w:sz w:val="24"/>
          <w:szCs w:val="24"/>
        </w:rPr>
        <w:t xml:space="preserve">the Commission </w:t>
      </w:r>
      <w:r w:rsidR="0086005C">
        <w:rPr>
          <w:rFonts w:ascii="Times New Roman" w:hAnsi="Times New Roman" w:cs="Times New Roman"/>
          <w:color w:val="000000" w:themeColor="text1"/>
          <w:sz w:val="24"/>
          <w:szCs w:val="24"/>
        </w:rPr>
        <w:t>will need to coordinate its decisions in Project No. 48721 with RTC implementation</w:t>
      </w:r>
      <w:r>
        <w:rPr>
          <w:rFonts w:ascii="Times New Roman" w:hAnsi="Times New Roman" w:cs="Times New Roman"/>
          <w:color w:val="000000" w:themeColor="text1"/>
          <w:sz w:val="24"/>
          <w:szCs w:val="24"/>
        </w:rPr>
        <w:t xml:space="preserve"> decisions in this project</w:t>
      </w:r>
      <w:r w:rsidR="00D9491A">
        <w:rPr>
          <w:rFonts w:ascii="Times New Roman" w:hAnsi="Times New Roman" w:cs="Times New Roman"/>
          <w:color w:val="000000" w:themeColor="text1"/>
          <w:sz w:val="24"/>
          <w:szCs w:val="24"/>
        </w:rPr>
        <w:t xml:space="preserve">. </w:t>
      </w:r>
      <w:r w:rsidR="00535E9F" w:rsidRPr="00F36114">
        <w:rPr>
          <w:rFonts w:ascii="Times New Roman" w:eastAsia="Times New Roman" w:hAnsi="Times New Roman" w:cs="Times New Roman"/>
          <w:sz w:val="24"/>
          <w:szCs w:val="24"/>
        </w:rPr>
        <w:t xml:space="preserve">If the Commission </w:t>
      </w:r>
      <w:r w:rsidR="000B3784" w:rsidRPr="00F36114">
        <w:rPr>
          <w:rFonts w:ascii="Times New Roman" w:eastAsia="Times New Roman" w:hAnsi="Times New Roman" w:cs="Times New Roman"/>
          <w:sz w:val="24"/>
          <w:szCs w:val="24"/>
        </w:rPr>
        <w:t xml:space="preserve">does </w:t>
      </w:r>
      <w:r w:rsidR="00535E9F" w:rsidRPr="00F36114">
        <w:rPr>
          <w:rFonts w:ascii="Times New Roman" w:eastAsia="Times New Roman" w:hAnsi="Times New Roman" w:cs="Times New Roman"/>
          <w:sz w:val="24"/>
          <w:szCs w:val="24"/>
        </w:rPr>
        <w:t>wish to retain LCAP or some other Peaker Net Margin</w:t>
      </w:r>
      <w:r w:rsidR="000B3784" w:rsidRPr="00F36114">
        <w:rPr>
          <w:rFonts w:ascii="Times New Roman" w:eastAsia="Times New Roman" w:hAnsi="Times New Roman" w:cs="Times New Roman"/>
          <w:sz w:val="24"/>
          <w:szCs w:val="24"/>
        </w:rPr>
        <w:t xml:space="preserve"> (PNM)</w:t>
      </w:r>
      <w:r w:rsidR="00535E9F" w:rsidRPr="00F36114">
        <w:rPr>
          <w:rFonts w:ascii="Times New Roman" w:eastAsia="Times New Roman" w:hAnsi="Times New Roman" w:cs="Times New Roman"/>
          <w:sz w:val="24"/>
          <w:szCs w:val="24"/>
        </w:rPr>
        <w:t xml:space="preserve">-driven limit on scarcity pricing, then that issue should be revisited after </w:t>
      </w:r>
      <w:r w:rsidR="00304361">
        <w:rPr>
          <w:rFonts w:ascii="Times New Roman" w:eastAsia="Times New Roman" w:hAnsi="Times New Roman" w:cs="Times New Roman"/>
          <w:sz w:val="24"/>
          <w:szCs w:val="24"/>
        </w:rPr>
        <w:t xml:space="preserve">the </w:t>
      </w:r>
      <w:r w:rsidR="00535E9F" w:rsidRPr="00F36114">
        <w:rPr>
          <w:rFonts w:ascii="Times New Roman" w:eastAsia="Times New Roman" w:hAnsi="Times New Roman" w:cs="Times New Roman"/>
          <w:sz w:val="24"/>
          <w:szCs w:val="24"/>
        </w:rPr>
        <w:t xml:space="preserve">RTC </w:t>
      </w:r>
      <w:r w:rsidR="00304361">
        <w:rPr>
          <w:rFonts w:ascii="Times New Roman" w:eastAsia="Times New Roman" w:hAnsi="Times New Roman" w:cs="Times New Roman"/>
          <w:sz w:val="24"/>
          <w:szCs w:val="24"/>
        </w:rPr>
        <w:t>parameters are decided</w:t>
      </w:r>
      <w:r w:rsidR="00535E9F" w:rsidRPr="00F36114">
        <w:rPr>
          <w:rFonts w:ascii="Times New Roman" w:eastAsia="Times New Roman" w:hAnsi="Times New Roman" w:cs="Times New Roman"/>
          <w:sz w:val="24"/>
          <w:szCs w:val="24"/>
        </w:rPr>
        <w:t xml:space="preserve"> because such a mechanism would </w:t>
      </w:r>
      <w:r w:rsidR="000B3784" w:rsidRPr="00F36114">
        <w:rPr>
          <w:rFonts w:ascii="Times New Roman" w:eastAsia="Times New Roman" w:hAnsi="Times New Roman" w:cs="Times New Roman"/>
          <w:sz w:val="24"/>
          <w:szCs w:val="24"/>
        </w:rPr>
        <w:t xml:space="preserve">be much more complicated in RTC, </w:t>
      </w:r>
      <w:r w:rsidR="00522553" w:rsidRPr="00F36114">
        <w:rPr>
          <w:rFonts w:ascii="Times New Roman" w:eastAsia="Times New Roman" w:hAnsi="Times New Roman" w:cs="Times New Roman"/>
          <w:sz w:val="24"/>
          <w:szCs w:val="24"/>
        </w:rPr>
        <w:t xml:space="preserve">presumably </w:t>
      </w:r>
      <w:r w:rsidR="00535E9F" w:rsidRPr="00F36114">
        <w:rPr>
          <w:rFonts w:ascii="Times New Roman" w:eastAsia="Times New Roman" w:hAnsi="Times New Roman" w:cs="Times New Roman"/>
          <w:sz w:val="24"/>
          <w:szCs w:val="24"/>
        </w:rPr>
        <w:t>requir</w:t>
      </w:r>
      <w:r w:rsidR="000B3784" w:rsidRPr="00F36114">
        <w:rPr>
          <w:rFonts w:ascii="Times New Roman" w:eastAsia="Times New Roman" w:hAnsi="Times New Roman" w:cs="Times New Roman"/>
          <w:sz w:val="24"/>
          <w:szCs w:val="24"/>
        </w:rPr>
        <w:t>ing</w:t>
      </w:r>
      <w:r w:rsidR="00535E9F" w:rsidRPr="00F36114">
        <w:rPr>
          <w:rFonts w:ascii="Times New Roman" w:eastAsia="Times New Roman" w:hAnsi="Times New Roman" w:cs="Times New Roman"/>
          <w:sz w:val="24"/>
          <w:szCs w:val="24"/>
        </w:rPr>
        <w:t xml:space="preserve"> coordinated adjustments </w:t>
      </w:r>
      <w:r w:rsidR="005C1185" w:rsidRPr="00F36114">
        <w:rPr>
          <w:rFonts w:ascii="Times New Roman" w:eastAsia="Times New Roman" w:hAnsi="Times New Roman" w:cs="Times New Roman"/>
          <w:sz w:val="24"/>
          <w:szCs w:val="24"/>
        </w:rPr>
        <w:t>among</w:t>
      </w:r>
      <w:r w:rsidR="00535E9F" w:rsidRPr="00F36114">
        <w:rPr>
          <w:rFonts w:ascii="Times New Roman" w:eastAsia="Times New Roman" w:hAnsi="Times New Roman" w:cs="Times New Roman"/>
          <w:sz w:val="24"/>
          <w:szCs w:val="24"/>
        </w:rPr>
        <w:t xml:space="preserve"> SWOC, ASDCs</w:t>
      </w:r>
      <w:r w:rsidR="000B3784" w:rsidRPr="00F36114">
        <w:rPr>
          <w:rFonts w:ascii="Times New Roman" w:eastAsia="Times New Roman" w:hAnsi="Times New Roman" w:cs="Times New Roman"/>
          <w:sz w:val="24"/>
          <w:szCs w:val="24"/>
        </w:rPr>
        <w:t xml:space="preserve">, </w:t>
      </w:r>
      <w:r w:rsidR="00535E9F" w:rsidRPr="00F36114">
        <w:rPr>
          <w:rFonts w:ascii="Times New Roman" w:eastAsia="Times New Roman" w:hAnsi="Times New Roman" w:cs="Times New Roman"/>
          <w:sz w:val="24"/>
          <w:szCs w:val="24"/>
        </w:rPr>
        <w:t xml:space="preserve">and </w:t>
      </w:r>
      <w:r w:rsidR="005C1185" w:rsidRPr="00F36114">
        <w:rPr>
          <w:rFonts w:ascii="Times New Roman" w:eastAsia="Times New Roman" w:hAnsi="Times New Roman" w:cs="Times New Roman"/>
          <w:sz w:val="24"/>
          <w:szCs w:val="24"/>
        </w:rPr>
        <w:t xml:space="preserve">the </w:t>
      </w:r>
      <w:r w:rsidR="00535E9F" w:rsidRPr="00F36114">
        <w:rPr>
          <w:rFonts w:ascii="Times New Roman" w:eastAsia="Times New Roman" w:hAnsi="Times New Roman" w:cs="Times New Roman"/>
          <w:sz w:val="24"/>
          <w:szCs w:val="24"/>
        </w:rPr>
        <w:t>PBPC</w:t>
      </w:r>
      <w:r w:rsidR="000B3784" w:rsidRPr="00F36114">
        <w:rPr>
          <w:rFonts w:ascii="Times New Roman" w:eastAsia="Times New Roman" w:hAnsi="Times New Roman" w:cs="Times New Roman"/>
          <w:sz w:val="24"/>
          <w:szCs w:val="24"/>
        </w:rPr>
        <w:t xml:space="preserve"> (and possibly other parameters)</w:t>
      </w:r>
      <w:r w:rsidR="00535E9F" w:rsidRPr="00F36114">
        <w:rPr>
          <w:rFonts w:ascii="Times New Roman" w:eastAsia="Times New Roman" w:hAnsi="Times New Roman" w:cs="Times New Roman"/>
          <w:sz w:val="24"/>
          <w:szCs w:val="24"/>
        </w:rPr>
        <w:t>.</w:t>
      </w:r>
    </w:p>
    <w:p w14:paraId="6CD5FA35" w14:textId="556AD9F8" w:rsidR="0017074D" w:rsidRPr="00F36114" w:rsidRDefault="0017074D" w:rsidP="003C4953">
      <w:pPr>
        <w:spacing w:line="360" w:lineRule="auto"/>
        <w:ind w:firstLine="720"/>
        <w:jc w:val="both"/>
        <w:rPr>
          <w:rFonts w:ascii="Times New Roman" w:hAnsi="Times New Roman" w:cs="Times New Roman"/>
          <w:color w:val="000000" w:themeColor="text1"/>
          <w:sz w:val="24"/>
          <w:szCs w:val="24"/>
        </w:rPr>
      </w:pPr>
      <w:r w:rsidRPr="00F36114">
        <w:rPr>
          <w:rFonts w:ascii="Times New Roman" w:hAnsi="Times New Roman" w:cs="Times New Roman"/>
          <w:color w:val="000000" w:themeColor="text1"/>
          <w:sz w:val="24"/>
          <w:szCs w:val="24"/>
        </w:rPr>
        <w:t xml:space="preserve">The Commission also will need to consider whether the SWOC in the Day-Ahead Market (DAM) should be the same or a different value than the SWOC in the Real-Time Market (RTM). That will depend, in part, on whether the DAM incorporates the ASDCs </w:t>
      </w:r>
      <w:r w:rsidR="00B2587C">
        <w:rPr>
          <w:rFonts w:ascii="Times New Roman" w:hAnsi="Times New Roman" w:cs="Times New Roman"/>
          <w:color w:val="000000" w:themeColor="text1"/>
          <w:sz w:val="24"/>
          <w:szCs w:val="24"/>
        </w:rPr>
        <w:t xml:space="preserve">and whether DAM </w:t>
      </w:r>
      <w:r w:rsidRPr="00F36114">
        <w:rPr>
          <w:rFonts w:ascii="Times New Roman" w:hAnsi="Times New Roman" w:cs="Times New Roman"/>
          <w:color w:val="000000" w:themeColor="text1"/>
          <w:sz w:val="24"/>
          <w:szCs w:val="24"/>
        </w:rPr>
        <w:t>continues to operate as it does today</w:t>
      </w:r>
      <w:r w:rsidR="00427AED" w:rsidRPr="00427AED">
        <w:rPr>
          <w:rFonts w:ascii="Times New Roman" w:hAnsi="Times New Roman" w:cs="Times New Roman"/>
          <w:color w:val="000000" w:themeColor="text1"/>
          <w:sz w:val="24"/>
          <w:szCs w:val="24"/>
        </w:rPr>
        <w:t xml:space="preserve"> </w:t>
      </w:r>
      <w:r w:rsidR="00427AED">
        <w:rPr>
          <w:rFonts w:ascii="Times New Roman" w:hAnsi="Times New Roman" w:cs="Times New Roman"/>
          <w:color w:val="000000" w:themeColor="text1"/>
          <w:sz w:val="24"/>
          <w:szCs w:val="24"/>
        </w:rPr>
        <w:t>as a voluntary market</w:t>
      </w:r>
      <w:r w:rsidRPr="00F36114">
        <w:rPr>
          <w:rFonts w:ascii="Times New Roman" w:hAnsi="Times New Roman" w:cs="Times New Roman"/>
          <w:color w:val="000000" w:themeColor="text1"/>
          <w:sz w:val="24"/>
          <w:szCs w:val="24"/>
        </w:rPr>
        <w:t xml:space="preserve">. </w:t>
      </w:r>
      <w:r w:rsidR="00B2587C">
        <w:rPr>
          <w:rFonts w:ascii="Times New Roman" w:hAnsi="Times New Roman" w:cs="Times New Roman"/>
          <w:color w:val="000000" w:themeColor="text1"/>
          <w:sz w:val="24"/>
          <w:szCs w:val="24"/>
        </w:rPr>
        <w:t xml:space="preserve">While TCPA believes that DAM should remain a voluntary market, </w:t>
      </w:r>
      <w:r w:rsidRPr="00F36114">
        <w:rPr>
          <w:rFonts w:ascii="Times New Roman" w:hAnsi="Times New Roman" w:cs="Times New Roman"/>
          <w:color w:val="000000" w:themeColor="text1"/>
          <w:sz w:val="24"/>
          <w:szCs w:val="24"/>
        </w:rPr>
        <w:t xml:space="preserve">TCPA takes no position on </w:t>
      </w:r>
      <w:r w:rsidR="00B2587C">
        <w:rPr>
          <w:rFonts w:ascii="Times New Roman" w:hAnsi="Times New Roman" w:cs="Times New Roman"/>
          <w:color w:val="000000" w:themeColor="text1"/>
          <w:sz w:val="24"/>
          <w:szCs w:val="24"/>
        </w:rPr>
        <w:t>the ASDC</w:t>
      </w:r>
      <w:r w:rsidR="00AB429A">
        <w:rPr>
          <w:rFonts w:ascii="Times New Roman" w:hAnsi="Times New Roman" w:cs="Times New Roman"/>
          <w:color w:val="000000" w:themeColor="text1"/>
          <w:sz w:val="24"/>
          <w:szCs w:val="24"/>
        </w:rPr>
        <w:t>s</w:t>
      </w:r>
      <w:r w:rsidR="00B2587C">
        <w:rPr>
          <w:rFonts w:ascii="Times New Roman" w:hAnsi="Times New Roman" w:cs="Times New Roman"/>
          <w:color w:val="000000" w:themeColor="text1"/>
          <w:sz w:val="24"/>
          <w:szCs w:val="24"/>
        </w:rPr>
        <w:t xml:space="preserve"> in </w:t>
      </w:r>
      <w:r w:rsidR="00AB429A">
        <w:rPr>
          <w:rFonts w:ascii="Times New Roman" w:hAnsi="Times New Roman" w:cs="Times New Roman"/>
          <w:color w:val="000000" w:themeColor="text1"/>
          <w:sz w:val="24"/>
          <w:szCs w:val="24"/>
        </w:rPr>
        <w:t xml:space="preserve">the </w:t>
      </w:r>
      <w:r w:rsidR="00B2587C">
        <w:rPr>
          <w:rFonts w:ascii="Times New Roman" w:hAnsi="Times New Roman" w:cs="Times New Roman"/>
          <w:color w:val="000000" w:themeColor="text1"/>
          <w:sz w:val="24"/>
          <w:szCs w:val="24"/>
        </w:rPr>
        <w:t>DAM</w:t>
      </w:r>
      <w:r w:rsidR="00B2587C" w:rsidRPr="00F36114">
        <w:rPr>
          <w:rFonts w:ascii="Times New Roman" w:hAnsi="Times New Roman" w:cs="Times New Roman"/>
          <w:color w:val="000000" w:themeColor="text1"/>
          <w:sz w:val="24"/>
          <w:szCs w:val="24"/>
        </w:rPr>
        <w:t xml:space="preserve"> </w:t>
      </w:r>
      <w:r w:rsidRPr="00F36114">
        <w:rPr>
          <w:rFonts w:ascii="Times New Roman" w:hAnsi="Times New Roman" w:cs="Times New Roman"/>
          <w:color w:val="000000" w:themeColor="text1"/>
          <w:sz w:val="24"/>
          <w:szCs w:val="24"/>
        </w:rPr>
        <w:t>issue at this time, but simply points out that</w:t>
      </w:r>
      <w:r w:rsidR="004517F7" w:rsidRPr="00F36114">
        <w:rPr>
          <w:rFonts w:ascii="Times New Roman" w:hAnsi="Times New Roman" w:cs="Times New Roman"/>
          <w:color w:val="000000" w:themeColor="text1"/>
          <w:sz w:val="24"/>
          <w:szCs w:val="24"/>
        </w:rPr>
        <w:t xml:space="preserve"> the SWOC value in </w:t>
      </w:r>
      <w:r w:rsidRPr="00F36114">
        <w:rPr>
          <w:rFonts w:ascii="Times New Roman" w:hAnsi="Times New Roman" w:cs="Times New Roman"/>
          <w:color w:val="000000" w:themeColor="text1"/>
          <w:sz w:val="24"/>
          <w:szCs w:val="24"/>
        </w:rPr>
        <w:t>the DAM may need to differ from the SWOC in the RTM for there to be appropriate convergence between the DAM and RTM</w:t>
      </w:r>
      <w:r w:rsidR="00096604" w:rsidRPr="00F36114">
        <w:rPr>
          <w:rFonts w:ascii="Times New Roman" w:hAnsi="Times New Roman" w:cs="Times New Roman"/>
          <w:color w:val="000000" w:themeColor="text1"/>
          <w:sz w:val="24"/>
          <w:szCs w:val="24"/>
        </w:rPr>
        <w:t xml:space="preserve"> and for the DAM to reflect the full price risk that would exist in the RTM</w:t>
      </w:r>
      <w:r w:rsidRPr="00F36114">
        <w:rPr>
          <w:rFonts w:ascii="Times New Roman" w:hAnsi="Times New Roman" w:cs="Times New Roman"/>
          <w:color w:val="000000" w:themeColor="text1"/>
          <w:sz w:val="24"/>
          <w:szCs w:val="24"/>
        </w:rPr>
        <w:t xml:space="preserve">. For example, if a $2,000 SWOC was </w:t>
      </w:r>
      <w:r w:rsidRPr="00F36114">
        <w:rPr>
          <w:rFonts w:ascii="Times New Roman" w:hAnsi="Times New Roman" w:cs="Times New Roman"/>
          <w:color w:val="000000" w:themeColor="text1"/>
          <w:sz w:val="24"/>
          <w:szCs w:val="24"/>
        </w:rPr>
        <w:lastRenderedPageBreak/>
        <w:t>imposed</w:t>
      </w:r>
      <w:r w:rsidR="00427AED" w:rsidRPr="00427AED">
        <w:rPr>
          <w:rFonts w:ascii="Times New Roman" w:hAnsi="Times New Roman" w:cs="Times New Roman"/>
          <w:color w:val="000000" w:themeColor="text1"/>
          <w:sz w:val="24"/>
          <w:szCs w:val="24"/>
        </w:rPr>
        <w:t xml:space="preserve"> </w:t>
      </w:r>
      <w:r w:rsidR="00427AED">
        <w:rPr>
          <w:rFonts w:ascii="Times New Roman" w:hAnsi="Times New Roman" w:cs="Times New Roman"/>
          <w:color w:val="000000" w:themeColor="text1"/>
          <w:sz w:val="24"/>
          <w:szCs w:val="24"/>
        </w:rPr>
        <w:t>in both the DAM and RTM</w:t>
      </w:r>
      <w:r w:rsidRPr="00F36114">
        <w:rPr>
          <w:rFonts w:ascii="Times New Roman" w:hAnsi="Times New Roman" w:cs="Times New Roman"/>
          <w:color w:val="000000" w:themeColor="text1"/>
          <w:sz w:val="24"/>
          <w:szCs w:val="24"/>
        </w:rPr>
        <w:t xml:space="preserve">, then </w:t>
      </w:r>
      <w:r w:rsidR="00D9491A">
        <w:rPr>
          <w:rFonts w:ascii="Times New Roman" w:hAnsi="Times New Roman" w:cs="Times New Roman"/>
          <w:color w:val="000000" w:themeColor="text1"/>
          <w:sz w:val="24"/>
          <w:szCs w:val="24"/>
        </w:rPr>
        <w:t xml:space="preserve">offer-based </w:t>
      </w:r>
      <w:r w:rsidRPr="00F36114">
        <w:rPr>
          <w:rFonts w:ascii="Times New Roman" w:hAnsi="Times New Roman" w:cs="Times New Roman"/>
          <w:color w:val="000000" w:themeColor="text1"/>
          <w:sz w:val="24"/>
          <w:szCs w:val="24"/>
        </w:rPr>
        <w:t>prices would be capped at $2,000 in the DAM,</w:t>
      </w:r>
      <w:r w:rsidR="00D9491A">
        <w:rPr>
          <w:rStyle w:val="FootnoteReference"/>
          <w:rFonts w:ascii="Times New Roman" w:hAnsi="Times New Roman" w:cs="Times New Roman"/>
          <w:color w:val="000000" w:themeColor="text1"/>
          <w:sz w:val="24"/>
          <w:szCs w:val="24"/>
        </w:rPr>
        <w:footnoteReference w:id="22"/>
      </w:r>
      <w:r w:rsidRPr="00F36114">
        <w:rPr>
          <w:rFonts w:ascii="Times New Roman" w:hAnsi="Times New Roman" w:cs="Times New Roman"/>
          <w:color w:val="000000" w:themeColor="text1"/>
          <w:sz w:val="24"/>
          <w:szCs w:val="24"/>
        </w:rPr>
        <w:t xml:space="preserve"> even though they could reach a much higher level (e.g., $9,000) in the RTM. </w:t>
      </w:r>
    </w:p>
    <w:p w14:paraId="67ECAE53" w14:textId="5CC83609" w:rsidR="005C1185" w:rsidRPr="00F36114" w:rsidRDefault="005C1185" w:rsidP="003C4953">
      <w:pPr>
        <w:spacing w:line="360" w:lineRule="auto"/>
        <w:ind w:firstLine="720"/>
        <w:jc w:val="both"/>
        <w:rPr>
          <w:rFonts w:ascii="Times New Roman" w:hAnsi="Times New Roman" w:cs="Times New Roman"/>
          <w:color w:val="000000" w:themeColor="text1"/>
          <w:sz w:val="24"/>
          <w:szCs w:val="24"/>
        </w:rPr>
      </w:pPr>
      <w:r w:rsidRPr="00F36114">
        <w:rPr>
          <w:rFonts w:ascii="Times New Roman" w:hAnsi="Times New Roman" w:cs="Times New Roman"/>
          <w:color w:val="000000" w:themeColor="text1"/>
          <w:sz w:val="24"/>
          <w:szCs w:val="24"/>
        </w:rPr>
        <w:t xml:space="preserve">An additional parameter that may warrant revisiting in the RTC construct is the MCL. While the MCL, itself, will no longer be a </w:t>
      </w:r>
      <w:r w:rsidR="008D0E65">
        <w:rPr>
          <w:rFonts w:ascii="Times New Roman" w:hAnsi="Times New Roman" w:cs="Times New Roman"/>
          <w:color w:val="000000" w:themeColor="text1"/>
          <w:sz w:val="24"/>
          <w:szCs w:val="24"/>
        </w:rPr>
        <w:t xml:space="preserve">specific </w:t>
      </w:r>
      <w:r w:rsidRPr="00F36114">
        <w:rPr>
          <w:rFonts w:ascii="Times New Roman" w:hAnsi="Times New Roman" w:cs="Times New Roman"/>
          <w:color w:val="000000" w:themeColor="text1"/>
          <w:sz w:val="24"/>
          <w:szCs w:val="24"/>
        </w:rPr>
        <w:t>parameter in the RTC</w:t>
      </w:r>
      <w:r w:rsidR="008A3B91">
        <w:rPr>
          <w:rFonts w:ascii="Times New Roman" w:hAnsi="Times New Roman" w:cs="Times New Roman"/>
          <w:color w:val="000000" w:themeColor="text1"/>
          <w:sz w:val="24"/>
          <w:szCs w:val="24"/>
        </w:rPr>
        <w:t xml:space="preserve"> construct unless the Commission decides to make it one</w:t>
      </w:r>
      <w:r w:rsidRPr="00F36114">
        <w:rPr>
          <w:rFonts w:ascii="Times New Roman" w:hAnsi="Times New Roman" w:cs="Times New Roman"/>
          <w:color w:val="000000" w:themeColor="text1"/>
          <w:sz w:val="24"/>
          <w:szCs w:val="24"/>
        </w:rPr>
        <w:t xml:space="preserve">, the concept will still be </w:t>
      </w:r>
      <w:r w:rsidR="00630C3A" w:rsidRPr="00F36114">
        <w:rPr>
          <w:rFonts w:ascii="Times New Roman" w:hAnsi="Times New Roman" w:cs="Times New Roman"/>
          <w:color w:val="000000" w:themeColor="text1"/>
          <w:sz w:val="24"/>
          <w:szCs w:val="24"/>
        </w:rPr>
        <w:t xml:space="preserve">highly </w:t>
      </w:r>
      <w:r w:rsidRPr="00F36114">
        <w:rPr>
          <w:rFonts w:ascii="Times New Roman" w:hAnsi="Times New Roman" w:cs="Times New Roman"/>
          <w:color w:val="000000" w:themeColor="text1"/>
          <w:sz w:val="24"/>
          <w:szCs w:val="24"/>
        </w:rPr>
        <w:t>relevant</w:t>
      </w:r>
      <w:r w:rsidR="008D0E65" w:rsidRPr="008D0E65">
        <w:rPr>
          <w:rFonts w:ascii="Times New Roman" w:hAnsi="Times New Roman" w:cs="Times New Roman"/>
          <w:color w:val="000000" w:themeColor="text1"/>
          <w:sz w:val="24"/>
          <w:szCs w:val="24"/>
        </w:rPr>
        <w:t xml:space="preserve"> </w:t>
      </w:r>
      <w:r w:rsidR="008D0E65">
        <w:rPr>
          <w:rFonts w:ascii="Times New Roman" w:hAnsi="Times New Roman" w:cs="Times New Roman"/>
          <w:color w:val="000000" w:themeColor="text1"/>
          <w:sz w:val="24"/>
          <w:szCs w:val="24"/>
        </w:rPr>
        <w:t xml:space="preserve">as the ASDCs should be designed </w:t>
      </w:r>
      <w:r w:rsidR="008A3B91">
        <w:rPr>
          <w:rFonts w:ascii="Times New Roman" w:hAnsi="Times New Roman" w:cs="Times New Roman"/>
          <w:color w:val="000000" w:themeColor="text1"/>
          <w:sz w:val="24"/>
          <w:szCs w:val="24"/>
        </w:rPr>
        <w:t xml:space="preserve">at a minimum </w:t>
      </w:r>
      <w:r w:rsidR="008D0E65">
        <w:rPr>
          <w:rFonts w:ascii="Times New Roman" w:hAnsi="Times New Roman" w:cs="Times New Roman"/>
          <w:color w:val="000000" w:themeColor="text1"/>
          <w:sz w:val="24"/>
          <w:szCs w:val="24"/>
        </w:rPr>
        <w:t>to replicate it</w:t>
      </w:r>
      <w:r w:rsidRPr="00F36114">
        <w:rPr>
          <w:rFonts w:ascii="Times New Roman" w:hAnsi="Times New Roman" w:cs="Times New Roman"/>
          <w:color w:val="000000" w:themeColor="text1"/>
          <w:sz w:val="24"/>
          <w:szCs w:val="24"/>
        </w:rPr>
        <w:t xml:space="preserve">. Specifically, the Commission will need to evaluate the level of reserves at which the ASDCs should reach their </w:t>
      </w:r>
      <w:r w:rsidR="004517F7" w:rsidRPr="00F36114">
        <w:rPr>
          <w:rFonts w:ascii="Times New Roman" w:hAnsi="Times New Roman" w:cs="Times New Roman"/>
          <w:color w:val="000000" w:themeColor="text1"/>
          <w:sz w:val="24"/>
          <w:szCs w:val="24"/>
        </w:rPr>
        <w:t>maximum value</w:t>
      </w:r>
      <w:r w:rsidRPr="00F36114">
        <w:rPr>
          <w:rFonts w:ascii="Times New Roman" w:hAnsi="Times New Roman" w:cs="Times New Roman"/>
          <w:color w:val="000000" w:themeColor="text1"/>
          <w:sz w:val="24"/>
          <w:szCs w:val="24"/>
        </w:rPr>
        <w:t>, and as discussed above, that evaluation should be undertaken with the goal of doing no harm to resource adequacy. In the current market design, the MCL is 2,000 MW, which was a compromise decision by the Commission</w:t>
      </w:r>
      <w:r w:rsidR="004517F7" w:rsidRPr="00F36114">
        <w:rPr>
          <w:rFonts w:ascii="Times New Roman" w:hAnsi="Times New Roman" w:cs="Times New Roman"/>
          <w:color w:val="000000" w:themeColor="text1"/>
          <w:sz w:val="24"/>
          <w:szCs w:val="24"/>
        </w:rPr>
        <w:t xml:space="preserve"> when originally adopting the ORDC</w:t>
      </w:r>
      <w:r w:rsidRPr="00F36114">
        <w:rPr>
          <w:rFonts w:ascii="Times New Roman" w:hAnsi="Times New Roman" w:cs="Times New Roman"/>
          <w:color w:val="000000" w:themeColor="text1"/>
          <w:sz w:val="24"/>
          <w:szCs w:val="24"/>
        </w:rPr>
        <w:t>. In the RTC construct, it may be appropriate for the ASDC maximums to be reached</w:t>
      </w:r>
      <w:r w:rsidR="004517F7" w:rsidRPr="00F36114">
        <w:rPr>
          <w:rFonts w:ascii="Times New Roman" w:hAnsi="Times New Roman" w:cs="Times New Roman"/>
          <w:color w:val="000000" w:themeColor="text1"/>
          <w:sz w:val="24"/>
          <w:szCs w:val="24"/>
        </w:rPr>
        <w:t xml:space="preserve"> at</w:t>
      </w:r>
      <w:r w:rsidR="00B2519B" w:rsidRPr="00F36114">
        <w:rPr>
          <w:rFonts w:ascii="Times New Roman" w:hAnsi="Times New Roman" w:cs="Times New Roman"/>
          <w:color w:val="000000" w:themeColor="text1"/>
          <w:sz w:val="24"/>
          <w:szCs w:val="24"/>
        </w:rPr>
        <w:t xml:space="preserve"> a higher level of reserves, such as</w:t>
      </w:r>
      <w:r w:rsidR="004517F7" w:rsidRPr="00F36114">
        <w:rPr>
          <w:rFonts w:ascii="Times New Roman" w:hAnsi="Times New Roman" w:cs="Times New Roman"/>
          <w:color w:val="000000" w:themeColor="text1"/>
          <w:sz w:val="24"/>
          <w:szCs w:val="24"/>
        </w:rPr>
        <w:t xml:space="preserve"> 2,300 MW, which is the trigger for </w:t>
      </w:r>
      <w:r w:rsidRPr="00F36114">
        <w:rPr>
          <w:rFonts w:ascii="Times New Roman" w:hAnsi="Times New Roman" w:cs="Times New Roman"/>
          <w:color w:val="000000" w:themeColor="text1"/>
          <w:sz w:val="24"/>
          <w:szCs w:val="24"/>
        </w:rPr>
        <w:t xml:space="preserve">ERCOT </w:t>
      </w:r>
      <w:r w:rsidR="004517F7" w:rsidRPr="00F36114">
        <w:rPr>
          <w:rFonts w:ascii="Times New Roman" w:hAnsi="Times New Roman" w:cs="Times New Roman"/>
          <w:color w:val="000000" w:themeColor="text1"/>
          <w:sz w:val="24"/>
          <w:szCs w:val="24"/>
        </w:rPr>
        <w:t>to begin</w:t>
      </w:r>
      <w:r w:rsidRPr="00F36114">
        <w:rPr>
          <w:rFonts w:ascii="Times New Roman" w:hAnsi="Times New Roman" w:cs="Times New Roman"/>
          <w:color w:val="000000" w:themeColor="text1"/>
          <w:sz w:val="24"/>
          <w:szCs w:val="24"/>
        </w:rPr>
        <w:t xml:space="preserve"> </w:t>
      </w:r>
      <w:r w:rsidR="004517F7" w:rsidRPr="00F36114">
        <w:rPr>
          <w:rFonts w:ascii="Times New Roman" w:hAnsi="Times New Roman" w:cs="Times New Roman"/>
          <w:color w:val="000000" w:themeColor="text1"/>
          <w:sz w:val="24"/>
          <w:szCs w:val="24"/>
        </w:rPr>
        <w:t>taking</w:t>
      </w:r>
      <w:r w:rsidRPr="00F36114">
        <w:rPr>
          <w:rFonts w:ascii="Times New Roman" w:hAnsi="Times New Roman" w:cs="Times New Roman"/>
          <w:color w:val="000000" w:themeColor="text1"/>
          <w:sz w:val="24"/>
          <w:szCs w:val="24"/>
        </w:rPr>
        <w:t xml:space="preserve"> out-of-market actions for reliability</w:t>
      </w:r>
      <w:r w:rsidR="005A7A8F">
        <w:rPr>
          <w:rFonts w:ascii="Times New Roman" w:hAnsi="Times New Roman" w:cs="Times New Roman"/>
          <w:color w:val="000000" w:themeColor="text1"/>
          <w:sz w:val="24"/>
          <w:szCs w:val="24"/>
        </w:rPr>
        <w:t>.</w:t>
      </w:r>
      <w:r w:rsidRPr="00F36114">
        <w:rPr>
          <w:rStyle w:val="FootnoteReference"/>
          <w:rFonts w:ascii="Times New Roman" w:hAnsi="Times New Roman" w:cs="Times New Roman"/>
          <w:color w:val="000000" w:themeColor="text1"/>
          <w:sz w:val="24"/>
          <w:szCs w:val="24"/>
        </w:rPr>
        <w:footnoteReference w:id="23"/>
      </w:r>
      <w:r w:rsidRPr="00F36114">
        <w:rPr>
          <w:rFonts w:ascii="Times New Roman" w:hAnsi="Times New Roman" w:cs="Times New Roman"/>
          <w:color w:val="000000" w:themeColor="text1"/>
          <w:sz w:val="24"/>
          <w:szCs w:val="24"/>
        </w:rPr>
        <w:t xml:space="preserve"> </w:t>
      </w:r>
      <w:r w:rsidR="00630C3A" w:rsidRPr="00F36114">
        <w:rPr>
          <w:rFonts w:ascii="Times New Roman" w:hAnsi="Times New Roman" w:cs="Times New Roman"/>
          <w:color w:val="000000" w:themeColor="text1"/>
          <w:sz w:val="24"/>
          <w:szCs w:val="24"/>
        </w:rPr>
        <w:t xml:space="preserve">Increasing MCL would also be one way to help mitigate negative reserve margin implications if the Commission were to direct implementation of RTC in a way that reverses the current policy of valuing </w:t>
      </w:r>
      <w:r w:rsidR="00630C3A" w:rsidRPr="00F36114">
        <w:rPr>
          <w:rFonts w:ascii="Times New Roman" w:hAnsi="Times New Roman" w:cs="Times New Roman"/>
          <w:color w:val="000000" w:themeColor="text1"/>
          <w:sz w:val="24"/>
          <w:szCs w:val="24"/>
          <w:u w:val="single"/>
        </w:rPr>
        <w:t>all</w:t>
      </w:r>
      <w:r w:rsidR="00630C3A" w:rsidRPr="00F36114">
        <w:rPr>
          <w:rFonts w:ascii="Times New Roman" w:hAnsi="Times New Roman" w:cs="Times New Roman"/>
          <w:color w:val="000000" w:themeColor="text1"/>
          <w:sz w:val="24"/>
          <w:szCs w:val="24"/>
        </w:rPr>
        <w:t xml:space="preserve"> operating reserves – not only those that are awarded </w:t>
      </w:r>
      <w:r w:rsidR="00B5537D" w:rsidRPr="00F36114">
        <w:rPr>
          <w:rFonts w:ascii="Times New Roman" w:hAnsi="Times New Roman" w:cs="Times New Roman"/>
          <w:color w:val="000000" w:themeColor="text1"/>
          <w:sz w:val="24"/>
          <w:szCs w:val="24"/>
        </w:rPr>
        <w:t>ancillary services</w:t>
      </w:r>
      <w:r w:rsidR="00630C3A" w:rsidRPr="00F36114">
        <w:rPr>
          <w:rFonts w:ascii="Times New Roman" w:hAnsi="Times New Roman" w:cs="Times New Roman"/>
          <w:color w:val="000000" w:themeColor="text1"/>
          <w:sz w:val="24"/>
          <w:szCs w:val="24"/>
        </w:rPr>
        <w:t xml:space="preserve"> obligations</w:t>
      </w:r>
      <w:r w:rsidR="00B5537D" w:rsidRPr="00F36114">
        <w:rPr>
          <w:rFonts w:ascii="Times New Roman" w:hAnsi="Times New Roman" w:cs="Times New Roman"/>
          <w:color w:val="000000" w:themeColor="text1"/>
          <w:sz w:val="24"/>
          <w:szCs w:val="24"/>
        </w:rPr>
        <w:t xml:space="preserve"> (see discussion under Question 5)</w:t>
      </w:r>
      <w:r w:rsidR="00630C3A" w:rsidRPr="00F36114">
        <w:rPr>
          <w:rFonts w:ascii="Times New Roman" w:hAnsi="Times New Roman" w:cs="Times New Roman"/>
          <w:color w:val="000000" w:themeColor="text1"/>
          <w:sz w:val="24"/>
          <w:szCs w:val="24"/>
        </w:rPr>
        <w:t xml:space="preserve">. </w:t>
      </w:r>
    </w:p>
    <w:p w14:paraId="7DE895B8" w14:textId="3D53D1A5" w:rsidR="00021D9B" w:rsidRPr="00F36114" w:rsidRDefault="00021D9B" w:rsidP="003C4953">
      <w:pPr>
        <w:spacing w:line="360" w:lineRule="auto"/>
        <w:ind w:firstLine="720"/>
        <w:jc w:val="both"/>
        <w:rPr>
          <w:rFonts w:ascii="Times New Roman" w:hAnsi="Times New Roman" w:cs="Times New Roman"/>
          <w:color w:val="000000" w:themeColor="text1"/>
          <w:sz w:val="24"/>
          <w:szCs w:val="24"/>
        </w:rPr>
      </w:pPr>
      <w:r w:rsidRPr="00F36114">
        <w:rPr>
          <w:rFonts w:ascii="Times New Roman" w:hAnsi="Times New Roman" w:cs="Times New Roman"/>
          <w:color w:val="000000" w:themeColor="text1"/>
          <w:sz w:val="24"/>
          <w:szCs w:val="24"/>
        </w:rPr>
        <w:t>In sum, the Commission should carefully deliberate with the aid of an independent consultant the appropriate values of SWOC, ASDC maximums</w:t>
      </w:r>
      <w:r w:rsidR="00630C3A" w:rsidRPr="00F36114">
        <w:rPr>
          <w:rFonts w:ascii="Times New Roman" w:hAnsi="Times New Roman" w:cs="Times New Roman"/>
          <w:color w:val="000000" w:themeColor="text1"/>
          <w:sz w:val="24"/>
          <w:szCs w:val="24"/>
        </w:rPr>
        <w:t xml:space="preserve">, </w:t>
      </w:r>
      <w:r w:rsidRPr="00F36114">
        <w:rPr>
          <w:rFonts w:ascii="Times New Roman" w:hAnsi="Times New Roman" w:cs="Times New Roman"/>
          <w:color w:val="000000" w:themeColor="text1"/>
          <w:sz w:val="24"/>
          <w:szCs w:val="24"/>
        </w:rPr>
        <w:t xml:space="preserve">VOLL, </w:t>
      </w:r>
      <w:r w:rsidR="008D0E65">
        <w:rPr>
          <w:rFonts w:ascii="Times New Roman" w:hAnsi="Times New Roman" w:cs="Times New Roman"/>
          <w:color w:val="000000" w:themeColor="text1"/>
          <w:sz w:val="24"/>
          <w:szCs w:val="24"/>
        </w:rPr>
        <w:t xml:space="preserve">PBPC, </w:t>
      </w:r>
      <w:r w:rsidR="00630C3A" w:rsidRPr="00F36114">
        <w:rPr>
          <w:rFonts w:ascii="Times New Roman" w:hAnsi="Times New Roman" w:cs="Times New Roman"/>
          <w:color w:val="000000" w:themeColor="text1"/>
          <w:sz w:val="24"/>
          <w:szCs w:val="24"/>
        </w:rPr>
        <w:t xml:space="preserve">MCL, </w:t>
      </w:r>
      <w:r w:rsidRPr="00F36114">
        <w:rPr>
          <w:rFonts w:ascii="Times New Roman" w:hAnsi="Times New Roman" w:cs="Times New Roman"/>
          <w:color w:val="000000" w:themeColor="text1"/>
          <w:sz w:val="24"/>
          <w:szCs w:val="24"/>
        </w:rPr>
        <w:t xml:space="preserve">and the other key RTC parameters, and ultimately should adopt </w:t>
      </w:r>
      <w:r w:rsidR="00630C3A" w:rsidRPr="00F36114">
        <w:rPr>
          <w:rFonts w:ascii="Times New Roman" w:hAnsi="Times New Roman" w:cs="Times New Roman"/>
          <w:color w:val="000000" w:themeColor="text1"/>
          <w:sz w:val="24"/>
          <w:szCs w:val="24"/>
        </w:rPr>
        <w:t xml:space="preserve">RTC design </w:t>
      </w:r>
      <w:r w:rsidRPr="00F36114">
        <w:rPr>
          <w:rFonts w:ascii="Times New Roman" w:hAnsi="Times New Roman" w:cs="Times New Roman"/>
          <w:color w:val="000000" w:themeColor="text1"/>
          <w:sz w:val="24"/>
          <w:szCs w:val="24"/>
        </w:rPr>
        <w:t xml:space="preserve">parameters that will achieve the goal of doing no harm to resource adequacy and producing scarcity pricing outcomes that are </w:t>
      </w:r>
      <w:r w:rsidR="00630C3A" w:rsidRPr="00F36114">
        <w:rPr>
          <w:rFonts w:ascii="Times New Roman" w:hAnsi="Times New Roman" w:cs="Times New Roman"/>
          <w:color w:val="000000" w:themeColor="text1"/>
          <w:sz w:val="24"/>
          <w:szCs w:val="24"/>
        </w:rPr>
        <w:t xml:space="preserve">at least </w:t>
      </w:r>
      <w:r w:rsidRPr="00F36114">
        <w:rPr>
          <w:rFonts w:ascii="Times New Roman" w:hAnsi="Times New Roman" w:cs="Times New Roman"/>
          <w:color w:val="000000" w:themeColor="text1"/>
          <w:sz w:val="24"/>
          <w:szCs w:val="24"/>
        </w:rPr>
        <w:t xml:space="preserve">consistent with the </w:t>
      </w:r>
      <w:r w:rsidR="00630C3A" w:rsidRPr="00F36114">
        <w:rPr>
          <w:rFonts w:ascii="Times New Roman" w:hAnsi="Times New Roman" w:cs="Times New Roman"/>
          <w:color w:val="000000" w:themeColor="text1"/>
          <w:sz w:val="24"/>
          <w:szCs w:val="24"/>
        </w:rPr>
        <w:t xml:space="preserve">current </w:t>
      </w:r>
      <w:r w:rsidRPr="00F36114">
        <w:rPr>
          <w:rFonts w:ascii="Times New Roman" w:hAnsi="Times New Roman" w:cs="Times New Roman"/>
          <w:color w:val="000000" w:themeColor="text1"/>
          <w:sz w:val="24"/>
          <w:szCs w:val="24"/>
        </w:rPr>
        <w:t>ORDC design</w:t>
      </w:r>
      <w:r w:rsidR="00B2519B" w:rsidRPr="00F36114">
        <w:rPr>
          <w:rFonts w:ascii="Times New Roman" w:hAnsi="Times New Roman" w:cs="Times New Roman"/>
          <w:color w:val="000000" w:themeColor="text1"/>
          <w:sz w:val="24"/>
          <w:szCs w:val="24"/>
        </w:rPr>
        <w:t xml:space="preserve"> and the expected MERM</w:t>
      </w:r>
      <w:r w:rsidR="006A1EC1">
        <w:rPr>
          <w:rFonts w:ascii="Times New Roman" w:hAnsi="Times New Roman" w:cs="Times New Roman"/>
          <w:color w:val="000000" w:themeColor="text1"/>
          <w:sz w:val="24"/>
          <w:szCs w:val="24"/>
        </w:rPr>
        <w:t xml:space="preserve"> following the ORDC reforms to be fully implemented in March of 2020</w:t>
      </w:r>
      <w:r w:rsidRPr="00F36114">
        <w:rPr>
          <w:rFonts w:ascii="Times New Roman" w:hAnsi="Times New Roman" w:cs="Times New Roman"/>
          <w:color w:val="000000" w:themeColor="text1"/>
          <w:sz w:val="24"/>
          <w:szCs w:val="24"/>
        </w:rPr>
        <w:t>.</w:t>
      </w:r>
    </w:p>
    <w:p w14:paraId="5EC49F70" w14:textId="77777777" w:rsidR="00BD5A01" w:rsidRPr="00F36114" w:rsidRDefault="00BD5A01" w:rsidP="004457D5">
      <w:pPr>
        <w:pStyle w:val="ListParagraph"/>
        <w:keepNext/>
        <w:keepLines/>
        <w:numPr>
          <w:ilvl w:val="0"/>
          <w:numId w:val="26"/>
        </w:numPr>
        <w:spacing w:after="360" w:line="240" w:lineRule="auto"/>
        <w:contextualSpacing w:val="0"/>
        <w:jc w:val="both"/>
        <w:rPr>
          <w:rFonts w:ascii="Times New Roman" w:hAnsi="Times New Roman" w:cs="Times New Roman"/>
          <w:b/>
          <w:sz w:val="24"/>
          <w:szCs w:val="24"/>
        </w:rPr>
      </w:pPr>
      <w:r w:rsidRPr="00F36114">
        <w:rPr>
          <w:rFonts w:ascii="Times New Roman" w:hAnsi="Times New Roman" w:cs="Times New Roman"/>
          <w:b/>
          <w:sz w:val="24"/>
          <w:szCs w:val="24"/>
        </w:rPr>
        <w:lastRenderedPageBreak/>
        <w:t>Should the values for SWOC and VOLL be codified in the commission’s rules, set by commission order, or established through some other method?</w:t>
      </w:r>
    </w:p>
    <w:p w14:paraId="38258599" w14:textId="72A2005E" w:rsidR="00021D9B" w:rsidRPr="00F36114" w:rsidRDefault="00021D9B" w:rsidP="00782C47">
      <w:pPr>
        <w:spacing w:line="360" w:lineRule="auto"/>
        <w:ind w:firstLine="720"/>
        <w:jc w:val="both"/>
        <w:rPr>
          <w:rFonts w:ascii="Times New Roman" w:hAnsi="Times New Roman" w:cs="Times New Roman"/>
          <w:sz w:val="24"/>
          <w:szCs w:val="24"/>
        </w:rPr>
      </w:pPr>
      <w:r w:rsidRPr="00F36114">
        <w:rPr>
          <w:rFonts w:ascii="Times New Roman" w:hAnsi="Times New Roman" w:cs="Times New Roman"/>
          <w:sz w:val="24"/>
          <w:szCs w:val="24"/>
        </w:rPr>
        <w:t>The key RTC parameters, such as SWOC</w:t>
      </w:r>
      <w:r w:rsidR="00C8381F" w:rsidRPr="00F36114">
        <w:rPr>
          <w:rFonts w:ascii="Times New Roman" w:hAnsi="Times New Roman" w:cs="Times New Roman"/>
          <w:sz w:val="24"/>
          <w:szCs w:val="24"/>
        </w:rPr>
        <w:t>,</w:t>
      </w:r>
      <w:r w:rsidRPr="00F36114">
        <w:rPr>
          <w:rFonts w:ascii="Times New Roman" w:hAnsi="Times New Roman" w:cs="Times New Roman"/>
          <w:sz w:val="24"/>
          <w:szCs w:val="24"/>
        </w:rPr>
        <w:t xml:space="preserve"> ASDC maximums</w:t>
      </w:r>
      <w:r w:rsidR="00C8381F" w:rsidRPr="00F36114">
        <w:rPr>
          <w:rFonts w:ascii="Times New Roman" w:hAnsi="Times New Roman" w:cs="Times New Roman"/>
          <w:sz w:val="24"/>
          <w:szCs w:val="24"/>
        </w:rPr>
        <w:t xml:space="preserve">, </w:t>
      </w:r>
      <w:r w:rsidRPr="00F36114">
        <w:rPr>
          <w:rFonts w:ascii="Times New Roman" w:hAnsi="Times New Roman" w:cs="Times New Roman"/>
          <w:sz w:val="24"/>
          <w:szCs w:val="24"/>
        </w:rPr>
        <w:t xml:space="preserve">VOLL, </w:t>
      </w:r>
      <w:r w:rsidR="00C8381F" w:rsidRPr="00F36114">
        <w:rPr>
          <w:rFonts w:ascii="Times New Roman" w:hAnsi="Times New Roman" w:cs="Times New Roman"/>
          <w:sz w:val="24"/>
          <w:szCs w:val="24"/>
        </w:rPr>
        <w:t xml:space="preserve">and possibly even PBPC and MCL </w:t>
      </w:r>
      <w:r w:rsidRPr="00F36114">
        <w:rPr>
          <w:rFonts w:ascii="Times New Roman" w:hAnsi="Times New Roman" w:cs="Times New Roman"/>
          <w:sz w:val="24"/>
          <w:szCs w:val="24"/>
        </w:rPr>
        <w:t>should be codified in the Commission’s rules to give stakeholders sufficient regulatory certainty regarding the values and an opportunity, in the future, for notice and comment und</w:t>
      </w:r>
      <w:r w:rsidR="004457D5" w:rsidRPr="00F36114">
        <w:rPr>
          <w:rFonts w:ascii="Times New Roman" w:hAnsi="Times New Roman" w:cs="Times New Roman"/>
          <w:sz w:val="24"/>
          <w:szCs w:val="24"/>
        </w:rPr>
        <w:t>er the Administrative Procedure</w:t>
      </w:r>
      <w:r w:rsidRPr="00F36114">
        <w:rPr>
          <w:rFonts w:ascii="Times New Roman" w:hAnsi="Times New Roman" w:cs="Times New Roman"/>
          <w:sz w:val="24"/>
          <w:szCs w:val="24"/>
        </w:rPr>
        <w:t xml:space="preserve"> Act</w:t>
      </w:r>
      <w:r w:rsidR="004457D5" w:rsidRPr="00F36114">
        <w:rPr>
          <w:rStyle w:val="FootnoteReference"/>
          <w:rFonts w:ascii="Times New Roman" w:hAnsi="Times New Roman" w:cs="Times New Roman"/>
          <w:sz w:val="24"/>
          <w:szCs w:val="24"/>
        </w:rPr>
        <w:footnoteReference w:id="24"/>
      </w:r>
      <w:r w:rsidRPr="00F36114">
        <w:rPr>
          <w:rFonts w:ascii="Times New Roman" w:hAnsi="Times New Roman" w:cs="Times New Roman"/>
          <w:sz w:val="24"/>
          <w:szCs w:val="24"/>
        </w:rPr>
        <w:t xml:space="preserve"> before those values are changed. As discussed above, the key RTC parameters will have a significant impact on scarcity pricing</w:t>
      </w:r>
      <w:r w:rsidR="008D0E65">
        <w:rPr>
          <w:rFonts w:ascii="Times New Roman" w:hAnsi="Times New Roman" w:cs="Times New Roman"/>
          <w:sz w:val="24"/>
          <w:szCs w:val="24"/>
        </w:rPr>
        <w:t xml:space="preserve"> and resource adequacy</w:t>
      </w:r>
      <w:r w:rsidRPr="00F36114">
        <w:rPr>
          <w:rFonts w:ascii="Times New Roman" w:hAnsi="Times New Roman" w:cs="Times New Roman"/>
          <w:sz w:val="24"/>
          <w:szCs w:val="24"/>
        </w:rPr>
        <w:t xml:space="preserve"> in ERCOT, and, thus, it is critical </w:t>
      </w:r>
      <w:r w:rsidR="00C8381F" w:rsidRPr="00F36114">
        <w:rPr>
          <w:rFonts w:ascii="Times New Roman" w:hAnsi="Times New Roman" w:cs="Times New Roman"/>
          <w:sz w:val="24"/>
          <w:szCs w:val="24"/>
        </w:rPr>
        <w:t xml:space="preserve">to supporting regulatory certainty in the RTC market design </w:t>
      </w:r>
      <w:r w:rsidR="00CF2EB2">
        <w:rPr>
          <w:rFonts w:ascii="Times New Roman" w:hAnsi="Times New Roman" w:cs="Times New Roman"/>
          <w:sz w:val="24"/>
          <w:szCs w:val="24"/>
        </w:rPr>
        <w:t xml:space="preserve">so </w:t>
      </w:r>
      <w:r w:rsidRPr="00F36114">
        <w:rPr>
          <w:rFonts w:ascii="Times New Roman" w:hAnsi="Times New Roman" w:cs="Times New Roman"/>
          <w:sz w:val="24"/>
          <w:szCs w:val="24"/>
        </w:rPr>
        <w:t>that stakeholders can rely on the values that the Commission adopts and can be confident that those values will not change without appropriate notice and input from stakeholders.</w:t>
      </w:r>
    </w:p>
    <w:p w14:paraId="1283065E" w14:textId="77777777" w:rsidR="00BD5A01" w:rsidRPr="00F36114" w:rsidRDefault="00BD5A01" w:rsidP="00BD5A01">
      <w:pPr>
        <w:pStyle w:val="ListParagraph"/>
        <w:numPr>
          <w:ilvl w:val="0"/>
          <w:numId w:val="26"/>
        </w:numPr>
        <w:spacing w:after="360" w:line="240" w:lineRule="auto"/>
        <w:contextualSpacing w:val="0"/>
        <w:jc w:val="both"/>
        <w:rPr>
          <w:rFonts w:ascii="Times New Roman" w:hAnsi="Times New Roman" w:cs="Times New Roman"/>
          <w:b/>
          <w:sz w:val="24"/>
          <w:szCs w:val="24"/>
        </w:rPr>
      </w:pPr>
      <w:r w:rsidRPr="00F36114">
        <w:rPr>
          <w:rFonts w:ascii="Times New Roman" w:hAnsi="Times New Roman" w:cs="Times New Roman"/>
          <w:b/>
          <w:sz w:val="24"/>
          <w:szCs w:val="24"/>
        </w:rPr>
        <w:t xml:space="preserve">What set of ancillary services should be used in developing ancillary service demand curves for use in the implementation of RTC? Please consider the implementation of Nodal Protocol Revision Request (NPRR) 863, </w:t>
      </w:r>
      <w:r w:rsidRPr="00F36114">
        <w:rPr>
          <w:rFonts w:ascii="Times New Roman" w:hAnsi="Times New Roman" w:cs="Times New Roman"/>
          <w:b/>
          <w:i/>
          <w:sz w:val="24"/>
          <w:szCs w:val="24"/>
        </w:rPr>
        <w:t>Creation of ERCOT Contingency Reserve Service and Revisions to Responsive Reserve</w:t>
      </w:r>
      <w:r w:rsidRPr="00F36114">
        <w:rPr>
          <w:rFonts w:ascii="Times New Roman" w:hAnsi="Times New Roman" w:cs="Times New Roman"/>
          <w:b/>
          <w:sz w:val="24"/>
          <w:szCs w:val="24"/>
        </w:rPr>
        <w:t>, in your response.</w:t>
      </w:r>
    </w:p>
    <w:p w14:paraId="23CBE48A" w14:textId="013CA820" w:rsidR="00681158" w:rsidRPr="00F36114" w:rsidRDefault="00934157" w:rsidP="00B978D4">
      <w:pPr>
        <w:spacing w:line="360" w:lineRule="auto"/>
        <w:ind w:firstLine="720"/>
        <w:jc w:val="both"/>
        <w:rPr>
          <w:rFonts w:ascii="Times New Roman" w:hAnsi="Times New Roman" w:cs="Times New Roman"/>
          <w:sz w:val="24"/>
          <w:szCs w:val="24"/>
        </w:rPr>
      </w:pPr>
      <w:r w:rsidRPr="00F36114">
        <w:rPr>
          <w:rFonts w:ascii="Times New Roman" w:hAnsi="Times New Roman" w:cs="Times New Roman"/>
          <w:sz w:val="24"/>
          <w:szCs w:val="24"/>
        </w:rPr>
        <w:t xml:space="preserve">TCPA recommends that the suite of ancillary services effective after the implementation of NPRR 863 be the foundation </w:t>
      </w:r>
      <w:r w:rsidR="00F44F9E" w:rsidRPr="00F36114">
        <w:rPr>
          <w:rFonts w:ascii="Times New Roman" w:hAnsi="Times New Roman" w:cs="Times New Roman"/>
          <w:sz w:val="24"/>
          <w:szCs w:val="24"/>
        </w:rPr>
        <w:t xml:space="preserve">for </w:t>
      </w:r>
      <w:r w:rsidRPr="00F36114">
        <w:rPr>
          <w:rFonts w:ascii="Times New Roman" w:hAnsi="Times New Roman" w:cs="Times New Roman"/>
          <w:sz w:val="24"/>
          <w:szCs w:val="24"/>
        </w:rPr>
        <w:t xml:space="preserve">developing ASDCs; however, further technical evaluation should be done by ERCOT and its stakeholders to consider how operating reserves (i.e., online and offline reserves in excess of the </w:t>
      </w:r>
      <w:r w:rsidR="00297A87" w:rsidRPr="00F36114">
        <w:rPr>
          <w:rFonts w:ascii="Times New Roman" w:hAnsi="Times New Roman" w:cs="Times New Roman"/>
          <w:sz w:val="24"/>
          <w:szCs w:val="24"/>
        </w:rPr>
        <w:t xml:space="preserve">required </w:t>
      </w:r>
      <w:r w:rsidRPr="00F36114">
        <w:rPr>
          <w:rFonts w:ascii="Times New Roman" w:hAnsi="Times New Roman" w:cs="Times New Roman"/>
          <w:sz w:val="24"/>
          <w:szCs w:val="24"/>
        </w:rPr>
        <w:t xml:space="preserve">quantities of ancillary services) be incorporated, as they are with today’s ORDC. There are a number of ways that </w:t>
      </w:r>
      <w:r w:rsidR="00C136DB" w:rsidRPr="00F36114">
        <w:rPr>
          <w:rFonts w:ascii="Times New Roman" w:hAnsi="Times New Roman" w:cs="Times New Roman"/>
          <w:sz w:val="24"/>
          <w:szCs w:val="24"/>
        </w:rPr>
        <w:t>online and offline reserves could continue to be valued as they are under the current ORDC design</w:t>
      </w:r>
      <w:r w:rsidR="004457D5" w:rsidRPr="00F36114">
        <w:rPr>
          <w:rFonts w:ascii="Times New Roman" w:hAnsi="Times New Roman" w:cs="Times New Roman"/>
          <w:sz w:val="24"/>
          <w:szCs w:val="24"/>
        </w:rPr>
        <w:t>,</w:t>
      </w:r>
      <w:r w:rsidR="00C136DB" w:rsidRPr="00F36114">
        <w:rPr>
          <w:rFonts w:ascii="Times New Roman" w:hAnsi="Times New Roman" w:cs="Times New Roman"/>
          <w:sz w:val="24"/>
          <w:szCs w:val="24"/>
        </w:rPr>
        <w:t xml:space="preserve"> and </w:t>
      </w:r>
      <w:r w:rsidR="0033187E">
        <w:rPr>
          <w:rFonts w:ascii="Times New Roman" w:hAnsi="Times New Roman" w:cs="Times New Roman"/>
          <w:sz w:val="24"/>
          <w:szCs w:val="24"/>
        </w:rPr>
        <w:t>s</w:t>
      </w:r>
      <w:r w:rsidR="0033187E" w:rsidRPr="00F36114">
        <w:rPr>
          <w:rFonts w:ascii="Times New Roman" w:hAnsi="Times New Roman" w:cs="Times New Roman"/>
          <w:sz w:val="24"/>
          <w:szCs w:val="24"/>
        </w:rPr>
        <w:t xml:space="preserve">ignificant analysis and discussion at ERCOT will need to occur before any particular option is chosen. </w:t>
      </w:r>
      <w:r w:rsidR="00C136DB" w:rsidRPr="00F36114">
        <w:rPr>
          <w:rFonts w:ascii="Times New Roman" w:hAnsi="Times New Roman" w:cs="Times New Roman"/>
          <w:sz w:val="24"/>
          <w:szCs w:val="24"/>
        </w:rPr>
        <w:t xml:space="preserve">With that said, </w:t>
      </w:r>
      <w:r w:rsidR="00F44F9E" w:rsidRPr="00F36114">
        <w:rPr>
          <w:rFonts w:ascii="Times New Roman" w:hAnsi="Times New Roman" w:cs="Times New Roman"/>
          <w:sz w:val="24"/>
          <w:szCs w:val="24"/>
        </w:rPr>
        <w:t xml:space="preserve">TCPA respectfully requests that </w:t>
      </w:r>
      <w:r w:rsidR="00C136DB" w:rsidRPr="00F36114">
        <w:rPr>
          <w:rFonts w:ascii="Times New Roman" w:hAnsi="Times New Roman" w:cs="Times New Roman"/>
          <w:sz w:val="24"/>
          <w:szCs w:val="24"/>
        </w:rPr>
        <w:t xml:space="preserve">the Commission direct stakeholders to design the </w:t>
      </w:r>
      <w:r w:rsidR="00F44F9E" w:rsidRPr="00F36114">
        <w:rPr>
          <w:rFonts w:ascii="Times New Roman" w:hAnsi="Times New Roman" w:cs="Times New Roman"/>
          <w:sz w:val="24"/>
          <w:szCs w:val="24"/>
        </w:rPr>
        <w:t>ancillary service</w:t>
      </w:r>
      <w:r w:rsidR="001B78DB" w:rsidRPr="00F36114">
        <w:rPr>
          <w:rFonts w:ascii="Times New Roman" w:hAnsi="Times New Roman" w:cs="Times New Roman"/>
          <w:sz w:val="24"/>
          <w:szCs w:val="24"/>
        </w:rPr>
        <w:t>s</w:t>
      </w:r>
      <w:r w:rsidR="00F44F9E" w:rsidRPr="00F36114">
        <w:rPr>
          <w:rFonts w:ascii="Times New Roman" w:hAnsi="Times New Roman" w:cs="Times New Roman"/>
          <w:sz w:val="24"/>
          <w:szCs w:val="24"/>
        </w:rPr>
        <w:t xml:space="preserve"> set and their accompanying </w:t>
      </w:r>
      <w:r w:rsidR="00C136DB" w:rsidRPr="00F36114">
        <w:rPr>
          <w:rFonts w:ascii="Times New Roman" w:hAnsi="Times New Roman" w:cs="Times New Roman"/>
          <w:sz w:val="24"/>
          <w:szCs w:val="24"/>
        </w:rPr>
        <w:t>ASDCs in a manner that will continue to value online and offline reserves in a similar manner as occurs today</w:t>
      </w:r>
      <w:r w:rsidR="0033187E">
        <w:rPr>
          <w:rFonts w:ascii="Times New Roman" w:hAnsi="Times New Roman" w:cs="Times New Roman"/>
          <w:sz w:val="24"/>
          <w:szCs w:val="24"/>
        </w:rPr>
        <w:t>.</w:t>
      </w:r>
      <w:r w:rsidR="0033187E" w:rsidRPr="0033187E">
        <w:rPr>
          <w:rStyle w:val="FootnoteReference"/>
          <w:rFonts w:ascii="Times New Roman" w:hAnsi="Times New Roman" w:cs="Times New Roman"/>
          <w:sz w:val="24"/>
          <w:szCs w:val="24"/>
        </w:rPr>
        <w:t xml:space="preserve"> </w:t>
      </w:r>
      <w:r w:rsidR="0033187E" w:rsidRPr="00F36114">
        <w:rPr>
          <w:rStyle w:val="FootnoteReference"/>
          <w:rFonts w:ascii="Times New Roman" w:hAnsi="Times New Roman" w:cs="Times New Roman"/>
          <w:sz w:val="24"/>
          <w:szCs w:val="24"/>
        </w:rPr>
        <w:footnoteReference w:id="25"/>
      </w:r>
      <w:r w:rsidR="0033187E">
        <w:rPr>
          <w:rFonts w:ascii="Times New Roman" w:hAnsi="Times New Roman" w:cs="Times New Roman"/>
          <w:sz w:val="24"/>
          <w:szCs w:val="24"/>
        </w:rPr>
        <w:t xml:space="preserve"> </w:t>
      </w:r>
    </w:p>
    <w:p w14:paraId="600B4591" w14:textId="77777777" w:rsidR="00BD5A01" w:rsidRPr="00F36114" w:rsidRDefault="00BD5A01" w:rsidP="000D27AF">
      <w:pPr>
        <w:pStyle w:val="ListParagraph"/>
        <w:keepNext/>
        <w:keepLines/>
        <w:numPr>
          <w:ilvl w:val="0"/>
          <w:numId w:val="26"/>
        </w:numPr>
        <w:spacing w:line="240" w:lineRule="auto"/>
        <w:contextualSpacing w:val="0"/>
        <w:jc w:val="both"/>
        <w:rPr>
          <w:rFonts w:ascii="Times New Roman" w:hAnsi="Times New Roman" w:cs="Times New Roman"/>
          <w:b/>
          <w:sz w:val="24"/>
          <w:szCs w:val="24"/>
        </w:rPr>
      </w:pPr>
      <w:r w:rsidRPr="00F36114">
        <w:rPr>
          <w:rFonts w:ascii="Times New Roman" w:hAnsi="Times New Roman" w:cs="Times New Roman"/>
          <w:b/>
          <w:sz w:val="24"/>
          <w:szCs w:val="24"/>
        </w:rPr>
        <w:lastRenderedPageBreak/>
        <w:t>Should the demand curves for each of the ancillary services be developed independently, based on the reliability benefit provided by each service for any given level of available operating reserves? Why or why not?</w:t>
      </w:r>
    </w:p>
    <w:p w14:paraId="2B78B7CD" w14:textId="77777777" w:rsidR="00BD5A01" w:rsidRPr="00F36114" w:rsidRDefault="00BD5A01" w:rsidP="000D27AF">
      <w:pPr>
        <w:pStyle w:val="ListParagraph"/>
        <w:keepNext/>
        <w:keepLines/>
        <w:numPr>
          <w:ilvl w:val="0"/>
          <w:numId w:val="26"/>
        </w:numPr>
        <w:spacing w:after="360" w:line="240" w:lineRule="auto"/>
        <w:contextualSpacing w:val="0"/>
        <w:jc w:val="both"/>
        <w:rPr>
          <w:rFonts w:ascii="Times New Roman" w:hAnsi="Times New Roman" w:cs="Times New Roman"/>
          <w:b/>
          <w:sz w:val="24"/>
          <w:szCs w:val="24"/>
        </w:rPr>
      </w:pPr>
      <w:r w:rsidRPr="00F36114">
        <w:rPr>
          <w:rFonts w:ascii="Times New Roman" w:hAnsi="Times New Roman" w:cs="Times New Roman"/>
          <w:b/>
          <w:sz w:val="24"/>
          <w:szCs w:val="24"/>
        </w:rPr>
        <w:t>If the answer to Question 6 is no, what methodology or parameters should be used to develop the demand curves for each of the ancillary services?</w:t>
      </w:r>
    </w:p>
    <w:p w14:paraId="512FEB12" w14:textId="1E847618" w:rsidR="002374BC" w:rsidRPr="00F36114" w:rsidRDefault="00734FAD" w:rsidP="000D27AF">
      <w:pPr>
        <w:keepNext/>
        <w:keepLines/>
        <w:spacing w:line="360" w:lineRule="auto"/>
        <w:ind w:firstLine="720"/>
        <w:jc w:val="both"/>
        <w:rPr>
          <w:rFonts w:ascii="Times New Roman" w:hAnsi="Times New Roman" w:cs="Times New Roman"/>
          <w:sz w:val="24"/>
          <w:szCs w:val="24"/>
        </w:rPr>
      </w:pPr>
      <w:r w:rsidRPr="00F36114">
        <w:rPr>
          <w:rFonts w:ascii="Times New Roman" w:hAnsi="Times New Roman" w:cs="Times New Roman"/>
          <w:sz w:val="24"/>
          <w:szCs w:val="24"/>
        </w:rPr>
        <w:t>As discussed above under Questions 1 through 3, it is premature to decide the specific design features of the ASDCs without additional analysis</w:t>
      </w:r>
      <w:r w:rsidR="00A16270" w:rsidRPr="00F36114">
        <w:rPr>
          <w:rFonts w:ascii="Times New Roman" w:hAnsi="Times New Roman" w:cs="Times New Roman"/>
          <w:sz w:val="24"/>
          <w:szCs w:val="24"/>
        </w:rPr>
        <w:t xml:space="preserve"> (preferably by an independent consultant)</w:t>
      </w:r>
      <w:r w:rsidRPr="00F36114">
        <w:rPr>
          <w:rFonts w:ascii="Times New Roman" w:hAnsi="Times New Roman" w:cs="Times New Roman"/>
          <w:sz w:val="24"/>
          <w:szCs w:val="24"/>
        </w:rPr>
        <w:t xml:space="preserve"> regarding the potential impact to resource adequacy, but there are general principles that should guide the decision-making process. The ASDCs should reflect the reliability value of the </w:t>
      </w:r>
      <w:r w:rsidR="002374BC" w:rsidRPr="00F36114">
        <w:rPr>
          <w:rFonts w:ascii="Times New Roman" w:hAnsi="Times New Roman" w:cs="Times New Roman"/>
          <w:sz w:val="24"/>
          <w:szCs w:val="24"/>
        </w:rPr>
        <w:t xml:space="preserve">various </w:t>
      </w:r>
      <w:r w:rsidRPr="00F36114">
        <w:rPr>
          <w:rFonts w:ascii="Times New Roman" w:hAnsi="Times New Roman" w:cs="Times New Roman"/>
          <w:sz w:val="24"/>
          <w:szCs w:val="24"/>
        </w:rPr>
        <w:t>ancillary services</w:t>
      </w:r>
      <w:r w:rsidR="002374BC" w:rsidRPr="00F36114">
        <w:rPr>
          <w:rFonts w:ascii="Times New Roman" w:hAnsi="Times New Roman" w:cs="Times New Roman"/>
          <w:sz w:val="24"/>
          <w:szCs w:val="24"/>
        </w:rPr>
        <w:t xml:space="preserve"> and operating reserves</w:t>
      </w:r>
      <w:r w:rsidRPr="00F36114">
        <w:rPr>
          <w:rFonts w:ascii="Times New Roman" w:hAnsi="Times New Roman" w:cs="Times New Roman"/>
          <w:sz w:val="24"/>
          <w:szCs w:val="24"/>
        </w:rPr>
        <w:t xml:space="preserve">, while also preserving the scarcity pricing outcomes </w:t>
      </w:r>
      <w:r w:rsidR="00B96E79" w:rsidRPr="00F36114">
        <w:rPr>
          <w:rFonts w:ascii="Times New Roman" w:hAnsi="Times New Roman" w:cs="Times New Roman"/>
          <w:sz w:val="24"/>
          <w:szCs w:val="24"/>
        </w:rPr>
        <w:t xml:space="preserve">and reserve margin expectations that are at least consistent with those expected </w:t>
      </w:r>
      <w:r w:rsidRPr="00F36114">
        <w:rPr>
          <w:rFonts w:ascii="Times New Roman" w:hAnsi="Times New Roman" w:cs="Times New Roman"/>
          <w:sz w:val="24"/>
          <w:szCs w:val="24"/>
        </w:rPr>
        <w:t>under the ORDC (</w:t>
      </w:r>
      <w:r w:rsidR="002374BC" w:rsidRPr="00F36114">
        <w:rPr>
          <w:rFonts w:ascii="Times New Roman" w:hAnsi="Times New Roman" w:cs="Times New Roman"/>
          <w:sz w:val="24"/>
          <w:szCs w:val="24"/>
        </w:rPr>
        <w:t xml:space="preserve">including with the </w:t>
      </w:r>
      <w:r w:rsidR="00B96E79" w:rsidRPr="00F36114">
        <w:rPr>
          <w:rFonts w:ascii="Times New Roman" w:hAnsi="Times New Roman" w:cs="Times New Roman"/>
          <w:sz w:val="24"/>
          <w:szCs w:val="24"/>
        </w:rPr>
        <w:t xml:space="preserve">recent decisions regarding </w:t>
      </w:r>
      <w:r w:rsidRPr="00F36114">
        <w:rPr>
          <w:rFonts w:ascii="Times New Roman" w:hAnsi="Times New Roman" w:cs="Times New Roman"/>
          <w:sz w:val="24"/>
          <w:szCs w:val="24"/>
        </w:rPr>
        <w:t>LOLP). As discussed above, the Commission carefully deliberated over several years in making the design decisions for today’s ORDC mechanism, and the implementation of RTC should not backtrack on</w:t>
      </w:r>
      <w:r w:rsidR="008F0D07">
        <w:rPr>
          <w:rFonts w:ascii="Times New Roman" w:hAnsi="Times New Roman" w:cs="Times New Roman"/>
          <w:sz w:val="24"/>
          <w:szCs w:val="24"/>
        </w:rPr>
        <w:t>,</w:t>
      </w:r>
      <w:r w:rsidRPr="00F36114">
        <w:rPr>
          <w:rFonts w:ascii="Times New Roman" w:hAnsi="Times New Roman" w:cs="Times New Roman"/>
          <w:sz w:val="24"/>
          <w:szCs w:val="24"/>
        </w:rPr>
        <w:t xml:space="preserve"> </w:t>
      </w:r>
      <w:r w:rsidR="00DB5FB4" w:rsidRPr="00F36114">
        <w:rPr>
          <w:rFonts w:ascii="Times New Roman" w:hAnsi="Times New Roman" w:cs="Times New Roman"/>
          <w:sz w:val="24"/>
          <w:szCs w:val="24"/>
        </w:rPr>
        <w:t>nor become a venue to reargue</w:t>
      </w:r>
      <w:r w:rsidR="008F0D07">
        <w:rPr>
          <w:rFonts w:ascii="Times New Roman" w:hAnsi="Times New Roman" w:cs="Times New Roman"/>
          <w:sz w:val="24"/>
          <w:szCs w:val="24"/>
        </w:rPr>
        <w:t>,</w:t>
      </w:r>
      <w:r w:rsidR="00DB5FB4" w:rsidRPr="00F36114">
        <w:rPr>
          <w:rFonts w:ascii="Times New Roman" w:hAnsi="Times New Roman" w:cs="Times New Roman"/>
          <w:sz w:val="24"/>
          <w:szCs w:val="24"/>
        </w:rPr>
        <w:t xml:space="preserve"> </w:t>
      </w:r>
      <w:r w:rsidRPr="00F36114">
        <w:rPr>
          <w:rFonts w:ascii="Times New Roman" w:hAnsi="Times New Roman" w:cs="Times New Roman"/>
          <w:sz w:val="24"/>
          <w:szCs w:val="24"/>
        </w:rPr>
        <w:t xml:space="preserve">those </w:t>
      </w:r>
      <w:r w:rsidR="002374BC" w:rsidRPr="00F36114">
        <w:rPr>
          <w:rFonts w:ascii="Times New Roman" w:hAnsi="Times New Roman" w:cs="Times New Roman"/>
          <w:sz w:val="24"/>
          <w:szCs w:val="24"/>
        </w:rPr>
        <w:t xml:space="preserve">important policy </w:t>
      </w:r>
      <w:r w:rsidRPr="00F36114">
        <w:rPr>
          <w:rFonts w:ascii="Times New Roman" w:hAnsi="Times New Roman" w:cs="Times New Roman"/>
          <w:sz w:val="24"/>
          <w:szCs w:val="24"/>
        </w:rPr>
        <w:t xml:space="preserve">decisions. The establishment of ASDCs, </w:t>
      </w:r>
      <w:r w:rsidR="00DB5FB4" w:rsidRPr="00F36114">
        <w:rPr>
          <w:rFonts w:ascii="Times New Roman" w:hAnsi="Times New Roman" w:cs="Times New Roman"/>
          <w:sz w:val="24"/>
          <w:szCs w:val="24"/>
        </w:rPr>
        <w:t xml:space="preserve">including the </w:t>
      </w:r>
      <w:r w:rsidRPr="00F36114">
        <w:rPr>
          <w:rFonts w:ascii="Times New Roman" w:hAnsi="Times New Roman" w:cs="Times New Roman"/>
          <w:sz w:val="24"/>
          <w:szCs w:val="24"/>
        </w:rPr>
        <w:t>maximum ASDC values and the</w:t>
      </w:r>
      <w:r w:rsidR="00DB5FB4" w:rsidRPr="00F36114">
        <w:rPr>
          <w:rFonts w:ascii="Times New Roman" w:hAnsi="Times New Roman" w:cs="Times New Roman"/>
          <w:sz w:val="24"/>
          <w:szCs w:val="24"/>
        </w:rPr>
        <w:t>ir</w:t>
      </w:r>
      <w:r w:rsidRPr="00F36114">
        <w:rPr>
          <w:rFonts w:ascii="Times New Roman" w:hAnsi="Times New Roman" w:cs="Times New Roman"/>
          <w:sz w:val="24"/>
          <w:szCs w:val="24"/>
        </w:rPr>
        <w:t xml:space="preserve"> shape</w:t>
      </w:r>
      <w:r w:rsidR="00DB5FB4" w:rsidRPr="00F36114">
        <w:rPr>
          <w:rFonts w:ascii="Times New Roman" w:hAnsi="Times New Roman" w:cs="Times New Roman"/>
          <w:sz w:val="24"/>
          <w:szCs w:val="24"/>
        </w:rPr>
        <w:t>s</w:t>
      </w:r>
      <w:r w:rsidRPr="00F36114">
        <w:rPr>
          <w:rFonts w:ascii="Times New Roman" w:hAnsi="Times New Roman" w:cs="Times New Roman"/>
          <w:sz w:val="24"/>
          <w:szCs w:val="24"/>
        </w:rPr>
        <w:t xml:space="preserve"> </w:t>
      </w:r>
      <w:r w:rsidR="00DB5FB4" w:rsidRPr="00F36114">
        <w:rPr>
          <w:rFonts w:ascii="Times New Roman" w:hAnsi="Times New Roman" w:cs="Times New Roman"/>
          <w:sz w:val="24"/>
          <w:szCs w:val="24"/>
        </w:rPr>
        <w:t xml:space="preserve">as well as the </w:t>
      </w:r>
      <w:r w:rsidRPr="00F36114">
        <w:rPr>
          <w:rFonts w:ascii="Times New Roman" w:hAnsi="Times New Roman" w:cs="Times New Roman"/>
          <w:sz w:val="24"/>
          <w:szCs w:val="24"/>
        </w:rPr>
        <w:t>market utilization of the ASDCs</w:t>
      </w:r>
      <w:r w:rsidR="002A549F" w:rsidRPr="00F36114">
        <w:rPr>
          <w:rFonts w:ascii="Times New Roman" w:hAnsi="Times New Roman" w:cs="Times New Roman"/>
          <w:sz w:val="24"/>
          <w:szCs w:val="24"/>
        </w:rPr>
        <w:t>,</w:t>
      </w:r>
      <w:r w:rsidRPr="00F36114">
        <w:rPr>
          <w:rFonts w:ascii="Times New Roman" w:hAnsi="Times New Roman" w:cs="Times New Roman"/>
          <w:sz w:val="24"/>
          <w:szCs w:val="24"/>
        </w:rPr>
        <w:t xml:space="preserve"> </w:t>
      </w:r>
      <w:r w:rsidR="006D3329" w:rsidRPr="00F36114">
        <w:rPr>
          <w:rFonts w:ascii="Times New Roman" w:hAnsi="Times New Roman" w:cs="Times New Roman"/>
          <w:sz w:val="24"/>
          <w:szCs w:val="24"/>
        </w:rPr>
        <w:t>is a</w:t>
      </w:r>
      <w:r w:rsidR="00DB5FB4" w:rsidRPr="00F36114">
        <w:rPr>
          <w:rFonts w:ascii="Times New Roman" w:hAnsi="Times New Roman" w:cs="Times New Roman"/>
          <w:sz w:val="24"/>
          <w:szCs w:val="24"/>
        </w:rPr>
        <w:t xml:space="preserve"> </w:t>
      </w:r>
      <w:r w:rsidRPr="00F36114">
        <w:rPr>
          <w:rFonts w:ascii="Times New Roman" w:hAnsi="Times New Roman" w:cs="Times New Roman"/>
          <w:sz w:val="24"/>
          <w:szCs w:val="24"/>
        </w:rPr>
        <w:t>critical design decision that will strong</w:t>
      </w:r>
      <w:r w:rsidR="002374BC" w:rsidRPr="00F36114">
        <w:rPr>
          <w:rFonts w:ascii="Times New Roman" w:hAnsi="Times New Roman" w:cs="Times New Roman"/>
          <w:sz w:val="24"/>
          <w:szCs w:val="24"/>
        </w:rPr>
        <w:t xml:space="preserve">ly influence </w:t>
      </w:r>
      <w:r w:rsidRPr="00F36114">
        <w:rPr>
          <w:rFonts w:ascii="Times New Roman" w:hAnsi="Times New Roman" w:cs="Times New Roman"/>
          <w:sz w:val="24"/>
          <w:szCs w:val="24"/>
        </w:rPr>
        <w:t xml:space="preserve">scarcity pricing and the </w:t>
      </w:r>
      <w:r w:rsidR="00DB5FB4" w:rsidRPr="00F36114">
        <w:rPr>
          <w:rFonts w:ascii="Times New Roman" w:hAnsi="Times New Roman" w:cs="Times New Roman"/>
          <w:sz w:val="24"/>
          <w:szCs w:val="24"/>
        </w:rPr>
        <w:t xml:space="preserve">continued </w:t>
      </w:r>
      <w:r w:rsidRPr="00F36114">
        <w:rPr>
          <w:rFonts w:ascii="Times New Roman" w:hAnsi="Times New Roman" w:cs="Times New Roman"/>
          <w:sz w:val="24"/>
          <w:szCs w:val="24"/>
        </w:rPr>
        <w:t xml:space="preserve">success of the ERCOT market. TCPA recommends </w:t>
      </w:r>
      <w:r w:rsidR="00AF7EE2" w:rsidRPr="00F36114">
        <w:rPr>
          <w:rFonts w:ascii="Times New Roman" w:hAnsi="Times New Roman" w:cs="Times New Roman"/>
          <w:sz w:val="24"/>
          <w:szCs w:val="24"/>
        </w:rPr>
        <w:t xml:space="preserve">independent analysis by a third-party consultant to inform a </w:t>
      </w:r>
      <w:r w:rsidRPr="00F36114">
        <w:rPr>
          <w:rFonts w:ascii="Times New Roman" w:hAnsi="Times New Roman" w:cs="Times New Roman"/>
          <w:sz w:val="24"/>
          <w:szCs w:val="24"/>
        </w:rPr>
        <w:t xml:space="preserve">careful deliberation by stakeholders, ERCOT, the IMM, and the Commission before major design decisions </w:t>
      </w:r>
      <w:r w:rsidR="00AF7EE2" w:rsidRPr="00F36114">
        <w:rPr>
          <w:rFonts w:ascii="Times New Roman" w:hAnsi="Times New Roman" w:cs="Times New Roman"/>
          <w:sz w:val="24"/>
          <w:szCs w:val="24"/>
        </w:rPr>
        <w:t xml:space="preserve">are made </w:t>
      </w:r>
      <w:r w:rsidRPr="00F36114">
        <w:rPr>
          <w:rFonts w:ascii="Times New Roman" w:hAnsi="Times New Roman" w:cs="Times New Roman"/>
          <w:sz w:val="24"/>
          <w:szCs w:val="24"/>
        </w:rPr>
        <w:t>for the ASDCs.</w:t>
      </w:r>
    </w:p>
    <w:p w14:paraId="3659E2D6" w14:textId="77777777" w:rsidR="002374BC" w:rsidRPr="00F36114" w:rsidRDefault="002374BC" w:rsidP="00734FAD">
      <w:pPr>
        <w:spacing w:line="360" w:lineRule="auto"/>
        <w:ind w:firstLine="720"/>
        <w:jc w:val="both"/>
        <w:rPr>
          <w:rFonts w:ascii="Times New Roman" w:hAnsi="Times New Roman" w:cs="Times New Roman"/>
          <w:sz w:val="24"/>
          <w:szCs w:val="24"/>
        </w:rPr>
      </w:pPr>
      <w:r w:rsidRPr="00F36114">
        <w:rPr>
          <w:rFonts w:ascii="Times New Roman" w:hAnsi="Times New Roman" w:cs="Times New Roman"/>
          <w:sz w:val="24"/>
          <w:szCs w:val="24"/>
        </w:rPr>
        <w:t>TCPA summarizes the key principles that should guide the development of the ASDCs below:</w:t>
      </w:r>
    </w:p>
    <w:p w14:paraId="316008A8" w14:textId="660EE89E" w:rsidR="006148C1" w:rsidRPr="00F36114" w:rsidRDefault="00A16270" w:rsidP="002374BC">
      <w:pPr>
        <w:pStyle w:val="ListParagraph"/>
        <w:numPr>
          <w:ilvl w:val="0"/>
          <w:numId w:val="27"/>
        </w:numPr>
        <w:spacing w:line="360" w:lineRule="auto"/>
        <w:jc w:val="both"/>
        <w:rPr>
          <w:rFonts w:ascii="Times New Roman" w:hAnsi="Times New Roman" w:cs="Times New Roman"/>
          <w:sz w:val="24"/>
          <w:szCs w:val="24"/>
        </w:rPr>
      </w:pPr>
      <w:r w:rsidRPr="00F36114">
        <w:rPr>
          <w:rFonts w:ascii="Times New Roman" w:hAnsi="Times New Roman" w:cs="Times New Roman"/>
          <w:sz w:val="24"/>
          <w:szCs w:val="24"/>
        </w:rPr>
        <w:t>Th</w:t>
      </w:r>
      <w:r w:rsidR="002374BC" w:rsidRPr="00F36114">
        <w:rPr>
          <w:rFonts w:ascii="Times New Roman" w:hAnsi="Times New Roman" w:cs="Times New Roman"/>
          <w:sz w:val="24"/>
          <w:szCs w:val="24"/>
        </w:rPr>
        <w:t>e ASDCs</w:t>
      </w:r>
      <w:r w:rsidRPr="00F36114">
        <w:rPr>
          <w:rFonts w:ascii="Times New Roman" w:hAnsi="Times New Roman" w:cs="Times New Roman"/>
          <w:sz w:val="24"/>
          <w:szCs w:val="24"/>
        </w:rPr>
        <w:t xml:space="preserve"> (as coordinated with the </w:t>
      </w:r>
      <w:r w:rsidR="00AF7EE2" w:rsidRPr="00F36114">
        <w:rPr>
          <w:rFonts w:ascii="Times New Roman" w:hAnsi="Times New Roman" w:cs="Times New Roman"/>
          <w:sz w:val="24"/>
          <w:szCs w:val="24"/>
        </w:rPr>
        <w:t>other RTC parameters</w:t>
      </w:r>
      <w:r w:rsidRPr="00F36114">
        <w:rPr>
          <w:rFonts w:ascii="Times New Roman" w:hAnsi="Times New Roman" w:cs="Times New Roman"/>
          <w:sz w:val="24"/>
          <w:szCs w:val="24"/>
        </w:rPr>
        <w:t>)</w:t>
      </w:r>
      <w:r w:rsidR="002374BC" w:rsidRPr="00F36114">
        <w:rPr>
          <w:rFonts w:ascii="Times New Roman" w:hAnsi="Times New Roman" w:cs="Times New Roman"/>
          <w:sz w:val="24"/>
          <w:szCs w:val="24"/>
        </w:rPr>
        <w:t xml:space="preserve"> should be structured to achieve at least the same MERM </w:t>
      </w:r>
      <w:r w:rsidR="00E96400" w:rsidRPr="00F36114">
        <w:rPr>
          <w:rFonts w:ascii="Times New Roman" w:hAnsi="Times New Roman" w:cs="Times New Roman"/>
          <w:sz w:val="24"/>
          <w:szCs w:val="24"/>
        </w:rPr>
        <w:t xml:space="preserve">expectations </w:t>
      </w:r>
      <w:r w:rsidR="002374BC" w:rsidRPr="00F36114">
        <w:rPr>
          <w:rFonts w:ascii="Times New Roman" w:hAnsi="Times New Roman" w:cs="Times New Roman"/>
          <w:sz w:val="24"/>
          <w:szCs w:val="24"/>
        </w:rPr>
        <w:t xml:space="preserve">implied by current </w:t>
      </w:r>
      <w:r w:rsidR="00E96400" w:rsidRPr="00F36114">
        <w:rPr>
          <w:rFonts w:ascii="Times New Roman" w:hAnsi="Times New Roman" w:cs="Times New Roman"/>
          <w:sz w:val="24"/>
          <w:szCs w:val="24"/>
        </w:rPr>
        <w:t>scarcity pricing policies</w:t>
      </w:r>
      <w:r w:rsidR="002374BC" w:rsidRPr="00F36114">
        <w:rPr>
          <w:rFonts w:ascii="Times New Roman" w:hAnsi="Times New Roman" w:cs="Times New Roman"/>
          <w:sz w:val="24"/>
          <w:szCs w:val="24"/>
        </w:rPr>
        <w:t>.</w:t>
      </w:r>
    </w:p>
    <w:p w14:paraId="4C38D17F" w14:textId="128D01DC" w:rsidR="002374BC" w:rsidRPr="00F36114" w:rsidRDefault="002374BC" w:rsidP="002374BC">
      <w:pPr>
        <w:pStyle w:val="ListParagraph"/>
        <w:numPr>
          <w:ilvl w:val="0"/>
          <w:numId w:val="27"/>
        </w:numPr>
        <w:spacing w:line="360" w:lineRule="auto"/>
        <w:jc w:val="both"/>
        <w:rPr>
          <w:rFonts w:ascii="Times New Roman" w:hAnsi="Times New Roman" w:cs="Times New Roman"/>
          <w:sz w:val="24"/>
          <w:szCs w:val="24"/>
        </w:rPr>
      </w:pPr>
      <w:r w:rsidRPr="00F36114">
        <w:rPr>
          <w:rFonts w:ascii="Times New Roman" w:hAnsi="Times New Roman" w:cs="Times New Roman"/>
          <w:sz w:val="24"/>
          <w:szCs w:val="24"/>
        </w:rPr>
        <w:t>ASDCs should incorporate the MCL</w:t>
      </w:r>
      <w:r w:rsidR="00A16270" w:rsidRPr="00F36114">
        <w:rPr>
          <w:rFonts w:ascii="Times New Roman" w:hAnsi="Times New Roman" w:cs="Times New Roman"/>
          <w:sz w:val="24"/>
          <w:szCs w:val="24"/>
        </w:rPr>
        <w:t xml:space="preserve"> component of the ORDC</w:t>
      </w:r>
      <w:r w:rsidRPr="00F36114">
        <w:rPr>
          <w:rFonts w:ascii="Times New Roman" w:hAnsi="Times New Roman" w:cs="Times New Roman"/>
          <w:sz w:val="24"/>
          <w:szCs w:val="24"/>
        </w:rPr>
        <w:t>, by ensuring that energy prices will at a minimum</w:t>
      </w:r>
      <w:r w:rsidR="00FB266B" w:rsidRPr="00F36114">
        <w:rPr>
          <w:rFonts w:ascii="Times New Roman" w:hAnsi="Times New Roman" w:cs="Times New Roman"/>
          <w:sz w:val="24"/>
          <w:szCs w:val="24"/>
        </w:rPr>
        <w:t xml:space="preserve"> </w:t>
      </w:r>
      <w:r w:rsidR="00AF7EE2" w:rsidRPr="00F36114">
        <w:rPr>
          <w:rFonts w:ascii="Times New Roman" w:hAnsi="Times New Roman" w:cs="Times New Roman"/>
          <w:sz w:val="24"/>
          <w:szCs w:val="24"/>
        </w:rPr>
        <w:t>reach</w:t>
      </w:r>
      <w:r w:rsidR="00307024">
        <w:rPr>
          <w:rFonts w:ascii="Times New Roman" w:hAnsi="Times New Roman" w:cs="Times New Roman"/>
          <w:sz w:val="24"/>
          <w:szCs w:val="24"/>
        </w:rPr>
        <w:t xml:space="preserve"> </w:t>
      </w:r>
      <w:r w:rsidR="00AF7EE2" w:rsidRPr="00F36114">
        <w:rPr>
          <w:rFonts w:ascii="Times New Roman" w:hAnsi="Times New Roman" w:cs="Times New Roman"/>
          <w:sz w:val="24"/>
          <w:szCs w:val="24"/>
        </w:rPr>
        <w:t xml:space="preserve">VOLL </w:t>
      </w:r>
      <w:r w:rsidR="00FB266B" w:rsidRPr="00F36114">
        <w:rPr>
          <w:rFonts w:ascii="Times New Roman" w:hAnsi="Times New Roman" w:cs="Times New Roman"/>
          <w:sz w:val="24"/>
          <w:szCs w:val="24"/>
        </w:rPr>
        <w:t xml:space="preserve">when reserves deplete to the MCL level </w:t>
      </w:r>
      <w:r w:rsidR="00AF7EE2" w:rsidRPr="00F36114">
        <w:rPr>
          <w:rFonts w:ascii="Times New Roman" w:hAnsi="Times New Roman" w:cs="Times New Roman"/>
          <w:sz w:val="24"/>
          <w:szCs w:val="24"/>
        </w:rPr>
        <w:t xml:space="preserve">(be it the current MCL </w:t>
      </w:r>
      <w:r w:rsidR="00FB266B" w:rsidRPr="00F36114">
        <w:rPr>
          <w:rFonts w:ascii="Times New Roman" w:hAnsi="Times New Roman" w:cs="Times New Roman"/>
          <w:sz w:val="24"/>
          <w:szCs w:val="24"/>
        </w:rPr>
        <w:t xml:space="preserve">of 2,000 MW </w:t>
      </w:r>
      <w:r w:rsidR="00A16270" w:rsidRPr="00F36114">
        <w:rPr>
          <w:rFonts w:ascii="Times New Roman" w:hAnsi="Times New Roman" w:cs="Times New Roman"/>
          <w:sz w:val="24"/>
          <w:szCs w:val="24"/>
        </w:rPr>
        <w:t xml:space="preserve">or </w:t>
      </w:r>
      <w:r w:rsidR="00AF7EE2" w:rsidRPr="00F36114">
        <w:rPr>
          <w:rFonts w:ascii="Times New Roman" w:hAnsi="Times New Roman" w:cs="Times New Roman"/>
          <w:sz w:val="24"/>
          <w:szCs w:val="24"/>
        </w:rPr>
        <w:t>another reasonable threshold</w:t>
      </w:r>
      <w:r w:rsidR="008F0D07">
        <w:rPr>
          <w:rFonts w:ascii="Times New Roman" w:hAnsi="Times New Roman" w:cs="Times New Roman"/>
          <w:sz w:val="24"/>
          <w:szCs w:val="24"/>
        </w:rPr>
        <w:t>,</w:t>
      </w:r>
      <w:r w:rsidR="00AF7EE2" w:rsidRPr="00F36114">
        <w:rPr>
          <w:rFonts w:ascii="Times New Roman" w:hAnsi="Times New Roman" w:cs="Times New Roman"/>
          <w:sz w:val="24"/>
          <w:szCs w:val="24"/>
        </w:rPr>
        <w:t xml:space="preserve"> </w:t>
      </w:r>
      <w:r w:rsidRPr="00F36114">
        <w:rPr>
          <w:rFonts w:ascii="Times New Roman" w:hAnsi="Times New Roman" w:cs="Times New Roman"/>
          <w:sz w:val="24"/>
          <w:szCs w:val="24"/>
        </w:rPr>
        <w:t>as discussed under Questions 1-3</w:t>
      </w:r>
      <w:r w:rsidR="006D3329" w:rsidRPr="00F36114">
        <w:rPr>
          <w:rFonts w:ascii="Times New Roman" w:hAnsi="Times New Roman" w:cs="Times New Roman"/>
          <w:sz w:val="24"/>
          <w:szCs w:val="24"/>
        </w:rPr>
        <w:t>)</w:t>
      </w:r>
      <w:r w:rsidR="00AF7EE2" w:rsidRPr="00F36114">
        <w:rPr>
          <w:rFonts w:ascii="Times New Roman" w:hAnsi="Times New Roman" w:cs="Times New Roman"/>
          <w:sz w:val="24"/>
          <w:szCs w:val="24"/>
        </w:rPr>
        <w:t>.</w:t>
      </w:r>
      <w:r w:rsidRPr="00F36114">
        <w:rPr>
          <w:rFonts w:ascii="Times New Roman" w:hAnsi="Times New Roman" w:cs="Times New Roman"/>
          <w:sz w:val="24"/>
          <w:szCs w:val="24"/>
        </w:rPr>
        <w:t xml:space="preserve"> </w:t>
      </w:r>
    </w:p>
    <w:p w14:paraId="3AC9E561" w14:textId="0135355B" w:rsidR="002374BC" w:rsidRPr="00F36114" w:rsidRDefault="00E96400" w:rsidP="002374BC">
      <w:pPr>
        <w:pStyle w:val="ListParagraph"/>
        <w:numPr>
          <w:ilvl w:val="0"/>
          <w:numId w:val="27"/>
        </w:numPr>
        <w:spacing w:line="360" w:lineRule="auto"/>
        <w:jc w:val="both"/>
        <w:rPr>
          <w:rFonts w:ascii="Times New Roman" w:hAnsi="Times New Roman" w:cs="Times New Roman"/>
          <w:sz w:val="24"/>
          <w:szCs w:val="24"/>
        </w:rPr>
      </w:pPr>
      <w:r w:rsidRPr="00F36114">
        <w:rPr>
          <w:rFonts w:ascii="Times New Roman" w:hAnsi="Times New Roman" w:cs="Times New Roman"/>
          <w:sz w:val="24"/>
          <w:szCs w:val="24"/>
        </w:rPr>
        <w:lastRenderedPageBreak/>
        <w:t xml:space="preserve">Clear processes should exist for proposing and evaluating changes to </w:t>
      </w:r>
      <w:r w:rsidR="00FB266B" w:rsidRPr="00F36114">
        <w:rPr>
          <w:rFonts w:ascii="Times New Roman" w:hAnsi="Times New Roman" w:cs="Times New Roman"/>
          <w:sz w:val="24"/>
          <w:szCs w:val="24"/>
        </w:rPr>
        <w:t xml:space="preserve">ASDCs, </w:t>
      </w:r>
      <w:r w:rsidRPr="00F36114">
        <w:rPr>
          <w:rFonts w:ascii="Times New Roman" w:hAnsi="Times New Roman" w:cs="Times New Roman"/>
          <w:sz w:val="24"/>
          <w:szCs w:val="24"/>
        </w:rPr>
        <w:t xml:space="preserve">with key RTC parameters established in </w:t>
      </w:r>
      <w:r w:rsidR="002374BC" w:rsidRPr="00F36114">
        <w:rPr>
          <w:rFonts w:ascii="Times New Roman" w:hAnsi="Times New Roman" w:cs="Times New Roman"/>
          <w:sz w:val="24"/>
          <w:szCs w:val="24"/>
        </w:rPr>
        <w:t xml:space="preserve">the </w:t>
      </w:r>
      <w:r w:rsidR="00FB266B" w:rsidRPr="00F36114">
        <w:rPr>
          <w:rFonts w:ascii="Times New Roman" w:hAnsi="Times New Roman" w:cs="Times New Roman"/>
          <w:sz w:val="24"/>
          <w:szCs w:val="24"/>
        </w:rPr>
        <w:t>Commission</w:t>
      </w:r>
      <w:r w:rsidRPr="00F36114">
        <w:rPr>
          <w:rFonts w:ascii="Times New Roman" w:hAnsi="Times New Roman" w:cs="Times New Roman"/>
          <w:sz w:val="24"/>
          <w:szCs w:val="24"/>
        </w:rPr>
        <w:t>’s rules and specific ASDC shapes established by the ERCOT stakeholder process</w:t>
      </w:r>
      <w:r w:rsidR="002374BC" w:rsidRPr="00F36114">
        <w:rPr>
          <w:rFonts w:ascii="Times New Roman" w:hAnsi="Times New Roman" w:cs="Times New Roman"/>
          <w:sz w:val="24"/>
          <w:szCs w:val="24"/>
        </w:rPr>
        <w:t>.</w:t>
      </w:r>
    </w:p>
    <w:p w14:paraId="16DA4E79" w14:textId="0B029DD4" w:rsidR="00FB266B" w:rsidRPr="00F36114" w:rsidRDefault="00FB266B" w:rsidP="002A549F">
      <w:pPr>
        <w:pStyle w:val="ListParagraph"/>
        <w:numPr>
          <w:ilvl w:val="0"/>
          <w:numId w:val="27"/>
        </w:numPr>
        <w:spacing w:line="360" w:lineRule="auto"/>
        <w:jc w:val="both"/>
        <w:rPr>
          <w:rFonts w:ascii="Times New Roman" w:hAnsi="Times New Roman" w:cs="Times New Roman"/>
          <w:sz w:val="24"/>
          <w:szCs w:val="24"/>
        </w:rPr>
      </w:pPr>
      <w:r w:rsidRPr="00F36114">
        <w:rPr>
          <w:rFonts w:ascii="Times New Roman" w:hAnsi="Times New Roman" w:cs="Times New Roman"/>
          <w:sz w:val="24"/>
          <w:szCs w:val="24"/>
        </w:rPr>
        <w:t xml:space="preserve">If other RTC design decisions will reduce </w:t>
      </w:r>
      <w:r w:rsidR="00E96400" w:rsidRPr="00F36114">
        <w:rPr>
          <w:rFonts w:ascii="Times New Roman" w:hAnsi="Times New Roman" w:cs="Times New Roman"/>
          <w:sz w:val="24"/>
          <w:szCs w:val="24"/>
        </w:rPr>
        <w:t xml:space="preserve">MERM expectations </w:t>
      </w:r>
      <w:r w:rsidRPr="00F36114">
        <w:rPr>
          <w:rFonts w:ascii="Times New Roman" w:hAnsi="Times New Roman" w:cs="Times New Roman"/>
          <w:sz w:val="24"/>
          <w:szCs w:val="24"/>
        </w:rPr>
        <w:t xml:space="preserve">compared to the </w:t>
      </w:r>
      <w:r w:rsidR="00E96400" w:rsidRPr="00F36114">
        <w:rPr>
          <w:rFonts w:ascii="Times New Roman" w:hAnsi="Times New Roman" w:cs="Times New Roman"/>
          <w:sz w:val="24"/>
          <w:szCs w:val="24"/>
        </w:rPr>
        <w:t>status quo</w:t>
      </w:r>
      <w:r w:rsidRPr="00F36114">
        <w:rPr>
          <w:rFonts w:ascii="Times New Roman" w:hAnsi="Times New Roman" w:cs="Times New Roman"/>
          <w:sz w:val="24"/>
          <w:szCs w:val="24"/>
        </w:rPr>
        <w:t xml:space="preserve">, then the ASDCs should be adjusted accordingly to </w:t>
      </w:r>
      <w:r w:rsidR="00E96400" w:rsidRPr="00F36114">
        <w:rPr>
          <w:rFonts w:ascii="Times New Roman" w:hAnsi="Times New Roman" w:cs="Times New Roman"/>
          <w:sz w:val="24"/>
          <w:szCs w:val="24"/>
        </w:rPr>
        <w:t>reflect that increased reliability risk</w:t>
      </w:r>
      <w:r w:rsidRPr="00F36114">
        <w:rPr>
          <w:rFonts w:ascii="Times New Roman" w:hAnsi="Times New Roman" w:cs="Times New Roman"/>
          <w:sz w:val="24"/>
          <w:szCs w:val="24"/>
        </w:rPr>
        <w:t>.</w:t>
      </w:r>
    </w:p>
    <w:p w14:paraId="5001431C" w14:textId="6AFA8478" w:rsidR="002374BC" w:rsidRPr="00F36114" w:rsidRDefault="00FB266B" w:rsidP="006D3329">
      <w:pPr>
        <w:pStyle w:val="ListParagraph"/>
        <w:numPr>
          <w:ilvl w:val="0"/>
          <w:numId w:val="27"/>
        </w:numPr>
        <w:spacing w:after="240" w:line="360" w:lineRule="auto"/>
        <w:ind w:left="1512"/>
        <w:contextualSpacing w:val="0"/>
        <w:jc w:val="both"/>
        <w:rPr>
          <w:rFonts w:ascii="Times New Roman" w:hAnsi="Times New Roman" w:cs="Times New Roman"/>
          <w:sz w:val="24"/>
          <w:szCs w:val="24"/>
        </w:rPr>
      </w:pPr>
      <w:r w:rsidRPr="00F36114">
        <w:rPr>
          <w:rFonts w:ascii="Times New Roman" w:hAnsi="Times New Roman" w:cs="Times New Roman"/>
          <w:sz w:val="24"/>
          <w:szCs w:val="24"/>
        </w:rPr>
        <w:t xml:space="preserve">ASDCs </w:t>
      </w:r>
      <w:r w:rsidR="005E0DB5" w:rsidRPr="00F36114">
        <w:rPr>
          <w:rFonts w:ascii="Times New Roman" w:hAnsi="Times New Roman" w:cs="Times New Roman"/>
          <w:sz w:val="24"/>
          <w:szCs w:val="24"/>
        </w:rPr>
        <w:t xml:space="preserve">should continue </w:t>
      </w:r>
      <w:r w:rsidRPr="00F36114">
        <w:rPr>
          <w:rFonts w:ascii="Times New Roman" w:hAnsi="Times New Roman" w:cs="Times New Roman"/>
          <w:sz w:val="24"/>
          <w:szCs w:val="24"/>
        </w:rPr>
        <w:t>to price operating reserves</w:t>
      </w:r>
      <w:r w:rsidR="005E0DB5" w:rsidRPr="00F36114">
        <w:rPr>
          <w:rFonts w:ascii="Times New Roman" w:hAnsi="Times New Roman" w:cs="Times New Roman"/>
          <w:sz w:val="24"/>
          <w:szCs w:val="24"/>
        </w:rPr>
        <w:t xml:space="preserve"> similar to the way they are priced today</w:t>
      </w:r>
      <w:r w:rsidRPr="00F36114">
        <w:rPr>
          <w:rFonts w:ascii="Times New Roman" w:hAnsi="Times New Roman" w:cs="Times New Roman"/>
          <w:sz w:val="24"/>
          <w:szCs w:val="24"/>
        </w:rPr>
        <w:t xml:space="preserve">, </w:t>
      </w:r>
      <w:r w:rsidR="005E0DB5" w:rsidRPr="00F36114">
        <w:rPr>
          <w:rFonts w:ascii="Times New Roman" w:hAnsi="Times New Roman" w:cs="Times New Roman"/>
          <w:sz w:val="24"/>
          <w:szCs w:val="24"/>
        </w:rPr>
        <w:t xml:space="preserve">where </w:t>
      </w:r>
      <w:r w:rsidR="004C571F" w:rsidRPr="00F36114">
        <w:rPr>
          <w:rFonts w:ascii="Times New Roman" w:hAnsi="Times New Roman" w:cs="Times New Roman"/>
          <w:sz w:val="24"/>
          <w:szCs w:val="24"/>
        </w:rPr>
        <w:t>the price paid for the reserve</w:t>
      </w:r>
      <w:r w:rsidRPr="00F36114">
        <w:rPr>
          <w:rFonts w:ascii="Times New Roman" w:hAnsi="Times New Roman" w:cs="Times New Roman"/>
          <w:sz w:val="24"/>
          <w:szCs w:val="24"/>
        </w:rPr>
        <w:t xml:space="preserve"> </w:t>
      </w:r>
      <w:r w:rsidR="005E0DB5" w:rsidRPr="00F36114">
        <w:rPr>
          <w:rFonts w:ascii="Times New Roman" w:hAnsi="Times New Roman" w:cs="Times New Roman"/>
          <w:sz w:val="24"/>
          <w:szCs w:val="24"/>
        </w:rPr>
        <w:t xml:space="preserve">asymptotically approaches </w:t>
      </w:r>
      <w:r w:rsidRPr="00F36114">
        <w:rPr>
          <w:rFonts w:ascii="Times New Roman" w:hAnsi="Times New Roman" w:cs="Times New Roman"/>
          <w:sz w:val="24"/>
          <w:szCs w:val="24"/>
        </w:rPr>
        <w:t>zero</w:t>
      </w:r>
      <w:r w:rsidR="006C127B" w:rsidRPr="00F36114">
        <w:rPr>
          <w:rFonts w:ascii="Times New Roman" w:hAnsi="Times New Roman" w:cs="Times New Roman"/>
          <w:sz w:val="24"/>
          <w:szCs w:val="24"/>
        </w:rPr>
        <w:t xml:space="preserve"> </w:t>
      </w:r>
      <w:r w:rsidR="005E0DB5" w:rsidRPr="00F36114">
        <w:rPr>
          <w:rFonts w:ascii="Times New Roman" w:hAnsi="Times New Roman" w:cs="Times New Roman"/>
          <w:sz w:val="24"/>
          <w:szCs w:val="24"/>
        </w:rPr>
        <w:t>as the LOLP diminishes</w:t>
      </w:r>
      <w:r w:rsidRPr="00F36114">
        <w:rPr>
          <w:rFonts w:ascii="Times New Roman" w:hAnsi="Times New Roman" w:cs="Times New Roman"/>
          <w:sz w:val="24"/>
          <w:szCs w:val="24"/>
        </w:rPr>
        <w:t>.</w:t>
      </w:r>
    </w:p>
    <w:p w14:paraId="358C4F7A" w14:textId="77777777" w:rsidR="00BD5A01" w:rsidRPr="00F36114" w:rsidRDefault="00BD5A01" w:rsidP="00BD5A01">
      <w:pPr>
        <w:pStyle w:val="ListParagraph"/>
        <w:numPr>
          <w:ilvl w:val="0"/>
          <w:numId w:val="26"/>
        </w:numPr>
        <w:spacing w:after="360" w:line="240" w:lineRule="auto"/>
        <w:contextualSpacing w:val="0"/>
        <w:jc w:val="both"/>
        <w:rPr>
          <w:rFonts w:ascii="Times New Roman" w:hAnsi="Times New Roman" w:cs="Times New Roman"/>
          <w:b/>
          <w:sz w:val="24"/>
          <w:szCs w:val="24"/>
        </w:rPr>
      </w:pPr>
      <w:r w:rsidRPr="00F36114">
        <w:rPr>
          <w:rFonts w:ascii="Times New Roman" w:hAnsi="Times New Roman" w:cs="Times New Roman"/>
          <w:b/>
          <w:sz w:val="24"/>
          <w:szCs w:val="24"/>
        </w:rPr>
        <w:t>Should offers for the provision of ancillary services in the Day-Ahead Market continue to be physically binding after implementation of RTC, or should the trading of ancillary services in the Day-Ahead Market become financial-only? Why or why not?</w:t>
      </w:r>
    </w:p>
    <w:p w14:paraId="624B5824" w14:textId="291F1E9A" w:rsidR="00825C74" w:rsidRPr="00F36114" w:rsidRDefault="00CF161D" w:rsidP="00711C48">
      <w:pPr>
        <w:spacing w:line="360" w:lineRule="auto"/>
        <w:ind w:firstLine="720"/>
        <w:jc w:val="both"/>
        <w:rPr>
          <w:rFonts w:ascii="Times New Roman" w:eastAsia="Times New Roman" w:hAnsi="Times New Roman" w:cs="Times New Roman"/>
          <w:sz w:val="24"/>
          <w:szCs w:val="24"/>
        </w:rPr>
      </w:pPr>
      <w:r w:rsidRPr="00F36114">
        <w:rPr>
          <w:rFonts w:ascii="Times New Roman" w:eastAsia="Times New Roman" w:hAnsi="Times New Roman" w:cs="Times New Roman"/>
          <w:sz w:val="24"/>
          <w:szCs w:val="24"/>
        </w:rPr>
        <w:t xml:space="preserve">With </w:t>
      </w:r>
      <w:r w:rsidR="00711C48" w:rsidRPr="00F36114">
        <w:rPr>
          <w:rFonts w:ascii="Times New Roman" w:eastAsia="Times New Roman" w:hAnsi="Times New Roman" w:cs="Times New Roman"/>
          <w:sz w:val="24"/>
          <w:szCs w:val="24"/>
        </w:rPr>
        <w:t>ancillary services</w:t>
      </w:r>
      <w:r w:rsidRPr="00F36114">
        <w:rPr>
          <w:rFonts w:ascii="Times New Roman" w:eastAsia="Times New Roman" w:hAnsi="Times New Roman" w:cs="Times New Roman"/>
          <w:sz w:val="24"/>
          <w:szCs w:val="24"/>
        </w:rPr>
        <w:t xml:space="preserve"> shifting to real-time procurement in RTC</w:t>
      </w:r>
      <w:r w:rsidR="00711C48" w:rsidRPr="00F36114">
        <w:rPr>
          <w:rFonts w:ascii="Times New Roman" w:eastAsia="Times New Roman" w:hAnsi="Times New Roman" w:cs="Times New Roman"/>
          <w:sz w:val="24"/>
          <w:szCs w:val="24"/>
        </w:rPr>
        <w:t xml:space="preserve">, TCPA </w:t>
      </w:r>
      <w:r w:rsidR="00851E2C">
        <w:rPr>
          <w:rFonts w:ascii="Times New Roman" w:eastAsia="Times New Roman" w:hAnsi="Times New Roman" w:cs="Times New Roman"/>
          <w:sz w:val="24"/>
          <w:szCs w:val="24"/>
        </w:rPr>
        <w:t xml:space="preserve">strongly </w:t>
      </w:r>
      <w:r w:rsidRPr="00F36114">
        <w:rPr>
          <w:rFonts w:ascii="Times New Roman" w:eastAsia="Times New Roman" w:hAnsi="Times New Roman" w:cs="Times New Roman"/>
          <w:sz w:val="24"/>
          <w:szCs w:val="24"/>
        </w:rPr>
        <w:t xml:space="preserve">believes that </w:t>
      </w:r>
      <w:r w:rsidR="00711C48" w:rsidRPr="00F36114">
        <w:rPr>
          <w:rFonts w:ascii="Times New Roman" w:eastAsia="Times New Roman" w:hAnsi="Times New Roman" w:cs="Times New Roman"/>
          <w:sz w:val="24"/>
          <w:szCs w:val="24"/>
        </w:rPr>
        <w:t xml:space="preserve">the DAM </w:t>
      </w:r>
      <w:r w:rsidR="00D4113C">
        <w:rPr>
          <w:rFonts w:ascii="Times New Roman" w:eastAsia="Times New Roman" w:hAnsi="Times New Roman" w:cs="Times New Roman"/>
          <w:sz w:val="24"/>
          <w:szCs w:val="24"/>
        </w:rPr>
        <w:t>should be</w:t>
      </w:r>
      <w:r w:rsidRPr="00F36114">
        <w:rPr>
          <w:rFonts w:ascii="Times New Roman" w:eastAsia="Times New Roman" w:hAnsi="Times New Roman" w:cs="Times New Roman"/>
          <w:sz w:val="24"/>
          <w:szCs w:val="24"/>
        </w:rPr>
        <w:t xml:space="preserve"> a</w:t>
      </w:r>
      <w:r w:rsidR="00711C48" w:rsidRPr="00F36114">
        <w:rPr>
          <w:rFonts w:ascii="Times New Roman" w:eastAsia="Times New Roman" w:hAnsi="Times New Roman" w:cs="Times New Roman"/>
          <w:sz w:val="24"/>
          <w:szCs w:val="24"/>
        </w:rPr>
        <w:t xml:space="preserve"> fully financial and voluntary</w:t>
      </w:r>
      <w:r w:rsidRPr="00F36114">
        <w:rPr>
          <w:rFonts w:ascii="Times New Roman" w:eastAsia="Times New Roman" w:hAnsi="Times New Roman" w:cs="Times New Roman"/>
          <w:sz w:val="24"/>
          <w:szCs w:val="24"/>
        </w:rPr>
        <w:t xml:space="preserve"> market</w:t>
      </w:r>
      <w:r w:rsidR="00711C48" w:rsidRPr="00F36114">
        <w:rPr>
          <w:rFonts w:ascii="Times New Roman" w:eastAsia="Times New Roman" w:hAnsi="Times New Roman" w:cs="Times New Roman"/>
          <w:sz w:val="24"/>
          <w:szCs w:val="24"/>
        </w:rPr>
        <w:t xml:space="preserve"> for both ancillary services and energy. The ERCOT nodal market has always supported hedging in the </w:t>
      </w:r>
      <w:r w:rsidR="00711C48" w:rsidRPr="00F36114">
        <w:rPr>
          <w:rFonts w:ascii="Times New Roman" w:hAnsi="Times New Roman" w:cs="Times New Roman"/>
          <w:sz w:val="24"/>
          <w:szCs w:val="24"/>
        </w:rPr>
        <w:t>RTM</w:t>
      </w:r>
      <w:r w:rsidR="00711C48" w:rsidRPr="00F36114">
        <w:rPr>
          <w:rFonts w:ascii="Times New Roman" w:eastAsia="Times New Roman" w:hAnsi="Times New Roman" w:cs="Times New Roman"/>
          <w:sz w:val="24"/>
          <w:szCs w:val="24"/>
        </w:rPr>
        <w:t xml:space="preserve"> with a voluntary, financial-only DAM</w:t>
      </w:r>
      <w:r w:rsidR="009255DD" w:rsidRPr="00F36114">
        <w:rPr>
          <w:rFonts w:ascii="Times New Roman" w:eastAsia="Times New Roman" w:hAnsi="Times New Roman" w:cs="Times New Roman"/>
          <w:sz w:val="24"/>
          <w:szCs w:val="24"/>
        </w:rPr>
        <w:t xml:space="preserve"> for energy</w:t>
      </w:r>
      <w:r w:rsidR="00162636" w:rsidRPr="00F36114">
        <w:rPr>
          <w:rFonts w:ascii="Times New Roman" w:eastAsia="Times New Roman" w:hAnsi="Times New Roman" w:cs="Times New Roman"/>
          <w:sz w:val="24"/>
          <w:szCs w:val="24"/>
        </w:rPr>
        <w:t>; however, today,</w:t>
      </w:r>
      <w:r w:rsidR="00A3691E" w:rsidRPr="00F36114">
        <w:rPr>
          <w:rFonts w:ascii="Times New Roman" w:eastAsia="Times New Roman" w:hAnsi="Times New Roman" w:cs="Times New Roman"/>
          <w:sz w:val="24"/>
          <w:szCs w:val="24"/>
        </w:rPr>
        <w:t xml:space="preserve"> ancillary services</w:t>
      </w:r>
      <w:r w:rsidR="00162636" w:rsidRPr="00F36114">
        <w:rPr>
          <w:rFonts w:ascii="Times New Roman" w:eastAsia="Times New Roman" w:hAnsi="Times New Roman" w:cs="Times New Roman"/>
          <w:sz w:val="24"/>
          <w:szCs w:val="24"/>
        </w:rPr>
        <w:t xml:space="preserve"> awards in the DAM are generally binding in </w:t>
      </w:r>
      <w:r w:rsidR="009255DD" w:rsidRPr="00F36114">
        <w:rPr>
          <w:rFonts w:ascii="Times New Roman" w:eastAsia="Times New Roman" w:hAnsi="Times New Roman" w:cs="Times New Roman"/>
          <w:sz w:val="24"/>
          <w:szCs w:val="24"/>
        </w:rPr>
        <w:t xml:space="preserve">the </w:t>
      </w:r>
      <w:r w:rsidR="00162636" w:rsidRPr="00F36114">
        <w:rPr>
          <w:rFonts w:ascii="Times New Roman" w:eastAsia="Times New Roman" w:hAnsi="Times New Roman" w:cs="Times New Roman"/>
          <w:sz w:val="24"/>
          <w:szCs w:val="24"/>
        </w:rPr>
        <w:t>RTM (absent infeasibility or some other basis to move the obligation to another resource). In the RTC construct</w:t>
      </w:r>
      <w:r w:rsidR="00D4113C">
        <w:rPr>
          <w:rFonts w:ascii="Times New Roman" w:eastAsia="Times New Roman" w:hAnsi="Times New Roman" w:cs="Times New Roman"/>
          <w:sz w:val="24"/>
          <w:szCs w:val="24"/>
        </w:rPr>
        <w:t>,</w:t>
      </w:r>
      <w:r w:rsidR="009255DD" w:rsidRPr="00F36114">
        <w:rPr>
          <w:rFonts w:ascii="Times New Roman" w:eastAsia="Times New Roman" w:hAnsi="Times New Roman" w:cs="Times New Roman"/>
          <w:sz w:val="24"/>
          <w:szCs w:val="24"/>
        </w:rPr>
        <w:t xml:space="preserve"> </w:t>
      </w:r>
      <w:r w:rsidRPr="00F36114">
        <w:rPr>
          <w:rFonts w:ascii="Times New Roman" w:eastAsia="Times New Roman" w:hAnsi="Times New Roman" w:cs="Times New Roman"/>
          <w:sz w:val="24"/>
          <w:szCs w:val="24"/>
        </w:rPr>
        <w:t xml:space="preserve">there </w:t>
      </w:r>
      <w:r w:rsidR="009255DD" w:rsidRPr="00F36114">
        <w:rPr>
          <w:rFonts w:ascii="Times New Roman" w:eastAsia="Times New Roman" w:hAnsi="Times New Roman" w:cs="Times New Roman"/>
          <w:sz w:val="24"/>
          <w:szCs w:val="24"/>
        </w:rPr>
        <w:t xml:space="preserve">would be </w:t>
      </w:r>
      <w:r w:rsidR="00D4113C">
        <w:rPr>
          <w:rFonts w:ascii="Times New Roman" w:eastAsia="Times New Roman" w:hAnsi="Times New Roman" w:cs="Times New Roman"/>
          <w:sz w:val="24"/>
          <w:szCs w:val="24"/>
        </w:rPr>
        <w:t>no</w:t>
      </w:r>
      <w:r w:rsidR="00D4113C" w:rsidRPr="00F36114">
        <w:rPr>
          <w:rFonts w:ascii="Times New Roman" w:eastAsia="Times New Roman" w:hAnsi="Times New Roman" w:cs="Times New Roman"/>
          <w:sz w:val="24"/>
          <w:szCs w:val="24"/>
        </w:rPr>
        <w:t xml:space="preserve"> </w:t>
      </w:r>
      <w:r w:rsidRPr="00F36114">
        <w:rPr>
          <w:rFonts w:ascii="Times New Roman" w:eastAsia="Times New Roman" w:hAnsi="Times New Roman" w:cs="Times New Roman"/>
          <w:sz w:val="24"/>
          <w:szCs w:val="24"/>
        </w:rPr>
        <w:t xml:space="preserve">need </w:t>
      </w:r>
      <w:r w:rsidR="009255DD" w:rsidRPr="00F36114">
        <w:rPr>
          <w:rFonts w:ascii="Times New Roman" w:eastAsia="Times New Roman" w:hAnsi="Times New Roman" w:cs="Times New Roman"/>
          <w:sz w:val="24"/>
          <w:szCs w:val="24"/>
        </w:rPr>
        <w:t>to</w:t>
      </w:r>
      <w:r w:rsidR="00A3691E" w:rsidRPr="00F36114">
        <w:rPr>
          <w:rFonts w:ascii="Times New Roman" w:eastAsia="Times New Roman" w:hAnsi="Times New Roman" w:cs="Times New Roman"/>
          <w:sz w:val="24"/>
          <w:szCs w:val="24"/>
        </w:rPr>
        <w:t xml:space="preserve"> requir</w:t>
      </w:r>
      <w:r w:rsidR="009255DD" w:rsidRPr="00F36114">
        <w:rPr>
          <w:rFonts w:ascii="Times New Roman" w:eastAsia="Times New Roman" w:hAnsi="Times New Roman" w:cs="Times New Roman"/>
          <w:sz w:val="24"/>
          <w:szCs w:val="24"/>
        </w:rPr>
        <w:t>e</w:t>
      </w:r>
      <w:r w:rsidR="00A3691E" w:rsidRPr="00F36114">
        <w:rPr>
          <w:rFonts w:ascii="Times New Roman" w:eastAsia="Times New Roman" w:hAnsi="Times New Roman" w:cs="Times New Roman"/>
          <w:sz w:val="24"/>
          <w:szCs w:val="24"/>
        </w:rPr>
        <w:t xml:space="preserve"> designation of physical resources in</w:t>
      </w:r>
      <w:r w:rsidR="00711C48" w:rsidRPr="00F36114">
        <w:rPr>
          <w:rFonts w:ascii="Times New Roman" w:eastAsia="Times New Roman" w:hAnsi="Times New Roman" w:cs="Times New Roman"/>
          <w:sz w:val="24"/>
          <w:szCs w:val="24"/>
        </w:rPr>
        <w:t xml:space="preserve"> the DAM</w:t>
      </w:r>
      <w:r w:rsidRPr="00F36114">
        <w:rPr>
          <w:rFonts w:ascii="Times New Roman" w:eastAsia="Times New Roman" w:hAnsi="Times New Roman" w:cs="Times New Roman"/>
          <w:sz w:val="24"/>
          <w:szCs w:val="24"/>
        </w:rPr>
        <w:t xml:space="preserve">, because </w:t>
      </w:r>
      <w:r w:rsidR="00A3691E" w:rsidRPr="00F36114">
        <w:rPr>
          <w:rFonts w:ascii="Times New Roman" w:eastAsia="Times New Roman" w:hAnsi="Times New Roman" w:cs="Times New Roman"/>
          <w:sz w:val="24"/>
          <w:szCs w:val="24"/>
        </w:rPr>
        <w:t xml:space="preserve">regardless of any </w:t>
      </w:r>
      <w:r w:rsidRPr="00F36114">
        <w:rPr>
          <w:rFonts w:ascii="Times New Roman" w:eastAsia="Times New Roman" w:hAnsi="Times New Roman" w:cs="Times New Roman"/>
          <w:sz w:val="24"/>
          <w:szCs w:val="24"/>
        </w:rPr>
        <w:t xml:space="preserve">ancillary service awards </w:t>
      </w:r>
      <w:r w:rsidR="00A3691E" w:rsidRPr="00F36114">
        <w:rPr>
          <w:rFonts w:ascii="Times New Roman" w:eastAsia="Times New Roman" w:hAnsi="Times New Roman" w:cs="Times New Roman"/>
          <w:sz w:val="24"/>
          <w:szCs w:val="24"/>
        </w:rPr>
        <w:t xml:space="preserve">made in the DAM, ERCOT will decide every five minutes in the RTM which resources will actually </w:t>
      </w:r>
      <w:r w:rsidR="009255DD" w:rsidRPr="00F36114">
        <w:rPr>
          <w:rFonts w:ascii="Times New Roman" w:eastAsia="Times New Roman" w:hAnsi="Times New Roman" w:cs="Times New Roman"/>
          <w:sz w:val="24"/>
          <w:szCs w:val="24"/>
        </w:rPr>
        <w:t xml:space="preserve">be </w:t>
      </w:r>
      <w:r w:rsidRPr="00F36114">
        <w:rPr>
          <w:rFonts w:ascii="Times New Roman" w:eastAsia="Times New Roman" w:hAnsi="Times New Roman" w:cs="Times New Roman"/>
          <w:sz w:val="24"/>
          <w:szCs w:val="24"/>
        </w:rPr>
        <w:t xml:space="preserve">physically </w:t>
      </w:r>
      <w:r w:rsidR="009255DD" w:rsidRPr="00F36114">
        <w:rPr>
          <w:rFonts w:ascii="Times New Roman" w:eastAsia="Times New Roman" w:hAnsi="Times New Roman" w:cs="Times New Roman"/>
          <w:sz w:val="24"/>
          <w:szCs w:val="24"/>
        </w:rPr>
        <w:t xml:space="preserve">reserved for </w:t>
      </w:r>
      <w:r w:rsidR="00A3691E" w:rsidRPr="00F36114">
        <w:rPr>
          <w:rFonts w:ascii="Times New Roman" w:eastAsia="Times New Roman" w:hAnsi="Times New Roman" w:cs="Times New Roman"/>
          <w:sz w:val="24"/>
          <w:szCs w:val="24"/>
        </w:rPr>
        <w:t>ancillary services</w:t>
      </w:r>
      <w:r w:rsidR="00711C48" w:rsidRPr="00F36114">
        <w:rPr>
          <w:rFonts w:ascii="Times New Roman" w:eastAsia="Times New Roman" w:hAnsi="Times New Roman" w:cs="Times New Roman"/>
          <w:sz w:val="24"/>
          <w:szCs w:val="24"/>
        </w:rPr>
        <w:t xml:space="preserve">. ERCOT market participants have successfully participated in financial (i.e., virtual) energy sales and purchases in the DAM since its existence, which has aided in convergence of DAM and RTM prices. This convergence enables the DAM to become a contracting and hedging tool for both </w:t>
      </w:r>
      <w:r w:rsidR="00A3691E" w:rsidRPr="00F36114">
        <w:rPr>
          <w:rFonts w:ascii="Times New Roman" w:eastAsia="Times New Roman" w:hAnsi="Times New Roman" w:cs="Times New Roman"/>
          <w:sz w:val="24"/>
          <w:szCs w:val="24"/>
        </w:rPr>
        <w:t>resources and load serving e</w:t>
      </w:r>
      <w:r w:rsidR="00711C48" w:rsidRPr="00F36114">
        <w:rPr>
          <w:rFonts w:ascii="Times New Roman" w:eastAsia="Times New Roman" w:hAnsi="Times New Roman" w:cs="Times New Roman"/>
          <w:sz w:val="24"/>
          <w:szCs w:val="24"/>
        </w:rPr>
        <w:t xml:space="preserve">ntities. Allowing for financial, or virtual, ancillary service transactions </w:t>
      </w:r>
      <w:r w:rsidRPr="00F36114">
        <w:rPr>
          <w:rFonts w:ascii="Times New Roman" w:eastAsia="Times New Roman" w:hAnsi="Times New Roman" w:cs="Times New Roman"/>
          <w:sz w:val="24"/>
          <w:szCs w:val="24"/>
        </w:rPr>
        <w:t xml:space="preserve">should </w:t>
      </w:r>
      <w:r w:rsidR="00711C48" w:rsidRPr="00F36114">
        <w:rPr>
          <w:rFonts w:ascii="Times New Roman" w:eastAsia="Times New Roman" w:hAnsi="Times New Roman" w:cs="Times New Roman"/>
          <w:sz w:val="24"/>
          <w:szCs w:val="24"/>
        </w:rPr>
        <w:t>create similar efficiencies.</w:t>
      </w:r>
      <w:r w:rsidR="00825C74" w:rsidRPr="00F36114">
        <w:rPr>
          <w:rFonts w:ascii="Times New Roman" w:eastAsia="Times New Roman" w:hAnsi="Times New Roman" w:cs="Times New Roman"/>
          <w:sz w:val="24"/>
          <w:szCs w:val="24"/>
        </w:rPr>
        <w:t xml:space="preserve"> </w:t>
      </w:r>
    </w:p>
    <w:p w14:paraId="25AC45EC" w14:textId="20C4BB3E" w:rsidR="00162636" w:rsidRPr="00F36114" w:rsidRDefault="00825C74" w:rsidP="00711C48">
      <w:pPr>
        <w:spacing w:line="360" w:lineRule="auto"/>
        <w:ind w:firstLine="720"/>
        <w:jc w:val="both"/>
        <w:rPr>
          <w:rFonts w:ascii="Times New Roman" w:hAnsi="Times New Roman" w:cs="Times New Roman"/>
          <w:b/>
          <w:sz w:val="24"/>
          <w:szCs w:val="24"/>
        </w:rPr>
      </w:pPr>
      <w:r w:rsidRPr="00F36114">
        <w:rPr>
          <w:rFonts w:ascii="Times New Roman" w:eastAsia="Times New Roman" w:hAnsi="Times New Roman" w:cs="Times New Roman"/>
          <w:sz w:val="24"/>
          <w:szCs w:val="24"/>
        </w:rPr>
        <w:t xml:space="preserve">In short, </w:t>
      </w:r>
      <w:r w:rsidR="00F75080" w:rsidRPr="00F36114">
        <w:rPr>
          <w:rFonts w:ascii="Times New Roman" w:eastAsia="Times New Roman" w:hAnsi="Times New Roman" w:cs="Times New Roman"/>
          <w:sz w:val="24"/>
          <w:szCs w:val="24"/>
        </w:rPr>
        <w:t>TCPA has not identified any reasons to make ancillary services in the DAM anything more than financial-only</w:t>
      </w:r>
      <w:r w:rsidR="00F75080">
        <w:rPr>
          <w:rFonts w:ascii="Times New Roman" w:eastAsia="Times New Roman" w:hAnsi="Times New Roman" w:cs="Times New Roman"/>
          <w:sz w:val="24"/>
          <w:szCs w:val="24"/>
        </w:rPr>
        <w:t xml:space="preserve"> </w:t>
      </w:r>
      <w:r w:rsidR="00F75080" w:rsidRPr="00F36114">
        <w:rPr>
          <w:rFonts w:ascii="Times New Roman" w:eastAsia="Times New Roman" w:hAnsi="Times New Roman" w:cs="Times New Roman"/>
          <w:sz w:val="24"/>
          <w:szCs w:val="24"/>
        </w:rPr>
        <w:t>and supports keeping the DAM a purely voluntary market of willing buyers and sellers</w:t>
      </w:r>
      <w:r w:rsidR="00F75080">
        <w:rPr>
          <w:rFonts w:ascii="Times New Roman" w:eastAsia="Times New Roman" w:hAnsi="Times New Roman" w:cs="Times New Roman"/>
          <w:sz w:val="24"/>
          <w:szCs w:val="24"/>
        </w:rPr>
        <w:t xml:space="preserve">.  However, </w:t>
      </w:r>
      <w:r w:rsidRPr="00F36114">
        <w:rPr>
          <w:rFonts w:ascii="Times New Roman" w:eastAsia="Times New Roman" w:hAnsi="Times New Roman" w:cs="Times New Roman"/>
          <w:sz w:val="24"/>
          <w:szCs w:val="24"/>
        </w:rPr>
        <w:t xml:space="preserve">TCPA is open to considering any arguments </w:t>
      </w:r>
      <w:r w:rsidR="00D4709E">
        <w:rPr>
          <w:rFonts w:ascii="Times New Roman" w:eastAsia="Times New Roman" w:hAnsi="Times New Roman" w:cs="Times New Roman"/>
          <w:sz w:val="24"/>
          <w:szCs w:val="24"/>
        </w:rPr>
        <w:t xml:space="preserve">that other parties may bring forward </w:t>
      </w:r>
      <w:r w:rsidRPr="00F36114">
        <w:rPr>
          <w:rFonts w:ascii="Times New Roman" w:eastAsia="Times New Roman" w:hAnsi="Times New Roman" w:cs="Times New Roman"/>
          <w:sz w:val="24"/>
          <w:szCs w:val="24"/>
        </w:rPr>
        <w:t xml:space="preserve">for physically binding DAM awards or qualifications on offering </w:t>
      </w:r>
      <w:r w:rsidR="00385390" w:rsidRPr="00F36114">
        <w:rPr>
          <w:rFonts w:ascii="Times New Roman" w:eastAsia="Times New Roman" w:hAnsi="Times New Roman" w:cs="Times New Roman"/>
          <w:sz w:val="24"/>
          <w:szCs w:val="24"/>
        </w:rPr>
        <w:t xml:space="preserve">ancillary </w:t>
      </w:r>
      <w:r w:rsidR="00385390" w:rsidRPr="00F36114">
        <w:rPr>
          <w:rFonts w:ascii="Times New Roman" w:eastAsia="Times New Roman" w:hAnsi="Times New Roman" w:cs="Times New Roman"/>
          <w:sz w:val="24"/>
          <w:szCs w:val="24"/>
        </w:rPr>
        <w:lastRenderedPageBreak/>
        <w:t>services</w:t>
      </w:r>
      <w:r w:rsidRPr="00F36114">
        <w:rPr>
          <w:rFonts w:ascii="Times New Roman" w:eastAsia="Times New Roman" w:hAnsi="Times New Roman" w:cs="Times New Roman"/>
          <w:sz w:val="24"/>
          <w:szCs w:val="24"/>
        </w:rPr>
        <w:t xml:space="preserve"> in the DAM to address deliverability concerns. </w:t>
      </w:r>
      <w:r w:rsidR="00162636" w:rsidRPr="00F36114">
        <w:rPr>
          <w:rFonts w:ascii="Times New Roman" w:eastAsia="Times New Roman" w:hAnsi="Times New Roman" w:cs="Times New Roman"/>
          <w:sz w:val="24"/>
          <w:szCs w:val="24"/>
        </w:rPr>
        <w:t xml:space="preserve">While the details of </w:t>
      </w:r>
      <w:r w:rsidR="006F3583" w:rsidRPr="00F36114">
        <w:rPr>
          <w:rFonts w:ascii="Times New Roman" w:eastAsia="Times New Roman" w:hAnsi="Times New Roman" w:cs="Times New Roman"/>
          <w:sz w:val="24"/>
          <w:szCs w:val="24"/>
        </w:rPr>
        <w:t>implementing a</w:t>
      </w:r>
      <w:r w:rsidR="00162636" w:rsidRPr="00F36114">
        <w:rPr>
          <w:rFonts w:ascii="Times New Roman" w:eastAsia="Times New Roman" w:hAnsi="Times New Roman" w:cs="Times New Roman"/>
          <w:sz w:val="24"/>
          <w:szCs w:val="24"/>
        </w:rPr>
        <w:t xml:space="preserve"> fully financial and voluntary post-RTC DAM can be worked out in the stakeholder process, policy direction from the Commission on this high</w:t>
      </w:r>
      <w:r w:rsidR="00D4709E">
        <w:rPr>
          <w:rFonts w:ascii="Times New Roman" w:eastAsia="Times New Roman" w:hAnsi="Times New Roman" w:cs="Times New Roman"/>
          <w:sz w:val="24"/>
          <w:szCs w:val="24"/>
        </w:rPr>
        <w:t>-</w:t>
      </w:r>
      <w:r w:rsidR="00162636" w:rsidRPr="00F36114">
        <w:rPr>
          <w:rFonts w:ascii="Times New Roman" w:eastAsia="Times New Roman" w:hAnsi="Times New Roman" w:cs="Times New Roman"/>
          <w:sz w:val="24"/>
          <w:szCs w:val="24"/>
        </w:rPr>
        <w:t xml:space="preserve">level decision </w:t>
      </w:r>
      <w:r w:rsidR="006F3583" w:rsidRPr="00F36114">
        <w:rPr>
          <w:rFonts w:ascii="Times New Roman" w:eastAsia="Times New Roman" w:hAnsi="Times New Roman" w:cs="Times New Roman"/>
          <w:sz w:val="24"/>
          <w:szCs w:val="24"/>
        </w:rPr>
        <w:t xml:space="preserve">point </w:t>
      </w:r>
      <w:r w:rsidR="005735AD">
        <w:rPr>
          <w:rFonts w:ascii="Times New Roman" w:eastAsia="Times New Roman" w:hAnsi="Times New Roman" w:cs="Times New Roman"/>
          <w:sz w:val="24"/>
          <w:szCs w:val="24"/>
        </w:rPr>
        <w:t>will</w:t>
      </w:r>
      <w:r w:rsidR="005735AD" w:rsidRPr="00F36114">
        <w:rPr>
          <w:rFonts w:ascii="Times New Roman" w:eastAsia="Times New Roman" w:hAnsi="Times New Roman" w:cs="Times New Roman"/>
          <w:sz w:val="24"/>
          <w:szCs w:val="24"/>
        </w:rPr>
        <w:t xml:space="preserve"> </w:t>
      </w:r>
      <w:r w:rsidR="00162636" w:rsidRPr="00F36114">
        <w:rPr>
          <w:rFonts w:ascii="Times New Roman" w:eastAsia="Times New Roman" w:hAnsi="Times New Roman" w:cs="Times New Roman"/>
          <w:sz w:val="24"/>
          <w:szCs w:val="24"/>
        </w:rPr>
        <w:t>help simplify and accelerate implementation discussions at ERCOT.</w:t>
      </w:r>
    </w:p>
    <w:p w14:paraId="5D034533" w14:textId="77777777" w:rsidR="00BD5A01" w:rsidRPr="00F36114" w:rsidRDefault="00BD5A01" w:rsidP="00742816">
      <w:pPr>
        <w:pStyle w:val="ListParagraph"/>
        <w:keepNext/>
        <w:keepLines/>
        <w:numPr>
          <w:ilvl w:val="0"/>
          <w:numId w:val="26"/>
        </w:numPr>
        <w:spacing w:line="240" w:lineRule="auto"/>
        <w:contextualSpacing w:val="0"/>
        <w:jc w:val="both"/>
        <w:rPr>
          <w:rFonts w:ascii="Times New Roman" w:hAnsi="Times New Roman" w:cs="Times New Roman"/>
          <w:b/>
          <w:sz w:val="24"/>
          <w:szCs w:val="24"/>
        </w:rPr>
      </w:pPr>
      <w:r w:rsidRPr="00F36114">
        <w:rPr>
          <w:rFonts w:ascii="Times New Roman" w:hAnsi="Times New Roman" w:cs="Times New Roman"/>
          <w:b/>
          <w:sz w:val="24"/>
          <w:szCs w:val="24"/>
        </w:rPr>
        <w:t>Which market rules established in the commission’s rules and in ERCOT protocols, such as prohibitions on withholding of capacity or the “small fish” rule, should apply to the offer of ancillary services in the Real-Time Market? Why or why not?</w:t>
      </w:r>
    </w:p>
    <w:p w14:paraId="6182A6E4" w14:textId="77777777" w:rsidR="00BD5A01" w:rsidRPr="00F36114" w:rsidRDefault="00BD5A01" w:rsidP="00742816">
      <w:pPr>
        <w:pStyle w:val="ListParagraph"/>
        <w:keepNext/>
        <w:keepLines/>
        <w:numPr>
          <w:ilvl w:val="0"/>
          <w:numId w:val="26"/>
        </w:numPr>
        <w:spacing w:line="240" w:lineRule="auto"/>
        <w:contextualSpacing w:val="0"/>
        <w:jc w:val="both"/>
        <w:rPr>
          <w:rFonts w:ascii="Times New Roman" w:hAnsi="Times New Roman" w:cs="Times New Roman"/>
          <w:b/>
          <w:sz w:val="24"/>
          <w:szCs w:val="24"/>
        </w:rPr>
      </w:pPr>
      <w:r w:rsidRPr="00F36114">
        <w:rPr>
          <w:rFonts w:ascii="Times New Roman" w:hAnsi="Times New Roman" w:cs="Times New Roman"/>
          <w:b/>
          <w:sz w:val="24"/>
          <w:szCs w:val="24"/>
        </w:rPr>
        <w:t>Should other market rules specific to ancillary services be established?</w:t>
      </w:r>
    </w:p>
    <w:p w14:paraId="6C497236" w14:textId="77777777" w:rsidR="00BD5A01" w:rsidRPr="00F36114" w:rsidRDefault="00BD5A01" w:rsidP="00742816">
      <w:pPr>
        <w:pStyle w:val="ListParagraph"/>
        <w:keepNext/>
        <w:keepLines/>
        <w:numPr>
          <w:ilvl w:val="0"/>
          <w:numId w:val="26"/>
        </w:numPr>
        <w:spacing w:after="360" w:line="240" w:lineRule="auto"/>
        <w:contextualSpacing w:val="0"/>
        <w:jc w:val="both"/>
        <w:rPr>
          <w:rFonts w:ascii="Times New Roman" w:hAnsi="Times New Roman" w:cs="Times New Roman"/>
          <w:b/>
          <w:sz w:val="24"/>
          <w:szCs w:val="24"/>
        </w:rPr>
      </w:pPr>
      <w:r w:rsidRPr="00F36114">
        <w:rPr>
          <w:rFonts w:ascii="Times New Roman" w:hAnsi="Times New Roman" w:cs="Times New Roman"/>
          <w:b/>
          <w:sz w:val="24"/>
          <w:szCs w:val="24"/>
        </w:rPr>
        <w:t>Should all online capacity be required to have an offer curve for each ancillary service for which a resource is qualified? Why or why not?</w:t>
      </w:r>
    </w:p>
    <w:p w14:paraId="61098E6D" w14:textId="77777777" w:rsidR="002A549F" w:rsidRPr="00F36114" w:rsidRDefault="00742816" w:rsidP="009255DD">
      <w:pPr>
        <w:spacing w:line="360" w:lineRule="auto"/>
        <w:ind w:firstLine="720"/>
        <w:jc w:val="both"/>
        <w:rPr>
          <w:rFonts w:ascii="Times New Roman" w:hAnsi="Times New Roman" w:cs="Times New Roman"/>
          <w:sz w:val="24"/>
          <w:szCs w:val="24"/>
        </w:rPr>
      </w:pPr>
      <w:r w:rsidRPr="00F36114">
        <w:rPr>
          <w:rFonts w:ascii="Times New Roman" w:hAnsi="Times New Roman" w:cs="Times New Roman"/>
          <w:sz w:val="24"/>
          <w:szCs w:val="24"/>
        </w:rPr>
        <w:t>TCPA responds to Questions 9 and 11 together and has no comments at t</w:t>
      </w:r>
      <w:r w:rsidR="009255DD" w:rsidRPr="00F36114">
        <w:rPr>
          <w:rFonts w:ascii="Times New Roman" w:hAnsi="Times New Roman" w:cs="Times New Roman"/>
          <w:sz w:val="24"/>
          <w:szCs w:val="24"/>
        </w:rPr>
        <w:t xml:space="preserve">his time regarding Question 10. </w:t>
      </w:r>
    </w:p>
    <w:p w14:paraId="0EECD34B" w14:textId="36500C18" w:rsidR="00BD1D17" w:rsidRPr="00F36114" w:rsidRDefault="009255DD" w:rsidP="009255DD">
      <w:pPr>
        <w:spacing w:line="360" w:lineRule="auto"/>
        <w:ind w:firstLine="720"/>
        <w:jc w:val="both"/>
        <w:rPr>
          <w:rFonts w:ascii="Times New Roman" w:hAnsi="Times New Roman" w:cs="Times New Roman"/>
          <w:sz w:val="24"/>
          <w:szCs w:val="24"/>
        </w:rPr>
      </w:pPr>
      <w:r w:rsidRPr="00F36114">
        <w:rPr>
          <w:rFonts w:ascii="Times New Roman" w:hAnsi="Times New Roman" w:cs="Times New Roman"/>
          <w:sz w:val="24"/>
          <w:szCs w:val="24"/>
        </w:rPr>
        <w:t xml:space="preserve">As an initial </w:t>
      </w:r>
      <w:r w:rsidR="000D3FBD" w:rsidRPr="00F36114">
        <w:rPr>
          <w:rFonts w:ascii="Times New Roman" w:hAnsi="Times New Roman" w:cs="Times New Roman"/>
          <w:sz w:val="24"/>
          <w:szCs w:val="24"/>
        </w:rPr>
        <w:t xml:space="preserve">threshold </w:t>
      </w:r>
      <w:r w:rsidRPr="00F36114">
        <w:rPr>
          <w:rFonts w:ascii="Times New Roman" w:hAnsi="Times New Roman" w:cs="Times New Roman"/>
          <w:sz w:val="24"/>
          <w:szCs w:val="24"/>
        </w:rPr>
        <w:t xml:space="preserve">matter, in </w:t>
      </w:r>
      <w:r w:rsidR="000D3FBD" w:rsidRPr="00F36114">
        <w:rPr>
          <w:rFonts w:ascii="Times New Roman" w:hAnsi="Times New Roman" w:cs="Times New Roman"/>
          <w:sz w:val="24"/>
          <w:szCs w:val="24"/>
        </w:rPr>
        <w:t xml:space="preserve">an energy-only market </w:t>
      </w:r>
      <w:r w:rsidRPr="00F36114">
        <w:rPr>
          <w:rFonts w:ascii="Times New Roman" w:hAnsi="Times New Roman" w:cs="Times New Roman"/>
          <w:sz w:val="24"/>
          <w:szCs w:val="24"/>
        </w:rPr>
        <w:t>construct</w:t>
      </w:r>
      <w:r w:rsidR="000D3FBD" w:rsidRPr="00F36114">
        <w:rPr>
          <w:rFonts w:ascii="Times New Roman" w:hAnsi="Times New Roman" w:cs="Times New Roman"/>
          <w:sz w:val="24"/>
          <w:szCs w:val="24"/>
        </w:rPr>
        <w:t xml:space="preserve"> where capacity is not explicitly valued</w:t>
      </w:r>
      <w:r w:rsidR="001F7DC6">
        <w:rPr>
          <w:rFonts w:ascii="Times New Roman" w:hAnsi="Times New Roman" w:cs="Times New Roman"/>
          <w:sz w:val="24"/>
          <w:szCs w:val="24"/>
        </w:rPr>
        <w:t>,</w:t>
      </w:r>
      <w:r w:rsidR="000D3FBD" w:rsidRPr="00F36114">
        <w:rPr>
          <w:rFonts w:ascii="Times New Roman" w:hAnsi="Times New Roman" w:cs="Times New Roman"/>
          <w:sz w:val="24"/>
          <w:szCs w:val="24"/>
        </w:rPr>
        <w:t xml:space="preserve"> sold</w:t>
      </w:r>
      <w:r w:rsidR="001F7DC6">
        <w:rPr>
          <w:rFonts w:ascii="Times New Roman" w:hAnsi="Times New Roman" w:cs="Times New Roman"/>
          <w:sz w:val="24"/>
          <w:szCs w:val="24"/>
        </w:rPr>
        <w:t>, and committed on a forward basis</w:t>
      </w:r>
      <w:r w:rsidRPr="00F36114">
        <w:rPr>
          <w:rFonts w:ascii="Times New Roman" w:hAnsi="Times New Roman" w:cs="Times New Roman"/>
          <w:sz w:val="24"/>
          <w:szCs w:val="24"/>
        </w:rPr>
        <w:t>, resources should not be required to offer ancillary services in either the DAM (which, as discussed above, should be fully voluntary and financial only) or the RTM</w:t>
      </w:r>
      <w:r w:rsidR="000D3FBD" w:rsidRPr="00F36114">
        <w:rPr>
          <w:rFonts w:ascii="Times New Roman" w:hAnsi="Times New Roman" w:cs="Times New Roman"/>
          <w:sz w:val="24"/>
          <w:szCs w:val="24"/>
        </w:rPr>
        <w:t xml:space="preserve"> (where the available capacity must always be visible for Reliability Unit Commitment (RUC) and has every incentive to – but is not compelled to – offer its capacity)</w:t>
      </w:r>
      <w:r w:rsidRPr="00F36114">
        <w:rPr>
          <w:rFonts w:ascii="Times New Roman" w:hAnsi="Times New Roman" w:cs="Times New Roman"/>
          <w:sz w:val="24"/>
          <w:szCs w:val="24"/>
        </w:rPr>
        <w:t xml:space="preserve">. </w:t>
      </w:r>
    </w:p>
    <w:p w14:paraId="58AF6558" w14:textId="33562506" w:rsidR="00EB7EB4" w:rsidRPr="00F36114" w:rsidRDefault="009255DD" w:rsidP="009255DD">
      <w:pPr>
        <w:spacing w:line="360" w:lineRule="auto"/>
        <w:ind w:firstLine="720"/>
        <w:jc w:val="both"/>
        <w:rPr>
          <w:rFonts w:ascii="Times New Roman" w:hAnsi="Times New Roman" w:cs="Times New Roman"/>
          <w:sz w:val="24"/>
          <w:szCs w:val="24"/>
        </w:rPr>
      </w:pPr>
      <w:r w:rsidRPr="00F36114">
        <w:rPr>
          <w:rFonts w:ascii="Times New Roman" w:hAnsi="Times New Roman" w:cs="Times New Roman"/>
          <w:sz w:val="24"/>
          <w:szCs w:val="24"/>
        </w:rPr>
        <w:t>If the ASDCs are properly designed</w:t>
      </w:r>
      <w:r w:rsidR="006A1EC1">
        <w:rPr>
          <w:rFonts w:ascii="Times New Roman" w:hAnsi="Times New Roman" w:cs="Times New Roman"/>
          <w:sz w:val="24"/>
          <w:szCs w:val="24"/>
        </w:rPr>
        <w:t xml:space="preserve"> to appropriately value ancillary services</w:t>
      </w:r>
      <w:r w:rsidRPr="00F36114">
        <w:rPr>
          <w:rFonts w:ascii="Times New Roman" w:hAnsi="Times New Roman" w:cs="Times New Roman"/>
          <w:sz w:val="24"/>
          <w:szCs w:val="24"/>
        </w:rPr>
        <w:t>, resources will be incentivized to offer ancillary services</w:t>
      </w:r>
      <w:r w:rsidR="00E53522" w:rsidRPr="00F36114">
        <w:rPr>
          <w:rFonts w:ascii="Times New Roman" w:hAnsi="Times New Roman" w:cs="Times New Roman"/>
          <w:sz w:val="24"/>
          <w:szCs w:val="24"/>
        </w:rPr>
        <w:t xml:space="preserve"> in </w:t>
      </w:r>
      <w:proofErr w:type="gramStart"/>
      <w:r w:rsidR="00E53522" w:rsidRPr="00F36114">
        <w:rPr>
          <w:rFonts w:ascii="Times New Roman" w:hAnsi="Times New Roman" w:cs="Times New Roman"/>
          <w:sz w:val="24"/>
          <w:szCs w:val="24"/>
        </w:rPr>
        <w:t>real-time</w:t>
      </w:r>
      <w:proofErr w:type="gramEnd"/>
      <w:r w:rsidR="006A1EC1">
        <w:rPr>
          <w:rFonts w:ascii="Times New Roman" w:hAnsi="Times New Roman" w:cs="Times New Roman"/>
          <w:sz w:val="24"/>
          <w:szCs w:val="24"/>
        </w:rPr>
        <w:t xml:space="preserve"> </w:t>
      </w:r>
      <w:r w:rsidR="006A1EC1" w:rsidRPr="00F36114">
        <w:rPr>
          <w:rFonts w:ascii="Times New Roman" w:hAnsi="Times New Roman" w:cs="Times New Roman"/>
          <w:sz w:val="24"/>
          <w:szCs w:val="24"/>
        </w:rPr>
        <w:t xml:space="preserve">so they have the opportunity to receive the </w:t>
      </w:r>
      <w:r w:rsidR="006A1EC1">
        <w:rPr>
          <w:rFonts w:ascii="Times New Roman" w:hAnsi="Times New Roman" w:cs="Times New Roman"/>
          <w:sz w:val="24"/>
          <w:szCs w:val="24"/>
        </w:rPr>
        <w:t>market clearing price for capacity (</w:t>
      </w:r>
      <w:r w:rsidR="006A1EC1" w:rsidRPr="00F36114">
        <w:rPr>
          <w:rFonts w:ascii="Times New Roman" w:hAnsi="Times New Roman" w:cs="Times New Roman"/>
          <w:sz w:val="24"/>
          <w:szCs w:val="24"/>
        </w:rPr>
        <w:t>MCPC</w:t>
      </w:r>
      <w:r w:rsidR="006A1EC1">
        <w:rPr>
          <w:rFonts w:ascii="Times New Roman" w:hAnsi="Times New Roman" w:cs="Times New Roman"/>
          <w:sz w:val="24"/>
          <w:szCs w:val="24"/>
        </w:rPr>
        <w:t>)</w:t>
      </w:r>
      <w:r w:rsidRPr="00F36114">
        <w:rPr>
          <w:rFonts w:ascii="Times New Roman" w:hAnsi="Times New Roman" w:cs="Times New Roman"/>
          <w:sz w:val="24"/>
          <w:szCs w:val="24"/>
        </w:rPr>
        <w:t xml:space="preserve">, obviating any need for a </w:t>
      </w:r>
      <w:r w:rsidR="00BD1D17" w:rsidRPr="00F36114">
        <w:rPr>
          <w:rFonts w:ascii="Times New Roman" w:hAnsi="Times New Roman" w:cs="Times New Roman"/>
          <w:sz w:val="24"/>
          <w:szCs w:val="24"/>
        </w:rPr>
        <w:t>“</w:t>
      </w:r>
      <w:r w:rsidRPr="00F36114">
        <w:rPr>
          <w:rFonts w:ascii="Times New Roman" w:hAnsi="Times New Roman" w:cs="Times New Roman"/>
          <w:sz w:val="24"/>
          <w:szCs w:val="24"/>
        </w:rPr>
        <w:t>must</w:t>
      </w:r>
      <w:r w:rsidR="00BD1D17" w:rsidRPr="00F36114">
        <w:rPr>
          <w:rFonts w:ascii="Times New Roman" w:hAnsi="Times New Roman" w:cs="Times New Roman"/>
          <w:sz w:val="24"/>
          <w:szCs w:val="24"/>
        </w:rPr>
        <w:t>-</w:t>
      </w:r>
      <w:r w:rsidRPr="00F36114">
        <w:rPr>
          <w:rFonts w:ascii="Times New Roman" w:hAnsi="Times New Roman" w:cs="Times New Roman"/>
          <w:sz w:val="24"/>
          <w:szCs w:val="24"/>
        </w:rPr>
        <w:t>offer</w:t>
      </w:r>
      <w:r w:rsidR="00BD1D17" w:rsidRPr="00F36114">
        <w:rPr>
          <w:rFonts w:ascii="Times New Roman" w:hAnsi="Times New Roman" w:cs="Times New Roman"/>
          <w:sz w:val="24"/>
          <w:szCs w:val="24"/>
        </w:rPr>
        <w:t>”</w:t>
      </w:r>
      <w:r w:rsidRPr="00F36114">
        <w:rPr>
          <w:rFonts w:ascii="Times New Roman" w:hAnsi="Times New Roman" w:cs="Times New Roman"/>
          <w:sz w:val="24"/>
          <w:szCs w:val="24"/>
        </w:rPr>
        <w:t xml:space="preserve"> requirement</w:t>
      </w:r>
      <w:r w:rsidR="00D55C05" w:rsidRPr="00F36114">
        <w:rPr>
          <w:rFonts w:ascii="Times New Roman" w:hAnsi="Times New Roman" w:cs="Times New Roman"/>
          <w:sz w:val="24"/>
          <w:szCs w:val="24"/>
        </w:rPr>
        <w:t xml:space="preserve">. </w:t>
      </w:r>
      <w:r w:rsidR="00BD1D17" w:rsidRPr="00F36114">
        <w:rPr>
          <w:rFonts w:ascii="Times New Roman" w:hAnsi="Times New Roman" w:cs="Times New Roman"/>
          <w:sz w:val="24"/>
          <w:szCs w:val="24"/>
        </w:rPr>
        <w:t xml:space="preserve">TCPA suggests that those incentives could be fairly straightforward and consistent with the energy market today. </w:t>
      </w:r>
      <w:r w:rsidRPr="00F36114">
        <w:rPr>
          <w:rFonts w:ascii="Times New Roman" w:hAnsi="Times New Roman" w:cs="Times New Roman"/>
          <w:sz w:val="24"/>
          <w:szCs w:val="24"/>
        </w:rPr>
        <w:t>In addition,</w:t>
      </w:r>
      <w:r w:rsidR="00EB7EB4" w:rsidRPr="00F36114">
        <w:rPr>
          <w:rFonts w:ascii="Times New Roman" w:hAnsi="Times New Roman" w:cs="Times New Roman"/>
          <w:sz w:val="24"/>
          <w:szCs w:val="24"/>
        </w:rPr>
        <w:t xml:space="preserve"> not all resources are able to provide all ancillary services, and</w:t>
      </w:r>
      <w:r w:rsidRPr="00F36114">
        <w:rPr>
          <w:rFonts w:ascii="Times New Roman" w:hAnsi="Times New Roman" w:cs="Times New Roman"/>
          <w:sz w:val="24"/>
          <w:szCs w:val="24"/>
        </w:rPr>
        <w:t xml:space="preserve"> there are valid reasons that a resource qualified to provide ancillary services would not want to submit an ancillary service offer in the RTM at a </w:t>
      </w:r>
      <w:proofErr w:type="gramStart"/>
      <w:r w:rsidRPr="00F36114">
        <w:rPr>
          <w:rFonts w:ascii="Times New Roman" w:hAnsi="Times New Roman" w:cs="Times New Roman"/>
          <w:sz w:val="24"/>
          <w:szCs w:val="24"/>
        </w:rPr>
        <w:t>particular time</w:t>
      </w:r>
      <w:proofErr w:type="gramEnd"/>
      <w:r w:rsidR="00BD1D17" w:rsidRPr="00F36114">
        <w:rPr>
          <w:rFonts w:ascii="Times New Roman" w:hAnsi="Times New Roman" w:cs="Times New Roman"/>
          <w:sz w:val="24"/>
          <w:szCs w:val="24"/>
        </w:rPr>
        <w:t>. F</w:t>
      </w:r>
      <w:r w:rsidRPr="00F36114">
        <w:rPr>
          <w:rFonts w:ascii="Times New Roman" w:hAnsi="Times New Roman" w:cs="Times New Roman"/>
          <w:sz w:val="24"/>
          <w:szCs w:val="24"/>
        </w:rPr>
        <w:t xml:space="preserve">or example, </w:t>
      </w:r>
      <w:r w:rsidR="00BD1D17" w:rsidRPr="00F36114">
        <w:rPr>
          <w:rFonts w:ascii="Times New Roman" w:hAnsi="Times New Roman" w:cs="Times New Roman"/>
          <w:sz w:val="24"/>
          <w:szCs w:val="24"/>
        </w:rPr>
        <w:t xml:space="preserve">a </w:t>
      </w:r>
      <w:r w:rsidRPr="00F36114">
        <w:rPr>
          <w:rFonts w:ascii="Times New Roman" w:hAnsi="Times New Roman" w:cs="Times New Roman"/>
          <w:sz w:val="24"/>
          <w:szCs w:val="24"/>
        </w:rPr>
        <w:t xml:space="preserve">resource </w:t>
      </w:r>
      <w:r w:rsidR="00BD1D17" w:rsidRPr="00F36114">
        <w:rPr>
          <w:rFonts w:ascii="Times New Roman" w:hAnsi="Times New Roman" w:cs="Times New Roman"/>
          <w:sz w:val="24"/>
          <w:szCs w:val="24"/>
        </w:rPr>
        <w:t xml:space="preserve">may </w:t>
      </w:r>
      <w:r w:rsidRPr="00F36114">
        <w:rPr>
          <w:rFonts w:ascii="Times New Roman" w:hAnsi="Times New Roman" w:cs="Times New Roman"/>
          <w:sz w:val="24"/>
          <w:szCs w:val="24"/>
        </w:rPr>
        <w:t>ha</w:t>
      </w:r>
      <w:r w:rsidR="00BD1D17" w:rsidRPr="00F36114">
        <w:rPr>
          <w:rFonts w:ascii="Times New Roman" w:hAnsi="Times New Roman" w:cs="Times New Roman"/>
          <w:sz w:val="24"/>
          <w:szCs w:val="24"/>
        </w:rPr>
        <w:t>ve</w:t>
      </w:r>
      <w:r w:rsidRPr="00F36114">
        <w:rPr>
          <w:rFonts w:ascii="Times New Roman" w:hAnsi="Times New Roman" w:cs="Times New Roman"/>
          <w:sz w:val="24"/>
          <w:szCs w:val="24"/>
        </w:rPr>
        <w:t xml:space="preserve"> an upcoming planned outage </w:t>
      </w:r>
      <w:r w:rsidR="00BD1D17" w:rsidRPr="00F36114">
        <w:rPr>
          <w:rFonts w:ascii="Times New Roman" w:hAnsi="Times New Roman" w:cs="Times New Roman"/>
          <w:sz w:val="24"/>
          <w:szCs w:val="24"/>
        </w:rPr>
        <w:t xml:space="preserve">but is operating under certain contingency conditions and </w:t>
      </w:r>
      <w:r w:rsidRPr="00F36114">
        <w:rPr>
          <w:rFonts w:ascii="Times New Roman" w:hAnsi="Times New Roman" w:cs="Times New Roman"/>
          <w:sz w:val="24"/>
          <w:szCs w:val="24"/>
        </w:rPr>
        <w:t xml:space="preserve">needs to operate at a certain output level (i.e., a level at which it </w:t>
      </w:r>
      <w:r w:rsidR="00EB7EB4" w:rsidRPr="00F36114">
        <w:rPr>
          <w:rFonts w:ascii="Times New Roman" w:hAnsi="Times New Roman" w:cs="Times New Roman"/>
          <w:sz w:val="24"/>
          <w:szCs w:val="24"/>
        </w:rPr>
        <w:t>operates more efficiently</w:t>
      </w:r>
      <w:r w:rsidRPr="00F36114">
        <w:rPr>
          <w:rFonts w:ascii="Times New Roman" w:hAnsi="Times New Roman" w:cs="Times New Roman"/>
          <w:sz w:val="24"/>
          <w:szCs w:val="24"/>
        </w:rPr>
        <w:t xml:space="preserve">) to avoid </w:t>
      </w:r>
      <w:r w:rsidR="00D23A78" w:rsidRPr="00F36114">
        <w:rPr>
          <w:rFonts w:ascii="Times New Roman" w:hAnsi="Times New Roman" w:cs="Times New Roman"/>
          <w:sz w:val="24"/>
          <w:szCs w:val="24"/>
        </w:rPr>
        <w:t xml:space="preserve">a </w:t>
      </w:r>
      <w:r w:rsidR="00D55C05" w:rsidRPr="00F36114">
        <w:rPr>
          <w:rFonts w:ascii="Times New Roman" w:hAnsi="Times New Roman" w:cs="Times New Roman"/>
          <w:sz w:val="24"/>
          <w:szCs w:val="24"/>
        </w:rPr>
        <w:t>forced outage before the scheduled time for the planned outage</w:t>
      </w:r>
      <w:r w:rsidR="00BD1D17" w:rsidRPr="00F36114">
        <w:rPr>
          <w:rFonts w:ascii="Times New Roman" w:hAnsi="Times New Roman" w:cs="Times New Roman"/>
          <w:sz w:val="24"/>
          <w:szCs w:val="24"/>
        </w:rPr>
        <w:t>. In that case</w:t>
      </w:r>
      <w:r w:rsidRPr="00F36114">
        <w:rPr>
          <w:rFonts w:ascii="Times New Roman" w:hAnsi="Times New Roman" w:cs="Times New Roman"/>
          <w:sz w:val="24"/>
          <w:szCs w:val="24"/>
        </w:rPr>
        <w:t xml:space="preserve">, the resource might </w:t>
      </w:r>
      <w:r w:rsidR="00D55C05" w:rsidRPr="00F36114">
        <w:rPr>
          <w:rFonts w:ascii="Times New Roman" w:hAnsi="Times New Roman" w:cs="Times New Roman"/>
          <w:sz w:val="24"/>
          <w:szCs w:val="24"/>
        </w:rPr>
        <w:t xml:space="preserve">need </w:t>
      </w:r>
      <w:r w:rsidR="00EB7EB4" w:rsidRPr="00F36114">
        <w:rPr>
          <w:rFonts w:ascii="Times New Roman" w:hAnsi="Times New Roman" w:cs="Times New Roman"/>
          <w:sz w:val="24"/>
          <w:szCs w:val="24"/>
        </w:rPr>
        <w:t>to refrain from offering ancillary services</w:t>
      </w:r>
      <w:r w:rsidR="00BD1D17" w:rsidRPr="00F36114">
        <w:rPr>
          <w:rFonts w:ascii="Times New Roman" w:hAnsi="Times New Roman" w:cs="Times New Roman"/>
          <w:sz w:val="24"/>
          <w:szCs w:val="24"/>
        </w:rPr>
        <w:t xml:space="preserve"> despite its objective qualification to provide them</w:t>
      </w:r>
      <w:r w:rsidR="00EB7EB4" w:rsidRPr="00F36114">
        <w:rPr>
          <w:rFonts w:ascii="Times New Roman" w:hAnsi="Times New Roman" w:cs="Times New Roman"/>
          <w:sz w:val="24"/>
          <w:szCs w:val="24"/>
        </w:rPr>
        <w:t>.</w:t>
      </w:r>
      <w:r w:rsidR="00E53522" w:rsidRPr="00F36114">
        <w:rPr>
          <w:rFonts w:ascii="Times New Roman" w:hAnsi="Times New Roman" w:cs="Times New Roman"/>
          <w:sz w:val="24"/>
          <w:szCs w:val="24"/>
        </w:rPr>
        <w:t xml:space="preserve"> </w:t>
      </w:r>
      <w:r w:rsidR="00BD1D17" w:rsidRPr="00F36114">
        <w:rPr>
          <w:rFonts w:ascii="Times New Roman" w:hAnsi="Times New Roman" w:cs="Times New Roman"/>
          <w:sz w:val="24"/>
          <w:szCs w:val="24"/>
        </w:rPr>
        <w:t>Put another way, i</w:t>
      </w:r>
      <w:r w:rsidR="00E53522" w:rsidRPr="00F36114">
        <w:rPr>
          <w:rFonts w:ascii="Times New Roman" w:hAnsi="Times New Roman" w:cs="Times New Roman"/>
          <w:sz w:val="24"/>
          <w:szCs w:val="24"/>
        </w:rPr>
        <w:t>mposing a must-offer requirement for ancillary services in the RTM could require resources to submit offers even though they are not able to honor those offers at that time.</w:t>
      </w:r>
      <w:r w:rsidR="00EB7EB4" w:rsidRPr="00F36114">
        <w:rPr>
          <w:rFonts w:ascii="Times New Roman" w:hAnsi="Times New Roman" w:cs="Times New Roman"/>
          <w:sz w:val="24"/>
          <w:szCs w:val="24"/>
        </w:rPr>
        <w:t xml:space="preserve"> </w:t>
      </w:r>
      <w:r w:rsidR="00BD1D17" w:rsidRPr="00F36114">
        <w:rPr>
          <w:rFonts w:ascii="Times New Roman" w:hAnsi="Times New Roman" w:cs="Times New Roman"/>
          <w:sz w:val="24"/>
          <w:szCs w:val="24"/>
        </w:rPr>
        <w:t>Moreover</w:t>
      </w:r>
      <w:r w:rsidR="00EB7EB4" w:rsidRPr="00F36114">
        <w:rPr>
          <w:rFonts w:ascii="Times New Roman" w:hAnsi="Times New Roman" w:cs="Times New Roman"/>
          <w:sz w:val="24"/>
          <w:szCs w:val="24"/>
        </w:rPr>
        <w:t xml:space="preserve">, </w:t>
      </w:r>
      <w:r w:rsidR="00E0091C">
        <w:rPr>
          <w:rFonts w:ascii="Times New Roman" w:hAnsi="Times New Roman" w:cs="Times New Roman"/>
          <w:sz w:val="24"/>
          <w:szCs w:val="24"/>
        </w:rPr>
        <w:t xml:space="preserve">while </w:t>
      </w:r>
      <w:r w:rsidR="00EB7EB4" w:rsidRPr="00F36114">
        <w:rPr>
          <w:rFonts w:ascii="Times New Roman" w:hAnsi="Times New Roman" w:cs="Times New Roman"/>
          <w:sz w:val="24"/>
          <w:szCs w:val="24"/>
        </w:rPr>
        <w:t>a must</w:t>
      </w:r>
      <w:r w:rsidR="00BD1D17" w:rsidRPr="00F36114">
        <w:rPr>
          <w:rFonts w:ascii="Times New Roman" w:hAnsi="Times New Roman" w:cs="Times New Roman"/>
          <w:sz w:val="24"/>
          <w:szCs w:val="24"/>
        </w:rPr>
        <w:t>-</w:t>
      </w:r>
      <w:r w:rsidR="00EB7EB4" w:rsidRPr="00F36114">
        <w:rPr>
          <w:rFonts w:ascii="Times New Roman" w:hAnsi="Times New Roman" w:cs="Times New Roman"/>
          <w:sz w:val="24"/>
          <w:szCs w:val="24"/>
        </w:rPr>
        <w:t xml:space="preserve">offer requirement for ancillary services is not needed to realize the </w:t>
      </w:r>
      <w:r w:rsidR="00BD1D17" w:rsidRPr="00F36114">
        <w:rPr>
          <w:rFonts w:ascii="Times New Roman" w:hAnsi="Times New Roman" w:cs="Times New Roman"/>
          <w:sz w:val="24"/>
          <w:szCs w:val="24"/>
        </w:rPr>
        <w:lastRenderedPageBreak/>
        <w:t xml:space="preserve">operational </w:t>
      </w:r>
      <w:r w:rsidR="00EB7EB4" w:rsidRPr="00F36114">
        <w:rPr>
          <w:rFonts w:ascii="Times New Roman" w:hAnsi="Times New Roman" w:cs="Times New Roman"/>
          <w:sz w:val="24"/>
          <w:szCs w:val="24"/>
        </w:rPr>
        <w:t>efficiencies of RTC</w:t>
      </w:r>
      <w:r w:rsidR="00BF04B8">
        <w:rPr>
          <w:rFonts w:ascii="Times New Roman" w:hAnsi="Times New Roman" w:cs="Times New Roman"/>
          <w:sz w:val="24"/>
          <w:szCs w:val="24"/>
        </w:rPr>
        <w:t>,</w:t>
      </w:r>
      <w:r w:rsidR="00EB7EB4" w:rsidRPr="00F36114">
        <w:rPr>
          <w:rFonts w:ascii="Times New Roman" w:hAnsi="Times New Roman" w:cs="Times New Roman"/>
          <w:sz w:val="24"/>
          <w:szCs w:val="24"/>
        </w:rPr>
        <w:t xml:space="preserve"> </w:t>
      </w:r>
      <w:r w:rsidR="00E0091C">
        <w:rPr>
          <w:rFonts w:ascii="Times New Roman" w:hAnsi="Times New Roman" w:cs="Times New Roman"/>
          <w:sz w:val="24"/>
          <w:szCs w:val="24"/>
        </w:rPr>
        <w:t>it will</w:t>
      </w:r>
      <w:r w:rsidR="00EB7EB4" w:rsidRPr="00F36114">
        <w:rPr>
          <w:rFonts w:ascii="Times New Roman" w:hAnsi="Times New Roman" w:cs="Times New Roman"/>
          <w:sz w:val="24"/>
          <w:szCs w:val="24"/>
        </w:rPr>
        <w:t xml:space="preserve"> be harmful to the market </w:t>
      </w:r>
      <w:r w:rsidR="00BD1D17" w:rsidRPr="00F36114">
        <w:rPr>
          <w:rFonts w:ascii="Times New Roman" w:hAnsi="Times New Roman" w:cs="Times New Roman"/>
          <w:sz w:val="24"/>
          <w:szCs w:val="24"/>
        </w:rPr>
        <w:t>(</w:t>
      </w:r>
      <w:r w:rsidR="00EB7EB4" w:rsidRPr="00F36114">
        <w:rPr>
          <w:rFonts w:ascii="Times New Roman" w:hAnsi="Times New Roman" w:cs="Times New Roman"/>
          <w:sz w:val="24"/>
          <w:szCs w:val="24"/>
        </w:rPr>
        <w:t>e.g., if a must</w:t>
      </w:r>
      <w:r w:rsidR="00BD1D17" w:rsidRPr="00F36114">
        <w:rPr>
          <w:rFonts w:ascii="Times New Roman" w:hAnsi="Times New Roman" w:cs="Times New Roman"/>
          <w:sz w:val="24"/>
          <w:szCs w:val="24"/>
        </w:rPr>
        <w:t>-</w:t>
      </w:r>
      <w:r w:rsidR="00EB7EB4" w:rsidRPr="00F36114">
        <w:rPr>
          <w:rFonts w:ascii="Times New Roman" w:hAnsi="Times New Roman" w:cs="Times New Roman"/>
          <w:sz w:val="24"/>
          <w:szCs w:val="24"/>
        </w:rPr>
        <w:t xml:space="preserve">offer requirement resulted in ERCOT awarding a unit an ancillary service requirement it </w:t>
      </w:r>
      <w:r w:rsidR="00D1447F">
        <w:rPr>
          <w:rFonts w:ascii="Times New Roman" w:hAnsi="Times New Roman" w:cs="Times New Roman"/>
          <w:sz w:val="24"/>
          <w:szCs w:val="24"/>
        </w:rPr>
        <w:t>was not physically capable of</w:t>
      </w:r>
      <w:r w:rsidR="00EB7EB4" w:rsidRPr="00F36114">
        <w:rPr>
          <w:rFonts w:ascii="Times New Roman" w:hAnsi="Times New Roman" w:cs="Times New Roman"/>
          <w:sz w:val="24"/>
          <w:szCs w:val="24"/>
        </w:rPr>
        <w:t xml:space="preserve"> fulfill</w:t>
      </w:r>
      <w:r w:rsidR="00D1447F">
        <w:rPr>
          <w:rFonts w:ascii="Times New Roman" w:hAnsi="Times New Roman" w:cs="Times New Roman"/>
          <w:sz w:val="24"/>
          <w:szCs w:val="24"/>
        </w:rPr>
        <w:t>ing</w:t>
      </w:r>
      <w:r w:rsidR="00EB7EB4" w:rsidRPr="00F36114">
        <w:rPr>
          <w:rFonts w:ascii="Times New Roman" w:hAnsi="Times New Roman" w:cs="Times New Roman"/>
          <w:sz w:val="24"/>
          <w:szCs w:val="24"/>
        </w:rPr>
        <w:t xml:space="preserve">, this </w:t>
      </w:r>
      <w:r w:rsidR="00E0091C">
        <w:rPr>
          <w:rFonts w:ascii="Times New Roman" w:hAnsi="Times New Roman" w:cs="Times New Roman"/>
          <w:sz w:val="24"/>
          <w:szCs w:val="24"/>
        </w:rPr>
        <w:t>w</w:t>
      </w:r>
      <w:r w:rsidR="00EB7EB4" w:rsidRPr="00F36114">
        <w:rPr>
          <w:rFonts w:ascii="Times New Roman" w:hAnsi="Times New Roman" w:cs="Times New Roman"/>
          <w:sz w:val="24"/>
          <w:szCs w:val="24"/>
        </w:rPr>
        <w:t>ould lead to unnecessary costs uplifted to the market</w:t>
      </w:r>
      <w:r w:rsidR="00BD1D17" w:rsidRPr="00F36114">
        <w:rPr>
          <w:rFonts w:ascii="Times New Roman" w:hAnsi="Times New Roman" w:cs="Times New Roman"/>
          <w:sz w:val="24"/>
          <w:szCs w:val="24"/>
        </w:rPr>
        <w:t>)</w:t>
      </w:r>
      <w:r w:rsidR="00EB7EB4" w:rsidRPr="00F36114">
        <w:rPr>
          <w:rFonts w:ascii="Times New Roman" w:hAnsi="Times New Roman" w:cs="Times New Roman"/>
          <w:sz w:val="24"/>
          <w:szCs w:val="24"/>
        </w:rPr>
        <w:t>.</w:t>
      </w:r>
    </w:p>
    <w:p w14:paraId="4D2CBEA7" w14:textId="79A35F77" w:rsidR="00CC761B" w:rsidRPr="00F36114" w:rsidRDefault="0046056D" w:rsidP="009255DD">
      <w:pPr>
        <w:spacing w:line="360" w:lineRule="auto"/>
        <w:ind w:firstLine="720"/>
        <w:jc w:val="both"/>
        <w:rPr>
          <w:rFonts w:ascii="Times New Roman" w:hAnsi="Times New Roman" w:cs="Times New Roman"/>
          <w:sz w:val="24"/>
          <w:szCs w:val="24"/>
        </w:rPr>
      </w:pPr>
      <w:r w:rsidRPr="00F36114">
        <w:rPr>
          <w:rFonts w:ascii="Times New Roman" w:hAnsi="Times New Roman" w:cs="Times New Roman"/>
          <w:sz w:val="24"/>
          <w:szCs w:val="24"/>
        </w:rPr>
        <w:t>As a second general threshold matter, TCPA believes that the existing market rules established under 16 Tex. Admin. Code (TAC)</w:t>
      </w:r>
      <w:r w:rsidR="00416A16">
        <w:rPr>
          <w:rFonts w:ascii="Times New Roman" w:hAnsi="Times New Roman" w:cs="Times New Roman"/>
          <w:sz w:val="24"/>
          <w:szCs w:val="24"/>
        </w:rPr>
        <w:t xml:space="preserve"> §</w:t>
      </w:r>
      <w:r w:rsidR="00B7660F">
        <w:rPr>
          <w:rFonts w:ascii="Times New Roman" w:hAnsi="Times New Roman" w:cs="Times New Roman"/>
          <w:sz w:val="24"/>
          <w:szCs w:val="24"/>
        </w:rPr>
        <w:t>§</w:t>
      </w:r>
      <w:r w:rsidR="00416A16">
        <w:rPr>
          <w:rFonts w:ascii="Times New Roman" w:hAnsi="Times New Roman" w:cs="Times New Roman"/>
          <w:sz w:val="24"/>
          <w:szCs w:val="24"/>
        </w:rPr>
        <w:t> 25.503 and</w:t>
      </w:r>
      <w:r w:rsidRPr="00F36114">
        <w:rPr>
          <w:rFonts w:ascii="Times New Roman" w:hAnsi="Times New Roman" w:cs="Times New Roman"/>
          <w:sz w:val="24"/>
          <w:szCs w:val="24"/>
        </w:rPr>
        <w:t xml:space="preserve"> 25.504 should continue to apply generally to both energy and ancillary services</w:t>
      </w:r>
      <w:r w:rsidR="00B533F5" w:rsidRPr="00F36114">
        <w:rPr>
          <w:rFonts w:ascii="Times New Roman" w:hAnsi="Times New Roman" w:cs="Times New Roman"/>
          <w:sz w:val="24"/>
          <w:szCs w:val="24"/>
        </w:rPr>
        <w:t>, with an important exception</w:t>
      </w:r>
      <w:r w:rsidRPr="00F36114">
        <w:rPr>
          <w:rFonts w:ascii="Times New Roman" w:hAnsi="Times New Roman" w:cs="Times New Roman"/>
          <w:sz w:val="24"/>
          <w:szCs w:val="24"/>
        </w:rPr>
        <w:t xml:space="preserve">. </w:t>
      </w:r>
      <w:r w:rsidR="00B533F5" w:rsidRPr="00F36114">
        <w:rPr>
          <w:rFonts w:ascii="Times New Roman" w:hAnsi="Times New Roman" w:cs="Times New Roman"/>
          <w:sz w:val="24"/>
          <w:szCs w:val="24"/>
        </w:rPr>
        <w:t>I</w:t>
      </w:r>
      <w:r w:rsidR="00EB7EB4" w:rsidRPr="00F36114">
        <w:rPr>
          <w:rFonts w:ascii="Times New Roman" w:hAnsi="Times New Roman" w:cs="Times New Roman"/>
          <w:sz w:val="24"/>
          <w:szCs w:val="24"/>
        </w:rPr>
        <w:t>f there is no must</w:t>
      </w:r>
      <w:r w:rsidR="00F220E6" w:rsidRPr="00F36114">
        <w:rPr>
          <w:rFonts w:ascii="Times New Roman" w:hAnsi="Times New Roman" w:cs="Times New Roman"/>
          <w:sz w:val="24"/>
          <w:szCs w:val="24"/>
        </w:rPr>
        <w:t>-</w:t>
      </w:r>
      <w:r w:rsidR="00EB7EB4" w:rsidRPr="00F36114">
        <w:rPr>
          <w:rFonts w:ascii="Times New Roman" w:hAnsi="Times New Roman" w:cs="Times New Roman"/>
          <w:sz w:val="24"/>
          <w:szCs w:val="24"/>
        </w:rPr>
        <w:t xml:space="preserve">offer requirement for ancillary services in the RTC construct, then the physical </w:t>
      </w:r>
      <w:r w:rsidRPr="00F36114">
        <w:rPr>
          <w:rFonts w:ascii="Times New Roman" w:hAnsi="Times New Roman" w:cs="Times New Roman"/>
          <w:sz w:val="24"/>
          <w:szCs w:val="24"/>
        </w:rPr>
        <w:t xml:space="preserve">and economic </w:t>
      </w:r>
      <w:r w:rsidR="00EB7EB4" w:rsidRPr="00F36114">
        <w:rPr>
          <w:rFonts w:ascii="Times New Roman" w:hAnsi="Times New Roman" w:cs="Times New Roman"/>
          <w:sz w:val="24"/>
          <w:szCs w:val="24"/>
        </w:rPr>
        <w:t>withholding prohibition</w:t>
      </w:r>
      <w:r w:rsidRPr="00F36114">
        <w:rPr>
          <w:rFonts w:ascii="Times New Roman" w:hAnsi="Times New Roman" w:cs="Times New Roman"/>
          <w:sz w:val="24"/>
          <w:szCs w:val="24"/>
        </w:rPr>
        <w:t>s</w:t>
      </w:r>
      <w:r w:rsidR="00EB7EB4" w:rsidRPr="00F36114">
        <w:rPr>
          <w:rFonts w:ascii="Times New Roman" w:hAnsi="Times New Roman" w:cs="Times New Roman"/>
          <w:sz w:val="24"/>
          <w:szCs w:val="24"/>
        </w:rPr>
        <w:t xml:space="preserve"> in 16 TAC </w:t>
      </w:r>
      <w:r w:rsidR="00416A16">
        <w:rPr>
          <w:rFonts w:ascii="Times New Roman" w:hAnsi="Times New Roman" w:cs="Times New Roman"/>
          <w:sz w:val="24"/>
          <w:szCs w:val="24"/>
        </w:rPr>
        <w:t>§</w:t>
      </w:r>
      <w:r w:rsidR="00B7660F">
        <w:rPr>
          <w:rFonts w:ascii="Times New Roman" w:hAnsi="Times New Roman" w:cs="Times New Roman"/>
          <w:sz w:val="24"/>
          <w:szCs w:val="24"/>
        </w:rPr>
        <w:t>§</w:t>
      </w:r>
      <w:r w:rsidR="00416A16">
        <w:rPr>
          <w:rFonts w:ascii="Times New Roman" w:hAnsi="Times New Roman" w:cs="Times New Roman"/>
          <w:sz w:val="24"/>
          <w:szCs w:val="24"/>
        </w:rPr>
        <w:t xml:space="preserve"> 25.503(g) and </w:t>
      </w:r>
      <w:r w:rsidR="00EB7EB4" w:rsidRPr="00F36114">
        <w:rPr>
          <w:rFonts w:ascii="Times New Roman" w:hAnsi="Times New Roman" w:cs="Times New Roman"/>
          <w:sz w:val="24"/>
          <w:szCs w:val="24"/>
        </w:rPr>
        <w:t>25.504</w:t>
      </w:r>
      <w:r w:rsidR="00B533F5" w:rsidRPr="00F36114">
        <w:rPr>
          <w:rFonts w:ascii="Times New Roman" w:hAnsi="Times New Roman" w:cs="Times New Roman"/>
          <w:sz w:val="24"/>
          <w:szCs w:val="24"/>
        </w:rPr>
        <w:t>(d)</w:t>
      </w:r>
      <w:r w:rsidR="00EB7EB4" w:rsidRPr="00F36114">
        <w:rPr>
          <w:rFonts w:ascii="Times New Roman" w:hAnsi="Times New Roman" w:cs="Times New Roman"/>
          <w:sz w:val="24"/>
          <w:szCs w:val="24"/>
        </w:rPr>
        <w:t xml:space="preserve"> would be </w:t>
      </w:r>
      <w:r w:rsidRPr="00F36114">
        <w:rPr>
          <w:rFonts w:ascii="Times New Roman" w:hAnsi="Times New Roman" w:cs="Times New Roman"/>
          <w:sz w:val="24"/>
          <w:szCs w:val="24"/>
        </w:rPr>
        <w:t xml:space="preserve">impractical and </w:t>
      </w:r>
      <w:r w:rsidR="00EB7EB4" w:rsidRPr="00F36114">
        <w:rPr>
          <w:rFonts w:ascii="Times New Roman" w:hAnsi="Times New Roman" w:cs="Times New Roman"/>
          <w:sz w:val="24"/>
          <w:szCs w:val="24"/>
        </w:rPr>
        <w:t xml:space="preserve">inapplicable to offers for ancillary services. </w:t>
      </w:r>
      <w:r w:rsidRPr="00F36114">
        <w:rPr>
          <w:rFonts w:ascii="Times New Roman" w:hAnsi="Times New Roman" w:cs="Times New Roman"/>
          <w:sz w:val="24"/>
          <w:szCs w:val="24"/>
        </w:rPr>
        <w:t xml:space="preserve">These provisions </w:t>
      </w:r>
      <w:r w:rsidR="00EB7EB4" w:rsidRPr="00F36114">
        <w:rPr>
          <w:rFonts w:ascii="Times New Roman" w:hAnsi="Times New Roman" w:cs="Times New Roman"/>
          <w:sz w:val="24"/>
          <w:szCs w:val="24"/>
        </w:rPr>
        <w:t xml:space="preserve">are </w:t>
      </w:r>
      <w:r w:rsidR="00D23A78" w:rsidRPr="00F36114">
        <w:rPr>
          <w:rFonts w:ascii="Times New Roman" w:hAnsi="Times New Roman" w:cs="Times New Roman"/>
          <w:sz w:val="24"/>
          <w:szCs w:val="24"/>
        </w:rPr>
        <w:t xml:space="preserve">generally </w:t>
      </w:r>
      <w:r w:rsidR="00EB7EB4" w:rsidRPr="00F36114">
        <w:rPr>
          <w:rFonts w:ascii="Times New Roman" w:hAnsi="Times New Roman" w:cs="Times New Roman"/>
          <w:sz w:val="24"/>
          <w:szCs w:val="24"/>
        </w:rPr>
        <w:t>ill</w:t>
      </w:r>
      <w:r w:rsidRPr="00F36114">
        <w:rPr>
          <w:rFonts w:ascii="Times New Roman" w:hAnsi="Times New Roman" w:cs="Times New Roman"/>
          <w:sz w:val="24"/>
          <w:szCs w:val="24"/>
        </w:rPr>
        <w:t>-</w:t>
      </w:r>
      <w:r w:rsidR="00EB7EB4" w:rsidRPr="00F36114">
        <w:rPr>
          <w:rFonts w:ascii="Times New Roman" w:hAnsi="Times New Roman" w:cs="Times New Roman"/>
          <w:sz w:val="24"/>
          <w:szCs w:val="24"/>
        </w:rPr>
        <w:t>suited to the ancillary services market</w:t>
      </w:r>
      <w:r w:rsidR="00D23A78" w:rsidRPr="00F36114">
        <w:rPr>
          <w:rFonts w:ascii="Times New Roman" w:hAnsi="Times New Roman" w:cs="Times New Roman"/>
          <w:sz w:val="24"/>
          <w:szCs w:val="24"/>
        </w:rPr>
        <w:t>,</w:t>
      </w:r>
      <w:r w:rsidR="00EB7EB4" w:rsidRPr="00F36114">
        <w:rPr>
          <w:rFonts w:ascii="Times New Roman" w:hAnsi="Times New Roman" w:cs="Times New Roman"/>
          <w:sz w:val="24"/>
          <w:szCs w:val="24"/>
        </w:rPr>
        <w:t xml:space="preserve"> for a number of reasons. </w:t>
      </w:r>
    </w:p>
    <w:p w14:paraId="77FE9CA4" w14:textId="0B9240AF" w:rsidR="00CC761B" w:rsidRPr="00F36114" w:rsidRDefault="0046056D" w:rsidP="009255DD">
      <w:pPr>
        <w:spacing w:line="360" w:lineRule="auto"/>
        <w:ind w:firstLine="720"/>
        <w:jc w:val="both"/>
        <w:rPr>
          <w:rFonts w:ascii="Times New Roman" w:hAnsi="Times New Roman" w:cs="Times New Roman"/>
          <w:sz w:val="24"/>
          <w:szCs w:val="24"/>
        </w:rPr>
      </w:pPr>
      <w:r w:rsidRPr="00F36114">
        <w:rPr>
          <w:rFonts w:ascii="Times New Roman" w:hAnsi="Times New Roman" w:cs="Times New Roman"/>
          <w:sz w:val="24"/>
          <w:szCs w:val="24"/>
        </w:rPr>
        <w:t>First</w:t>
      </w:r>
      <w:r w:rsidR="00EB7EB4" w:rsidRPr="00F36114">
        <w:rPr>
          <w:rFonts w:ascii="Times New Roman" w:hAnsi="Times New Roman" w:cs="Times New Roman"/>
          <w:sz w:val="24"/>
          <w:szCs w:val="24"/>
        </w:rPr>
        <w:t>, withholding</w:t>
      </w:r>
      <w:r w:rsidR="00D23A78" w:rsidRPr="00F36114">
        <w:rPr>
          <w:rFonts w:ascii="Times New Roman" w:hAnsi="Times New Roman" w:cs="Times New Roman"/>
          <w:sz w:val="24"/>
          <w:szCs w:val="24"/>
        </w:rPr>
        <w:t xml:space="preserve"> (physical or economic)</w:t>
      </w:r>
      <w:r w:rsidR="00EB7EB4" w:rsidRPr="00F36114">
        <w:rPr>
          <w:rFonts w:ascii="Times New Roman" w:hAnsi="Times New Roman" w:cs="Times New Roman"/>
          <w:sz w:val="24"/>
          <w:szCs w:val="24"/>
        </w:rPr>
        <w:t xml:space="preserve"> under §</w:t>
      </w:r>
      <w:r w:rsidR="00B7660F">
        <w:rPr>
          <w:rFonts w:ascii="Times New Roman" w:hAnsi="Times New Roman" w:cs="Times New Roman"/>
          <w:sz w:val="24"/>
          <w:szCs w:val="24"/>
        </w:rPr>
        <w:t>§</w:t>
      </w:r>
      <w:r w:rsidR="00EB7EB4" w:rsidRPr="00F36114">
        <w:rPr>
          <w:rFonts w:ascii="Times New Roman" w:hAnsi="Times New Roman" w:cs="Times New Roman"/>
          <w:sz w:val="24"/>
          <w:szCs w:val="24"/>
        </w:rPr>
        <w:t> </w:t>
      </w:r>
      <w:r w:rsidR="00B7660F">
        <w:rPr>
          <w:rFonts w:ascii="Times New Roman" w:hAnsi="Times New Roman" w:cs="Times New Roman"/>
          <w:sz w:val="24"/>
          <w:szCs w:val="24"/>
        </w:rPr>
        <w:t xml:space="preserve">25.503(g) and </w:t>
      </w:r>
      <w:r w:rsidR="00EB7EB4" w:rsidRPr="00F36114">
        <w:rPr>
          <w:rFonts w:ascii="Times New Roman" w:hAnsi="Times New Roman" w:cs="Times New Roman"/>
          <w:sz w:val="24"/>
          <w:szCs w:val="24"/>
        </w:rPr>
        <w:t xml:space="preserve">25.504 requires a finding that the particular resource had market power, which </w:t>
      </w:r>
      <w:r w:rsidR="00B7660F">
        <w:rPr>
          <w:rFonts w:ascii="Times New Roman" w:hAnsi="Times New Roman" w:cs="Times New Roman"/>
          <w:sz w:val="24"/>
          <w:szCs w:val="24"/>
        </w:rPr>
        <w:t>§25.504</w:t>
      </w:r>
      <w:r w:rsidR="00EB7EB4" w:rsidRPr="00F36114">
        <w:rPr>
          <w:rFonts w:ascii="Times New Roman" w:hAnsi="Times New Roman" w:cs="Times New Roman"/>
          <w:sz w:val="24"/>
          <w:szCs w:val="24"/>
        </w:rPr>
        <w:t xml:space="preserve"> defines as the “ability to control prices or exclude competition in the relevant market.”</w:t>
      </w:r>
      <w:r w:rsidR="00EB7EB4" w:rsidRPr="00F36114">
        <w:rPr>
          <w:rStyle w:val="FootnoteReference"/>
          <w:rFonts w:ascii="Times New Roman" w:hAnsi="Times New Roman" w:cs="Times New Roman"/>
          <w:sz w:val="24"/>
          <w:szCs w:val="24"/>
        </w:rPr>
        <w:footnoteReference w:id="26"/>
      </w:r>
      <w:r w:rsidR="00EB7EB4" w:rsidRPr="00F36114">
        <w:rPr>
          <w:rFonts w:ascii="Times New Roman" w:hAnsi="Times New Roman" w:cs="Times New Roman"/>
          <w:sz w:val="24"/>
          <w:szCs w:val="24"/>
        </w:rPr>
        <w:t xml:space="preserve"> The ancillary services quantities that ERCOT procures today, which presumably will be similar to the quantities procured under RTC, are significantly smaller than the pool of qualified resources to provide those services</w:t>
      </w:r>
      <w:r w:rsidRPr="00F36114">
        <w:rPr>
          <w:rFonts w:ascii="Times New Roman" w:hAnsi="Times New Roman" w:cs="Times New Roman"/>
          <w:sz w:val="24"/>
          <w:szCs w:val="24"/>
        </w:rPr>
        <w:t>.</w:t>
      </w:r>
      <w:r w:rsidR="00EB7EB4" w:rsidRPr="00F36114">
        <w:rPr>
          <w:rFonts w:ascii="Times New Roman" w:hAnsi="Times New Roman" w:cs="Times New Roman"/>
          <w:sz w:val="24"/>
          <w:szCs w:val="24"/>
        </w:rPr>
        <w:t xml:space="preserve"> </w:t>
      </w:r>
      <w:r w:rsidRPr="00F36114">
        <w:rPr>
          <w:rFonts w:ascii="Times New Roman" w:hAnsi="Times New Roman" w:cs="Times New Roman"/>
          <w:sz w:val="24"/>
          <w:szCs w:val="24"/>
        </w:rPr>
        <w:t>For example</w:t>
      </w:r>
      <w:r w:rsidR="00EB7EB4" w:rsidRPr="00F36114">
        <w:rPr>
          <w:rFonts w:ascii="Times New Roman" w:hAnsi="Times New Roman" w:cs="Times New Roman"/>
          <w:sz w:val="24"/>
          <w:szCs w:val="24"/>
        </w:rPr>
        <w:t>, in ERCOT’s March 6, 2019</w:t>
      </w:r>
      <w:r w:rsidR="00D23A78" w:rsidRPr="00F36114">
        <w:rPr>
          <w:rFonts w:ascii="Times New Roman" w:hAnsi="Times New Roman" w:cs="Times New Roman"/>
          <w:sz w:val="24"/>
          <w:szCs w:val="24"/>
        </w:rPr>
        <w:t xml:space="preserve"> RTC</w:t>
      </w:r>
      <w:r w:rsidR="00EB7EB4" w:rsidRPr="00F36114">
        <w:rPr>
          <w:rFonts w:ascii="Times New Roman" w:hAnsi="Times New Roman" w:cs="Times New Roman"/>
          <w:sz w:val="24"/>
          <w:szCs w:val="24"/>
        </w:rPr>
        <w:t xml:space="preserve"> workshop</w:t>
      </w:r>
      <w:r w:rsidR="00D23A78" w:rsidRPr="00F36114">
        <w:rPr>
          <w:rFonts w:ascii="Times New Roman" w:hAnsi="Times New Roman" w:cs="Times New Roman"/>
          <w:sz w:val="24"/>
          <w:szCs w:val="24"/>
        </w:rPr>
        <w:t xml:space="preserve"> materials</w:t>
      </w:r>
      <w:r w:rsidR="00EB7EB4" w:rsidRPr="00F36114">
        <w:rPr>
          <w:rFonts w:ascii="Times New Roman" w:hAnsi="Times New Roman" w:cs="Times New Roman"/>
          <w:sz w:val="24"/>
          <w:szCs w:val="24"/>
        </w:rPr>
        <w:t>, the total U</w:t>
      </w:r>
      <w:r w:rsidR="00FD7F13">
        <w:rPr>
          <w:rFonts w:ascii="Times New Roman" w:hAnsi="Times New Roman" w:cs="Times New Roman"/>
          <w:sz w:val="24"/>
          <w:szCs w:val="24"/>
        </w:rPr>
        <w:t xml:space="preserve">p </w:t>
      </w:r>
      <w:r w:rsidR="00EB7EB4" w:rsidRPr="00F36114">
        <w:rPr>
          <w:rFonts w:ascii="Times New Roman" w:hAnsi="Times New Roman" w:cs="Times New Roman"/>
          <w:sz w:val="24"/>
          <w:szCs w:val="24"/>
        </w:rPr>
        <w:t>R</w:t>
      </w:r>
      <w:r w:rsidR="00FD7F13">
        <w:rPr>
          <w:rFonts w:ascii="Times New Roman" w:hAnsi="Times New Roman" w:cs="Times New Roman"/>
          <w:sz w:val="24"/>
          <w:szCs w:val="24"/>
        </w:rPr>
        <w:t xml:space="preserve">egulation </w:t>
      </w:r>
      <w:r w:rsidR="00EB7EB4" w:rsidRPr="00F36114">
        <w:rPr>
          <w:rFonts w:ascii="Times New Roman" w:hAnsi="Times New Roman" w:cs="Times New Roman"/>
          <w:sz w:val="24"/>
          <w:szCs w:val="24"/>
        </w:rPr>
        <w:t>S</w:t>
      </w:r>
      <w:r w:rsidR="00FD7F13">
        <w:rPr>
          <w:rFonts w:ascii="Times New Roman" w:hAnsi="Times New Roman" w:cs="Times New Roman"/>
          <w:sz w:val="24"/>
          <w:szCs w:val="24"/>
        </w:rPr>
        <w:t>ervice</w:t>
      </w:r>
      <w:r w:rsidR="00BD1BD8">
        <w:rPr>
          <w:rFonts w:ascii="Times New Roman" w:hAnsi="Times New Roman" w:cs="Times New Roman"/>
          <w:sz w:val="24"/>
          <w:szCs w:val="24"/>
        </w:rPr>
        <w:t xml:space="preserve"> (URS)</w:t>
      </w:r>
      <w:r w:rsidR="00EB7EB4" w:rsidRPr="00F36114">
        <w:rPr>
          <w:rFonts w:ascii="Times New Roman" w:hAnsi="Times New Roman" w:cs="Times New Roman"/>
          <w:sz w:val="24"/>
          <w:szCs w:val="24"/>
        </w:rPr>
        <w:t xml:space="preserve"> quantity was 270 MW, </w:t>
      </w:r>
      <w:r w:rsidR="00F20F51" w:rsidRPr="00F36114">
        <w:rPr>
          <w:rFonts w:ascii="Times New Roman" w:hAnsi="Times New Roman" w:cs="Times New Roman"/>
          <w:sz w:val="24"/>
          <w:szCs w:val="24"/>
        </w:rPr>
        <w:t>the total R</w:t>
      </w:r>
      <w:r w:rsidR="00FD7F13">
        <w:rPr>
          <w:rFonts w:ascii="Times New Roman" w:hAnsi="Times New Roman" w:cs="Times New Roman"/>
          <w:sz w:val="24"/>
          <w:szCs w:val="24"/>
        </w:rPr>
        <w:t xml:space="preserve">esponsive </w:t>
      </w:r>
      <w:r w:rsidR="00F20F51" w:rsidRPr="00F36114">
        <w:rPr>
          <w:rFonts w:ascii="Times New Roman" w:hAnsi="Times New Roman" w:cs="Times New Roman"/>
          <w:sz w:val="24"/>
          <w:szCs w:val="24"/>
        </w:rPr>
        <w:t>R</w:t>
      </w:r>
      <w:r w:rsidR="00FD7F13">
        <w:rPr>
          <w:rFonts w:ascii="Times New Roman" w:hAnsi="Times New Roman" w:cs="Times New Roman"/>
          <w:sz w:val="24"/>
          <w:szCs w:val="24"/>
        </w:rPr>
        <w:t xml:space="preserve">eserve </w:t>
      </w:r>
      <w:r w:rsidR="00F20F51" w:rsidRPr="00F36114">
        <w:rPr>
          <w:rFonts w:ascii="Times New Roman" w:hAnsi="Times New Roman" w:cs="Times New Roman"/>
          <w:sz w:val="24"/>
          <w:szCs w:val="24"/>
        </w:rPr>
        <w:t>S</w:t>
      </w:r>
      <w:r w:rsidR="00FD7F13">
        <w:rPr>
          <w:rFonts w:ascii="Times New Roman" w:hAnsi="Times New Roman" w:cs="Times New Roman"/>
          <w:sz w:val="24"/>
          <w:szCs w:val="24"/>
        </w:rPr>
        <w:t>ervice</w:t>
      </w:r>
      <w:r w:rsidR="00BD1BD8">
        <w:rPr>
          <w:rFonts w:ascii="Times New Roman" w:hAnsi="Times New Roman" w:cs="Times New Roman"/>
          <w:sz w:val="24"/>
          <w:szCs w:val="24"/>
        </w:rPr>
        <w:t xml:space="preserve"> (RRS)</w:t>
      </w:r>
      <w:r w:rsidR="00F20F51" w:rsidRPr="00F36114">
        <w:rPr>
          <w:rFonts w:ascii="Times New Roman" w:hAnsi="Times New Roman" w:cs="Times New Roman"/>
          <w:sz w:val="24"/>
          <w:szCs w:val="24"/>
        </w:rPr>
        <w:t xml:space="preserve"> was 2,300 MW, and the total S</w:t>
      </w:r>
      <w:r w:rsidR="00FD7F13">
        <w:rPr>
          <w:rFonts w:ascii="Times New Roman" w:hAnsi="Times New Roman" w:cs="Times New Roman"/>
          <w:sz w:val="24"/>
          <w:szCs w:val="24"/>
        </w:rPr>
        <w:t xml:space="preserve">pinning </w:t>
      </w:r>
      <w:r w:rsidR="00F20F51" w:rsidRPr="00F36114">
        <w:rPr>
          <w:rFonts w:ascii="Times New Roman" w:hAnsi="Times New Roman" w:cs="Times New Roman"/>
          <w:sz w:val="24"/>
          <w:szCs w:val="24"/>
        </w:rPr>
        <w:t>O</w:t>
      </w:r>
      <w:r w:rsidR="00FD7F13">
        <w:rPr>
          <w:rFonts w:ascii="Times New Roman" w:hAnsi="Times New Roman" w:cs="Times New Roman"/>
          <w:sz w:val="24"/>
          <w:szCs w:val="24"/>
        </w:rPr>
        <w:t xml:space="preserve">perating </w:t>
      </w:r>
      <w:r w:rsidR="00F20F51" w:rsidRPr="00F36114">
        <w:rPr>
          <w:rFonts w:ascii="Times New Roman" w:hAnsi="Times New Roman" w:cs="Times New Roman"/>
          <w:sz w:val="24"/>
          <w:szCs w:val="24"/>
        </w:rPr>
        <w:t>R</w:t>
      </w:r>
      <w:r w:rsidR="00FD7F13">
        <w:rPr>
          <w:rFonts w:ascii="Times New Roman" w:hAnsi="Times New Roman" w:cs="Times New Roman"/>
          <w:sz w:val="24"/>
          <w:szCs w:val="24"/>
        </w:rPr>
        <w:t>eserves</w:t>
      </w:r>
      <w:r w:rsidR="00EC09C0" w:rsidRPr="00F36114">
        <w:rPr>
          <w:rFonts w:ascii="Times New Roman" w:hAnsi="Times New Roman" w:cs="Times New Roman"/>
          <w:sz w:val="24"/>
          <w:szCs w:val="24"/>
        </w:rPr>
        <w:t xml:space="preserve"> (i.e., E</w:t>
      </w:r>
      <w:r w:rsidR="00FD7F13">
        <w:rPr>
          <w:rFonts w:ascii="Times New Roman" w:hAnsi="Times New Roman" w:cs="Times New Roman"/>
          <w:sz w:val="24"/>
          <w:szCs w:val="24"/>
        </w:rPr>
        <w:t xml:space="preserve">RCOT </w:t>
      </w:r>
      <w:r w:rsidR="00EC09C0" w:rsidRPr="00F36114">
        <w:rPr>
          <w:rFonts w:ascii="Times New Roman" w:hAnsi="Times New Roman" w:cs="Times New Roman"/>
          <w:sz w:val="24"/>
          <w:szCs w:val="24"/>
        </w:rPr>
        <w:t>C</w:t>
      </w:r>
      <w:r w:rsidR="00FD7F13">
        <w:rPr>
          <w:rFonts w:ascii="Times New Roman" w:hAnsi="Times New Roman" w:cs="Times New Roman"/>
          <w:sz w:val="24"/>
          <w:szCs w:val="24"/>
        </w:rPr>
        <w:t xml:space="preserve">ontingency </w:t>
      </w:r>
      <w:r w:rsidR="00EC09C0" w:rsidRPr="00F36114">
        <w:rPr>
          <w:rFonts w:ascii="Times New Roman" w:hAnsi="Times New Roman" w:cs="Times New Roman"/>
          <w:sz w:val="24"/>
          <w:szCs w:val="24"/>
        </w:rPr>
        <w:t>R</w:t>
      </w:r>
      <w:r w:rsidR="00FD7F13">
        <w:rPr>
          <w:rFonts w:ascii="Times New Roman" w:hAnsi="Times New Roman" w:cs="Times New Roman"/>
          <w:sz w:val="24"/>
          <w:szCs w:val="24"/>
        </w:rPr>
        <w:t xml:space="preserve">eserve </w:t>
      </w:r>
      <w:r w:rsidR="00EC09C0" w:rsidRPr="00F36114">
        <w:rPr>
          <w:rFonts w:ascii="Times New Roman" w:hAnsi="Times New Roman" w:cs="Times New Roman"/>
          <w:sz w:val="24"/>
          <w:szCs w:val="24"/>
        </w:rPr>
        <w:t>S</w:t>
      </w:r>
      <w:r w:rsidR="00FD7F13">
        <w:rPr>
          <w:rFonts w:ascii="Times New Roman" w:hAnsi="Times New Roman" w:cs="Times New Roman"/>
          <w:sz w:val="24"/>
          <w:szCs w:val="24"/>
        </w:rPr>
        <w:t>ervice</w:t>
      </w:r>
      <w:r w:rsidR="00BD1BD8">
        <w:rPr>
          <w:rFonts w:ascii="Times New Roman" w:hAnsi="Times New Roman" w:cs="Times New Roman"/>
          <w:sz w:val="24"/>
          <w:szCs w:val="24"/>
        </w:rPr>
        <w:t xml:space="preserve"> (ECRS)</w:t>
      </w:r>
      <w:r w:rsidR="00EC09C0" w:rsidRPr="00F36114">
        <w:rPr>
          <w:rFonts w:ascii="Times New Roman" w:hAnsi="Times New Roman" w:cs="Times New Roman"/>
          <w:sz w:val="24"/>
          <w:szCs w:val="24"/>
        </w:rPr>
        <w:t xml:space="preserve"> plus N</w:t>
      </w:r>
      <w:r w:rsidR="00FD7F13">
        <w:rPr>
          <w:rFonts w:ascii="Times New Roman" w:hAnsi="Times New Roman" w:cs="Times New Roman"/>
          <w:sz w:val="24"/>
          <w:szCs w:val="24"/>
        </w:rPr>
        <w:t xml:space="preserve">on </w:t>
      </w:r>
      <w:r w:rsidR="00EC09C0" w:rsidRPr="00F36114">
        <w:rPr>
          <w:rFonts w:ascii="Times New Roman" w:hAnsi="Times New Roman" w:cs="Times New Roman"/>
          <w:sz w:val="24"/>
          <w:szCs w:val="24"/>
        </w:rPr>
        <w:t>S</w:t>
      </w:r>
      <w:r w:rsidR="00FD7F13">
        <w:rPr>
          <w:rFonts w:ascii="Times New Roman" w:hAnsi="Times New Roman" w:cs="Times New Roman"/>
          <w:sz w:val="24"/>
          <w:szCs w:val="24"/>
        </w:rPr>
        <w:t xml:space="preserve">pinning </w:t>
      </w:r>
      <w:r w:rsidR="00EC09C0" w:rsidRPr="00F36114">
        <w:rPr>
          <w:rFonts w:ascii="Times New Roman" w:hAnsi="Times New Roman" w:cs="Times New Roman"/>
          <w:sz w:val="24"/>
          <w:szCs w:val="24"/>
        </w:rPr>
        <w:t>R</w:t>
      </w:r>
      <w:r w:rsidR="00FD7F13">
        <w:rPr>
          <w:rFonts w:ascii="Times New Roman" w:hAnsi="Times New Roman" w:cs="Times New Roman"/>
          <w:sz w:val="24"/>
          <w:szCs w:val="24"/>
        </w:rPr>
        <w:t xml:space="preserve">eserve </w:t>
      </w:r>
      <w:r w:rsidR="00EC09C0" w:rsidRPr="00F36114">
        <w:rPr>
          <w:rFonts w:ascii="Times New Roman" w:hAnsi="Times New Roman" w:cs="Times New Roman"/>
          <w:sz w:val="24"/>
          <w:szCs w:val="24"/>
        </w:rPr>
        <w:t>S</w:t>
      </w:r>
      <w:r w:rsidR="00FD7F13">
        <w:rPr>
          <w:rFonts w:ascii="Times New Roman" w:hAnsi="Times New Roman" w:cs="Times New Roman"/>
          <w:sz w:val="24"/>
          <w:szCs w:val="24"/>
        </w:rPr>
        <w:t>ervice</w:t>
      </w:r>
      <w:r w:rsidR="00BD1BD8">
        <w:rPr>
          <w:rFonts w:ascii="Times New Roman" w:hAnsi="Times New Roman" w:cs="Times New Roman"/>
          <w:sz w:val="24"/>
          <w:szCs w:val="24"/>
        </w:rPr>
        <w:t xml:space="preserve"> (NSRS)</w:t>
      </w:r>
      <w:r w:rsidR="00EC09C0" w:rsidRPr="00F36114">
        <w:rPr>
          <w:rFonts w:ascii="Times New Roman" w:hAnsi="Times New Roman" w:cs="Times New Roman"/>
          <w:sz w:val="24"/>
          <w:szCs w:val="24"/>
        </w:rPr>
        <w:t>)</w:t>
      </w:r>
      <w:r w:rsidR="00F20F51" w:rsidRPr="00F36114">
        <w:rPr>
          <w:rFonts w:ascii="Times New Roman" w:hAnsi="Times New Roman" w:cs="Times New Roman"/>
          <w:sz w:val="24"/>
          <w:szCs w:val="24"/>
        </w:rPr>
        <w:t xml:space="preserve"> was 3,000 MW</w:t>
      </w:r>
      <w:r w:rsidRPr="00F36114">
        <w:rPr>
          <w:rFonts w:ascii="Times New Roman" w:hAnsi="Times New Roman" w:cs="Times New Roman"/>
          <w:sz w:val="24"/>
          <w:szCs w:val="24"/>
        </w:rPr>
        <w:t xml:space="preserve"> – a sum of 5,570 MW that pales in comparison to the amount of capacity in ERCOT</w:t>
      </w:r>
      <w:r w:rsidR="00F20F51" w:rsidRPr="00F36114">
        <w:rPr>
          <w:rFonts w:ascii="Times New Roman" w:hAnsi="Times New Roman" w:cs="Times New Roman"/>
          <w:sz w:val="24"/>
          <w:szCs w:val="24"/>
        </w:rPr>
        <w:t>. Further, with the implementation of NPRR 863, even more resources should be able to provide ancillary services, making the pool of eligible resources even larger.</w:t>
      </w:r>
      <w:r w:rsidR="00F20F51" w:rsidRPr="00F36114">
        <w:rPr>
          <w:rStyle w:val="FootnoteReference"/>
          <w:rFonts w:ascii="Times New Roman" w:hAnsi="Times New Roman" w:cs="Times New Roman"/>
          <w:sz w:val="24"/>
          <w:szCs w:val="24"/>
        </w:rPr>
        <w:footnoteReference w:id="27"/>
      </w:r>
      <w:r w:rsidR="00EB7EB4" w:rsidRPr="00F36114">
        <w:rPr>
          <w:rFonts w:ascii="Times New Roman" w:hAnsi="Times New Roman" w:cs="Times New Roman"/>
          <w:sz w:val="24"/>
          <w:szCs w:val="24"/>
        </w:rPr>
        <w:t xml:space="preserve"> </w:t>
      </w:r>
      <w:r w:rsidR="00EC09C0" w:rsidRPr="00F36114">
        <w:rPr>
          <w:rFonts w:ascii="Times New Roman" w:hAnsi="Times New Roman" w:cs="Times New Roman"/>
          <w:sz w:val="24"/>
          <w:szCs w:val="24"/>
        </w:rPr>
        <w:t xml:space="preserve">In other words, it seems unlikely that a resource would be able to “control prices” or “exclude competition” in an ancillary services market. </w:t>
      </w:r>
    </w:p>
    <w:p w14:paraId="5BCFD82E" w14:textId="602F3F29" w:rsidR="009255DD" w:rsidRPr="00F36114" w:rsidRDefault="00CC761B" w:rsidP="009255DD">
      <w:pPr>
        <w:spacing w:line="360" w:lineRule="auto"/>
        <w:ind w:firstLine="720"/>
        <w:jc w:val="both"/>
        <w:rPr>
          <w:rFonts w:ascii="Times New Roman" w:hAnsi="Times New Roman" w:cs="Times New Roman"/>
          <w:sz w:val="24"/>
          <w:szCs w:val="24"/>
        </w:rPr>
      </w:pPr>
      <w:r w:rsidRPr="00F36114">
        <w:rPr>
          <w:rFonts w:ascii="Times New Roman" w:hAnsi="Times New Roman" w:cs="Times New Roman"/>
          <w:sz w:val="24"/>
          <w:szCs w:val="24"/>
        </w:rPr>
        <w:lastRenderedPageBreak/>
        <w:t>Second</w:t>
      </w:r>
      <w:r w:rsidR="00EC09C0" w:rsidRPr="00F36114">
        <w:rPr>
          <w:rFonts w:ascii="Times New Roman" w:hAnsi="Times New Roman" w:cs="Times New Roman"/>
          <w:sz w:val="24"/>
          <w:szCs w:val="24"/>
        </w:rPr>
        <w:t xml:space="preserve">, economic withholding under </w:t>
      </w:r>
      <w:r w:rsidR="00DE25F8">
        <w:rPr>
          <w:rFonts w:ascii="Times New Roman" w:hAnsi="Times New Roman" w:cs="Times New Roman"/>
          <w:sz w:val="24"/>
          <w:szCs w:val="24"/>
        </w:rPr>
        <w:t>§</w:t>
      </w:r>
      <w:r w:rsidR="00EC09C0" w:rsidRPr="00F36114">
        <w:rPr>
          <w:rFonts w:ascii="Times New Roman" w:hAnsi="Times New Roman" w:cs="Times New Roman"/>
          <w:sz w:val="24"/>
          <w:szCs w:val="24"/>
        </w:rPr>
        <w:t>§ </w:t>
      </w:r>
      <w:r w:rsidR="00DE25F8">
        <w:rPr>
          <w:rFonts w:ascii="Times New Roman" w:hAnsi="Times New Roman" w:cs="Times New Roman"/>
          <w:sz w:val="24"/>
          <w:szCs w:val="24"/>
        </w:rPr>
        <w:t xml:space="preserve">25.503(g) and </w:t>
      </w:r>
      <w:r w:rsidR="00EC09C0" w:rsidRPr="00F36114">
        <w:rPr>
          <w:rFonts w:ascii="Times New Roman" w:hAnsi="Times New Roman" w:cs="Times New Roman"/>
          <w:sz w:val="24"/>
          <w:szCs w:val="24"/>
        </w:rPr>
        <w:t>25.504 requires a finding that a resource priced its services “substantially above its marginal cost.”</w:t>
      </w:r>
      <w:r w:rsidR="00EC09C0" w:rsidRPr="00F36114">
        <w:rPr>
          <w:rStyle w:val="FootnoteReference"/>
          <w:rFonts w:ascii="Times New Roman" w:hAnsi="Times New Roman" w:cs="Times New Roman"/>
          <w:sz w:val="24"/>
          <w:szCs w:val="24"/>
        </w:rPr>
        <w:footnoteReference w:id="28"/>
      </w:r>
      <w:r w:rsidR="00EC09C0" w:rsidRPr="00F36114">
        <w:rPr>
          <w:rFonts w:ascii="Times New Roman" w:hAnsi="Times New Roman" w:cs="Times New Roman"/>
          <w:sz w:val="24"/>
          <w:szCs w:val="24"/>
        </w:rPr>
        <w:t xml:space="preserve"> It would be difficult to determine what constitutes “marginal cost” in this c</w:t>
      </w:r>
      <w:r w:rsidR="00D23A78" w:rsidRPr="00F36114">
        <w:rPr>
          <w:rFonts w:ascii="Times New Roman" w:hAnsi="Times New Roman" w:cs="Times New Roman"/>
          <w:sz w:val="24"/>
          <w:szCs w:val="24"/>
        </w:rPr>
        <w:t>ontext</w:t>
      </w:r>
      <w:r w:rsidR="00EC09C0" w:rsidRPr="00F36114">
        <w:rPr>
          <w:rFonts w:ascii="Times New Roman" w:hAnsi="Times New Roman" w:cs="Times New Roman"/>
          <w:sz w:val="24"/>
          <w:szCs w:val="24"/>
        </w:rPr>
        <w:t>. ERCOT’s March 6, 2019 workshop materials and a prior analysis by the IMM</w:t>
      </w:r>
      <w:r w:rsidR="00093B3F" w:rsidRPr="00F36114">
        <w:rPr>
          <w:rStyle w:val="FootnoteReference"/>
          <w:rFonts w:ascii="Times New Roman" w:hAnsi="Times New Roman" w:cs="Times New Roman"/>
          <w:sz w:val="24"/>
          <w:szCs w:val="24"/>
        </w:rPr>
        <w:footnoteReference w:id="29"/>
      </w:r>
      <w:r w:rsidR="00EC09C0" w:rsidRPr="00F36114">
        <w:rPr>
          <w:rFonts w:ascii="Times New Roman" w:hAnsi="Times New Roman" w:cs="Times New Roman"/>
          <w:sz w:val="24"/>
          <w:szCs w:val="24"/>
        </w:rPr>
        <w:t xml:space="preserve"> assumed that resources would offer ancillary services in the RTC construct for $0</w:t>
      </w:r>
      <w:r w:rsidR="00093B3F" w:rsidRPr="00F36114">
        <w:rPr>
          <w:rFonts w:ascii="Times New Roman" w:hAnsi="Times New Roman" w:cs="Times New Roman"/>
          <w:sz w:val="24"/>
          <w:szCs w:val="24"/>
        </w:rPr>
        <w:t xml:space="preserve"> in the RTM</w:t>
      </w:r>
      <w:r w:rsidR="00EC09C0" w:rsidRPr="00F36114">
        <w:rPr>
          <w:rFonts w:ascii="Times New Roman" w:hAnsi="Times New Roman" w:cs="Times New Roman"/>
          <w:sz w:val="24"/>
          <w:szCs w:val="24"/>
        </w:rPr>
        <w:t xml:space="preserve">, based </w:t>
      </w:r>
      <w:r w:rsidR="00093B3F" w:rsidRPr="00F36114">
        <w:rPr>
          <w:rFonts w:ascii="Times New Roman" w:hAnsi="Times New Roman" w:cs="Times New Roman"/>
          <w:sz w:val="24"/>
          <w:szCs w:val="24"/>
        </w:rPr>
        <w:t>on the apparent assumption</w:t>
      </w:r>
      <w:r w:rsidR="00EC09C0" w:rsidRPr="00F36114">
        <w:rPr>
          <w:rFonts w:ascii="Times New Roman" w:hAnsi="Times New Roman" w:cs="Times New Roman"/>
          <w:sz w:val="24"/>
          <w:szCs w:val="24"/>
        </w:rPr>
        <w:t xml:space="preserve"> that </w:t>
      </w:r>
      <w:r w:rsidR="00093B3F" w:rsidRPr="00F36114">
        <w:rPr>
          <w:rFonts w:ascii="Times New Roman" w:hAnsi="Times New Roman" w:cs="Times New Roman"/>
          <w:sz w:val="24"/>
          <w:szCs w:val="24"/>
        </w:rPr>
        <w:t>the only cost</w:t>
      </w:r>
      <w:r w:rsidR="00EC09C0" w:rsidRPr="00F36114">
        <w:rPr>
          <w:rFonts w:ascii="Times New Roman" w:hAnsi="Times New Roman" w:cs="Times New Roman"/>
          <w:sz w:val="24"/>
          <w:szCs w:val="24"/>
        </w:rPr>
        <w:t xml:space="preserve"> in real-time to </w:t>
      </w:r>
      <w:r w:rsidR="00B1047D">
        <w:rPr>
          <w:rFonts w:ascii="Times New Roman" w:hAnsi="Times New Roman" w:cs="Times New Roman"/>
          <w:sz w:val="24"/>
          <w:szCs w:val="24"/>
        </w:rPr>
        <w:t xml:space="preserve">provide </w:t>
      </w:r>
      <w:r w:rsidR="00EC09C0" w:rsidRPr="00F36114">
        <w:rPr>
          <w:rFonts w:ascii="Times New Roman" w:hAnsi="Times New Roman" w:cs="Times New Roman"/>
          <w:sz w:val="24"/>
          <w:szCs w:val="24"/>
        </w:rPr>
        <w:t>ancillary service</w:t>
      </w:r>
      <w:r w:rsidR="00093B3F" w:rsidRPr="00F36114">
        <w:rPr>
          <w:rFonts w:ascii="Times New Roman" w:hAnsi="Times New Roman" w:cs="Times New Roman"/>
          <w:sz w:val="24"/>
          <w:szCs w:val="24"/>
        </w:rPr>
        <w:t>s</w:t>
      </w:r>
      <w:r w:rsidR="00EC09C0" w:rsidRPr="00F36114">
        <w:rPr>
          <w:rFonts w:ascii="Times New Roman" w:hAnsi="Times New Roman" w:cs="Times New Roman"/>
          <w:sz w:val="24"/>
          <w:szCs w:val="24"/>
        </w:rPr>
        <w:t xml:space="preserve"> </w:t>
      </w:r>
      <w:r w:rsidR="00093B3F" w:rsidRPr="00F36114">
        <w:rPr>
          <w:rFonts w:ascii="Times New Roman" w:hAnsi="Times New Roman" w:cs="Times New Roman"/>
          <w:sz w:val="24"/>
          <w:szCs w:val="24"/>
        </w:rPr>
        <w:t xml:space="preserve">is the lost opportunity cost, which would already be reflected in the MCPC. </w:t>
      </w:r>
      <w:r w:rsidRPr="00F36114">
        <w:rPr>
          <w:rFonts w:ascii="Times New Roman" w:hAnsi="Times New Roman" w:cs="Times New Roman"/>
          <w:sz w:val="24"/>
          <w:szCs w:val="24"/>
        </w:rPr>
        <w:t xml:space="preserve">TCPA disagrees with this </w:t>
      </w:r>
      <w:r w:rsidR="00093B3F" w:rsidRPr="00F36114">
        <w:rPr>
          <w:rFonts w:ascii="Times New Roman" w:hAnsi="Times New Roman" w:cs="Times New Roman"/>
          <w:sz w:val="24"/>
          <w:szCs w:val="24"/>
        </w:rPr>
        <w:t>assumption,</w:t>
      </w:r>
      <w:r w:rsidR="00D1447F">
        <w:rPr>
          <w:rFonts w:ascii="Times New Roman" w:hAnsi="Times New Roman" w:cs="Times New Roman"/>
          <w:sz w:val="24"/>
          <w:szCs w:val="24"/>
        </w:rPr>
        <w:t xml:space="preserve"> </w:t>
      </w:r>
      <w:r w:rsidR="00093B3F" w:rsidRPr="00F36114">
        <w:rPr>
          <w:rFonts w:ascii="Times New Roman" w:hAnsi="Times New Roman" w:cs="Times New Roman"/>
          <w:sz w:val="24"/>
          <w:szCs w:val="24"/>
        </w:rPr>
        <w:t xml:space="preserve">because there are real costs to making a resource ready and available to provide ancillary services in real-time </w:t>
      </w:r>
      <w:r w:rsidR="00B1047D">
        <w:rPr>
          <w:rFonts w:ascii="Times New Roman" w:hAnsi="Times New Roman" w:cs="Times New Roman"/>
          <w:sz w:val="24"/>
          <w:szCs w:val="24"/>
        </w:rPr>
        <w:t xml:space="preserve">and </w:t>
      </w:r>
      <w:r w:rsidR="00093B3F" w:rsidRPr="00F36114">
        <w:rPr>
          <w:rFonts w:ascii="Times New Roman" w:hAnsi="Times New Roman" w:cs="Times New Roman"/>
          <w:sz w:val="24"/>
          <w:szCs w:val="24"/>
        </w:rPr>
        <w:t xml:space="preserve">a resource </w:t>
      </w:r>
      <w:r w:rsidR="00B1047D">
        <w:rPr>
          <w:rFonts w:ascii="Times New Roman" w:hAnsi="Times New Roman" w:cs="Times New Roman"/>
          <w:sz w:val="24"/>
          <w:szCs w:val="24"/>
        </w:rPr>
        <w:t xml:space="preserve">will rationally </w:t>
      </w:r>
      <w:r w:rsidR="00093B3F" w:rsidRPr="00F36114">
        <w:rPr>
          <w:rFonts w:ascii="Times New Roman" w:hAnsi="Times New Roman" w:cs="Times New Roman"/>
          <w:sz w:val="24"/>
          <w:szCs w:val="24"/>
        </w:rPr>
        <w:t xml:space="preserve">reflect </w:t>
      </w:r>
      <w:r w:rsidR="00B1047D">
        <w:rPr>
          <w:rFonts w:ascii="Times New Roman" w:hAnsi="Times New Roman" w:cs="Times New Roman"/>
          <w:sz w:val="24"/>
          <w:szCs w:val="24"/>
        </w:rPr>
        <w:t xml:space="preserve">these costs </w:t>
      </w:r>
      <w:r w:rsidR="00093B3F" w:rsidRPr="00F36114">
        <w:rPr>
          <w:rFonts w:ascii="Times New Roman" w:hAnsi="Times New Roman" w:cs="Times New Roman"/>
          <w:sz w:val="24"/>
          <w:szCs w:val="24"/>
        </w:rPr>
        <w:t xml:space="preserve">in its RTM ancillary services offer. </w:t>
      </w:r>
      <w:r w:rsidRPr="00F36114">
        <w:rPr>
          <w:rFonts w:ascii="Times New Roman" w:hAnsi="Times New Roman" w:cs="Times New Roman"/>
          <w:sz w:val="24"/>
          <w:szCs w:val="24"/>
        </w:rPr>
        <w:t xml:space="preserve">Furthermore, ancillary services generally receive a greater degree of regulatory scrutiny when deployed, which drives additional </w:t>
      </w:r>
      <w:r w:rsidR="00E96793">
        <w:rPr>
          <w:rFonts w:ascii="Times New Roman" w:hAnsi="Times New Roman" w:cs="Times New Roman"/>
          <w:sz w:val="24"/>
          <w:szCs w:val="24"/>
        </w:rPr>
        <w:t xml:space="preserve">compliance </w:t>
      </w:r>
      <w:r w:rsidRPr="00F36114">
        <w:rPr>
          <w:rFonts w:ascii="Times New Roman" w:hAnsi="Times New Roman" w:cs="Times New Roman"/>
          <w:sz w:val="24"/>
          <w:szCs w:val="24"/>
        </w:rPr>
        <w:t xml:space="preserve">risks and costs associated with the provision of those services. </w:t>
      </w:r>
      <w:r w:rsidR="00093B3F" w:rsidRPr="00F36114">
        <w:rPr>
          <w:rFonts w:ascii="Times New Roman" w:hAnsi="Times New Roman" w:cs="Times New Roman"/>
          <w:sz w:val="24"/>
          <w:szCs w:val="24"/>
        </w:rPr>
        <w:t xml:space="preserve">In other words, unlike in the energy context (where “marginal costs” </w:t>
      </w:r>
      <w:r w:rsidRPr="00F36114">
        <w:rPr>
          <w:rFonts w:ascii="Times New Roman" w:hAnsi="Times New Roman" w:cs="Times New Roman"/>
          <w:sz w:val="24"/>
          <w:szCs w:val="24"/>
        </w:rPr>
        <w:t xml:space="preserve">can be generally approximated based on </w:t>
      </w:r>
      <w:r w:rsidR="00093B3F" w:rsidRPr="00F36114">
        <w:rPr>
          <w:rFonts w:ascii="Times New Roman" w:hAnsi="Times New Roman" w:cs="Times New Roman"/>
          <w:sz w:val="24"/>
          <w:szCs w:val="24"/>
        </w:rPr>
        <w:t>fuel costs</w:t>
      </w:r>
      <w:r w:rsidRPr="00F36114">
        <w:rPr>
          <w:rFonts w:ascii="Times New Roman" w:hAnsi="Times New Roman" w:cs="Times New Roman"/>
          <w:sz w:val="24"/>
          <w:szCs w:val="24"/>
        </w:rPr>
        <w:t>, heat rates, and variable O&amp;M</w:t>
      </w:r>
      <w:r w:rsidR="00093B3F" w:rsidRPr="00F36114">
        <w:rPr>
          <w:rFonts w:ascii="Times New Roman" w:hAnsi="Times New Roman" w:cs="Times New Roman"/>
          <w:sz w:val="24"/>
          <w:szCs w:val="24"/>
        </w:rPr>
        <w:t xml:space="preserve">), it is more difficult to accurately gauge what a resource’s marginal costs </w:t>
      </w:r>
      <w:r w:rsidRPr="00F36114">
        <w:rPr>
          <w:rFonts w:ascii="Times New Roman" w:hAnsi="Times New Roman" w:cs="Times New Roman"/>
          <w:sz w:val="24"/>
          <w:szCs w:val="24"/>
        </w:rPr>
        <w:t xml:space="preserve">are for </w:t>
      </w:r>
      <w:r w:rsidR="00093B3F" w:rsidRPr="00F36114">
        <w:rPr>
          <w:rFonts w:ascii="Times New Roman" w:hAnsi="Times New Roman" w:cs="Times New Roman"/>
          <w:sz w:val="24"/>
          <w:szCs w:val="24"/>
        </w:rPr>
        <w:t>offer</w:t>
      </w:r>
      <w:r w:rsidRPr="00F36114">
        <w:rPr>
          <w:rFonts w:ascii="Times New Roman" w:hAnsi="Times New Roman" w:cs="Times New Roman"/>
          <w:sz w:val="24"/>
          <w:szCs w:val="24"/>
        </w:rPr>
        <w:t>ing</w:t>
      </w:r>
      <w:r w:rsidR="00093B3F" w:rsidRPr="00F36114">
        <w:rPr>
          <w:rFonts w:ascii="Times New Roman" w:hAnsi="Times New Roman" w:cs="Times New Roman"/>
          <w:sz w:val="24"/>
          <w:szCs w:val="24"/>
        </w:rPr>
        <w:t xml:space="preserve"> ancillary services in the RTM, making allegations of economic withholding problematic in this context.</w:t>
      </w:r>
    </w:p>
    <w:p w14:paraId="4FA5362D" w14:textId="0FAB8F6E" w:rsidR="001A2ED7" w:rsidRPr="00F36114" w:rsidRDefault="00093B3F" w:rsidP="009255DD">
      <w:pPr>
        <w:spacing w:line="360" w:lineRule="auto"/>
        <w:ind w:firstLine="720"/>
        <w:jc w:val="both"/>
        <w:rPr>
          <w:rFonts w:ascii="Times New Roman" w:hAnsi="Times New Roman" w:cs="Times New Roman"/>
          <w:sz w:val="24"/>
          <w:szCs w:val="24"/>
        </w:rPr>
      </w:pPr>
      <w:r w:rsidRPr="00F36114">
        <w:rPr>
          <w:rFonts w:ascii="Times New Roman" w:hAnsi="Times New Roman" w:cs="Times New Roman"/>
          <w:sz w:val="24"/>
          <w:szCs w:val="24"/>
        </w:rPr>
        <w:t xml:space="preserve">With that said, </w:t>
      </w:r>
      <w:r w:rsidR="00B009F0" w:rsidRPr="00F36114">
        <w:rPr>
          <w:rFonts w:ascii="Times New Roman" w:hAnsi="Times New Roman" w:cs="Times New Roman"/>
          <w:sz w:val="24"/>
          <w:szCs w:val="24"/>
        </w:rPr>
        <w:t xml:space="preserve">regardless of whether </w:t>
      </w:r>
      <w:r w:rsidRPr="00F36114">
        <w:rPr>
          <w:rFonts w:ascii="Times New Roman" w:hAnsi="Times New Roman" w:cs="Times New Roman"/>
          <w:sz w:val="24"/>
          <w:szCs w:val="24"/>
        </w:rPr>
        <w:t xml:space="preserve">the Commission </w:t>
      </w:r>
      <w:r w:rsidR="00B009F0" w:rsidRPr="00F36114">
        <w:rPr>
          <w:rFonts w:ascii="Times New Roman" w:hAnsi="Times New Roman" w:cs="Times New Roman"/>
          <w:sz w:val="24"/>
          <w:szCs w:val="24"/>
        </w:rPr>
        <w:t>c</w:t>
      </w:r>
      <w:r w:rsidRPr="00F36114">
        <w:rPr>
          <w:rFonts w:ascii="Times New Roman" w:hAnsi="Times New Roman" w:cs="Times New Roman"/>
          <w:sz w:val="24"/>
          <w:szCs w:val="24"/>
        </w:rPr>
        <w:t>onclude</w:t>
      </w:r>
      <w:r w:rsidR="00B009F0" w:rsidRPr="00F36114">
        <w:rPr>
          <w:rFonts w:ascii="Times New Roman" w:hAnsi="Times New Roman" w:cs="Times New Roman"/>
          <w:sz w:val="24"/>
          <w:szCs w:val="24"/>
        </w:rPr>
        <w:t>s</w:t>
      </w:r>
      <w:r w:rsidRPr="00F36114">
        <w:rPr>
          <w:rFonts w:ascii="Times New Roman" w:hAnsi="Times New Roman" w:cs="Times New Roman"/>
          <w:sz w:val="24"/>
          <w:szCs w:val="24"/>
        </w:rPr>
        <w:t xml:space="preserve"> that the withholding prohibitions in §</w:t>
      </w:r>
      <w:r w:rsidR="00DE25F8">
        <w:rPr>
          <w:rFonts w:ascii="Times New Roman" w:hAnsi="Times New Roman" w:cs="Times New Roman"/>
          <w:sz w:val="24"/>
          <w:szCs w:val="24"/>
        </w:rPr>
        <w:t>§</w:t>
      </w:r>
      <w:r w:rsidRPr="00F36114">
        <w:rPr>
          <w:rFonts w:ascii="Times New Roman" w:hAnsi="Times New Roman" w:cs="Times New Roman"/>
          <w:sz w:val="24"/>
          <w:szCs w:val="24"/>
        </w:rPr>
        <w:t> </w:t>
      </w:r>
      <w:r w:rsidR="00DE25F8">
        <w:rPr>
          <w:rFonts w:ascii="Times New Roman" w:hAnsi="Times New Roman" w:cs="Times New Roman"/>
          <w:sz w:val="24"/>
          <w:szCs w:val="24"/>
        </w:rPr>
        <w:t xml:space="preserve">25.503(g) and </w:t>
      </w:r>
      <w:r w:rsidRPr="00F36114">
        <w:rPr>
          <w:rFonts w:ascii="Times New Roman" w:hAnsi="Times New Roman" w:cs="Times New Roman"/>
          <w:sz w:val="24"/>
          <w:szCs w:val="24"/>
        </w:rPr>
        <w:t>25.504</w:t>
      </w:r>
      <w:r w:rsidR="00790C5E" w:rsidRPr="00F36114">
        <w:rPr>
          <w:rFonts w:ascii="Times New Roman" w:hAnsi="Times New Roman" w:cs="Times New Roman"/>
          <w:sz w:val="24"/>
          <w:szCs w:val="24"/>
        </w:rPr>
        <w:t>(d)</w:t>
      </w:r>
      <w:r w:rsidRPr="00F36114">
        <w:rPr>
          <w:rFonts w:ascii="Times New Roman" w:hAnsi="Times New Roman" w:cs="Times New Roman"/>
          <w:sz w:val="24"/>
          <w:szCs w:val="24"/>
        </w:rPr>
        <w:t xml:space="preserve"> </w:t>
      </w:r>
      <w:r w:rsidR="005A6480" w:rsidRPr="00F36114">
        <w:rPr>
          <w:rFonts w:ascii="Times New Roman" w:hAnsi="Times New Roman" w:cs="Times New Roman"/>
          <w:sz w:val="24"/>
          <w:szCs w:val="24"/>
        </w:rPr>
        <w:t xml:space="preserve">should </w:t>
      </w:r>
      <w:r w:rsidRPr="00F36114">
        <w:rPr>
          <w:rFonts w:ascii="Times New Roman" w:hAnsi="Times New Roman" w:cs="Times New Roman"/>
          <w:sz w:val="24"/>
          <w:szCs w:val="24"/>
        </w:rPr>
        <w:t xml:space="preserve">apply to </w:t>
      </w:r>
      <w:r w:rsidR="00B009F0" w:rsidRPr="00F36114">
        <w:rPr>
          <w:rFonts w:ascii="Times New Roman" w:hAnsi="Times New Roman" w:cs="Times New Roman"/>
          <w:sz w:val="24"/>
          <w:szCs w:val="24"/>
        </w:rPr>
        <w:t xml:space="preserve">RTM </w:t>
      </w:r>
      <w:r w:rsidRPr="00F36114">
        <w:rPr>
          <w:rFonts w:ascii="Times New Roman" w:hAnsi="Times New Roman" w:cs="Times New Roman"/>
          <w:sz w:val="24"/>
          <w:szCs w:val="24"/>
        </w:rPr>
        <w:t xml:space="preserve">ancillary services offers in the </w:t>
      </w:r>
      <w:r w:rsidR="00B009F0" w:rsidRPr="00F36114">
        <w:rPr>
          <w:rFonts w:ascii="Times New Roman" w:hAnsi="Times New Roman" w:cs="Times New Roman"/>
          <w:sz w:val="24"/>
          <w:szCs w:val="24"/>
        </w:rPr>
        <w:t>RTC construct</w:t>
      </w:r>
      <w:r w:rsidRPr="00F36114">
        <w:rPr>
          <w:rFonts w:ascii="Times New Roman" w:hAnsi="Times New Roman" w:cs="Times New Roman"/>
          <w:sz w:val="24"/>
          <w:szCs w:val="24"/>
        </w:rPr>
        <w:t xml:space="preserve">, the </w:t>
      </w:r>
      <w:r w:rsidR="00B009F0" w:rsidRPr="00F36114">
        <w:rPr>
          <w:rFonts w:ascii="Times New Roman" w:hAnsi="Times New Roman" w:cs="Times New Roman"/>
          <w:sz w:val="24"/>
          <w:szCs w:val="24"/>
        </w:rPr>
        <w:t>Commission should</w:t>
      </w:r>
      <w:r w:rsidRPr="00F36114">
        <w:rPr>
          <w:rFonts w:ascii="Times New Roman" w:hAnsi="Times New Roman" w:cs="Times New Roman"/>
          <w:sz w:val="24"/>
          <w:szCs w:val="24"/>
        </w:rPr>
        <w:t xml:space="preserve"> continue to apply the “small fish” </w:t>
      </w:r>
      <w:r w:rsidR="00CC761B" w:rsidRPr="00F36114">
        <w:rPr>
          <w:rFonts w:ascii="Times New Roman" w:hAnsi="Times New Roman" w:cs="Times New Roman"/>
          <w:sz w:val="24"/>
          <w:szCs w:val="24"/>
        </w:rPr>
        <w:t xml:space="preserve">policy </w:t>
      </w:r>
      <w:r w:rsidRPr="00F36114">
        <w:rPr>
          <w:rFonts w:ascii="Times New Roman" w:hAnsi="Times New Roman" w:cs="Times New Roman"/>
          <w:sz w:val="24"/>
          <w:szCs w:val="24"/>
        </w:rPr>
        <w:t xml:space="preserve">in § 25.504(c), which </w:t>
      </w:r>
      <w:r w:rsidR="00CC761B" w:rsidRPr="00F36114">
        <w:rPr>
          <w:rFonts w:ascii="Times New Roman" w:hAnsi="Times New Roman" w:cs="Times New Roman"/>
          <w:sz w:val="24"/>
          <w:szCs w:val="24"/>
        </w:rPr>
        <w:t xml:space="preserve">deems generation entities that control less than 5% of the installed generation capacity in ERCOT to not have market power and in turn generally </w:t>
      </w:r>
      <w:r w:rsidRPr="00F36114">
        <w:rPr>
          <w:rFonts w:ascii="Times New Roman" w:hAnsi="Times New Roman" w:cs="Times New Roman"/>
          <w:sz w:val="24"/>
          <w:szCs w:val="24"/>
        </w:rPr>
        <w:t xml:space="preserve">exempts </w:t>
      </w:r>
      <w:r w:rsidR="006D76B0" w:rsidRPr="00F36114">
        <w:rPr>
          <w:rFonts w:ascii="Times New Roman" w:hAnsi="Times New Roman" w:cs="Times New Roman"/>
          <w:sz w:val="24"/>
          <w:szCs w:val="24"/>
        </w:rPr>
        <w:t xml:space="preserve">them </w:t>
      </w:r>
      <w:r w:rsidRPr="00F36114">
        <w:rPr>
          <w:rFonts w:ascii="Times New Roman" w:hAnsi="Times New Roman" w:cs="Times New Roman"/>
          <w:sz w:val="24"/>
          <w:szCs w:val="24"/>
        </w:rPr>
        <w:t>from market power abuse allegations</w:t>
      </w:r>
      <w:r w:rsidR="00B009F0" w:rsidRPr="00F36114">
        <w:rPr>
          <w:rFonts w:ascii="Times New Roman" w:hAnsi="Times New Roman" w:cs="Times New Roman"/>
          <w:sz w:val="24"/>
          <w:szCs w:val="24"/>
        </w:rPr>
        <w:t xml:space="preserve"> (including withholding claims under § 25.504(d) and the more general market power abuse prohibition in 16 TAC § 25.503(</w:t>
      </w:r>
      <w:r w:rsidR="00B05998">
        <w:rPr>
          <w:rFonts w:ascii="Times New Roman" w:hAnsi="Times New Roman" w:cs="Times New Roman"/>
          <w:sz w:val="24"/>
          <w:szCs w:val="24"/>
        </w:rPr>
        <w:t>g</w:t>
      </w:r>
      <w:r w:rsidR="00B009F0" w:rsidRPr="00F36114">
        <w:rPr>
          <w:rFonts w:ascii="Times New Roman" w:hAnsi="Times New Roman" w:cs="Times New Roman"/>
          <w:sz w:val="24"/>
          <w:szCs w:val="24"/>
        </w:rPr>
        <w:t xml:space="preserve">)). The “small fish” exemption should be </w:t>
      </w:r>
      <w:r w:rsidR="00CC761B" w:rsidRPr="00F36114">
        <w:rPr>
          <w:rFonts w:ascii="Times New Roman" w:hAnsi="Times New Roman" w:cs="Times New Roman"/>
          <w:sz w:val="24"/>
          <w:szCs w:val="24"/>
        </w:rPr>
        <w:t xml:space="preserve">calculated the same for energy and ancillary services as it is today, </w:t>
      </w:r>
      <w:r w:rsidR="00B009F0" w:rsidRPr="00F36114">
        <w:rPr>
          <w:rFonts w:ascii="Times New Roman" w:hAnsi="Times New Roman" w:cs="Times New Roman"/>
          <w:sz w:val="24"/>
          <w:szCs w:val="24"/>
        </w:rPr>
        <w:t>based on the total capacity controlled by a resource as compared to the total installed generation capacity in ERCOT</w:t>
      </w:r>
      <w:r w:rsidR="00CC761B" w:rsidRPr="00F36114">
        <w:rPr>
          <w:rFonts w:ascii="Times New Roman" w:hAnsi="Times New Roman" w:cs="Times New Roman"/>
          <w:sz w:val="24"/>
          <w:szCs w:val="24"/>
        </w:rPr>
        <w:t xml:space="preserve">. There does not appear to be a clear alternative – </w:t>
      </w:r>
      <w:r w:rsidR="00B009F0" w:rsidRPr="00F36114">
        <w:rPr>
          <w:rFonts w:ascii="Times New Roman" w:hAnsi="Times New Roman" w:cs="Times New Roman"/>
          <w:sz w:val="24"/>
          <w:szCs w:val="24"/>
        </w:rPr>
        <w:t xml:space="preserve">for example, basing it on whether a resource controls 5% of the relevant ancillary services market in any given </w:t>
      </w:r>
      <w:r w:rsidR="00A82FC2" w:rsidRPr="00F36114">
        <w:rPr>
          <w:rFonts w:ascii="Times New Roman" w:hAnsi="Times New Roman" w:cs="Times New Roman"/>
          <w:sz w:val="24"/>
          <w:szCs w:val="24"/>
        </w:rPr>
        <w:t>five minute interval in the RTM</w:t>
      </w:r>
      <w:r w:rsidR="00B009F0" w:rsidRPr="00F36114">
        <w:rPr>
          <w:rFonts w:ascii="Times New Roman" w:hAnsi="Times New Roman" w:cs="Times New Roman"/>
          <w:sz w:val="24"/>
          <w:szCs w:val="24"/>
        </w:rPr>
        <w:t xml:space="preserve"> would be practically </w:t>
      </w:r>
      <w:r w:rsidR="00B009F0" w:rsidRPr="00F36114">
        <w:rPr>
          <w:rFonts w:ascii="Times New Roman" w:hAnsi="Times New Roman" w:cs="Times New Roman"/>
          <w:sz w:val="24"/>
          <w:szCs w:val="24"/>
        </w:rPr>
        <w:lastRenderedPageBreak/>
        <w:t xml:space="preserve">unworkable to </w:t>
      </w:r>
      <w:r w:rsidR="00D23A78" w:rsidRPr="00F36114">
        <w:rPr>
          <w:rFonts w:ascii="Times New Roman" w:hAnsi="Times New Roman" w:cs="Times New Roman"/>
          <w:sz w:val="24"/>
          <w:szCs w:val="24"/>
        </w:rPr>
        <w:t xml:space="preserve">determine and </w:t>
      </w:r>
      <w:r w:rsidR="00B009F0" w:rsidRPr="00F36114">
        <w:rPr>
          <w:rFonts w:ascii="Times New Roman" w:hAnsi="Times New Roman" w:cs="Times New Roman"/>
          <w:sz w:val="24"/>
          <w:szCs w:val="24"/>
        </w:rPr>
        <w:t>enforce</w:t>
      </w:r>
      <w:r w:rsidR="00CC761B" w:rsidRPr="00F36114">
        <w:rPr>
          <w:rFonts w:ascii="Times New Roman" w:hAnsi="Times New Roman" w:cs="Times New Roman"/>
          <w:sz w:val="24"/>
          <w:szCs w:val="24"/>
        </w:rPr>
        <w:t xml:space="preserve"> and create unnecessarily complicated compliance risk for market participants</w:t>
      </w:r>
      <w:r w:rsidR="00B009F0" w:rsidRPr="00F36114">
        <w:rPr>
          <w:rFonts w:ascii="Times New Roman" w:hAnsi="Times New Roman" w:cs="Times New Roman"/>
          <w:sz w:val="24"/>
          <w:szCs w:val="24"/>
        </w:rPr>
        <w:t>.</w:t>
      </w:r>
    </w:p>
    <w:p w14:paraId="101C318B" w14:textId="32D09905" w:rsidR="00093B3F" w:rsidRPr="00F36114" w:rsidRDefault="001A2ED7" w:rsidP="009255DD">
      <w:pPr>
        <w:spacing w:line="360" w:lineRule="auto"/>
        <w:ind w:firstLine="720"/>
        <w:jc w:val="both"/>
        <w:rPr>
          <w:rFonts w:ascii="Times New Roman" w:hAnsi="Times New Roman" w:cs="Times New Roman"/>
          <w:sz w:val="24"/>
          <w:szCs w:val="24"/>
        </w:rPr>
      </w:pPr>
      <w:r w:rsidRPr="00F36114">
        <w:rPr>
          <w:rFonts w:ascii="Times New Roman" w:hAnsi="Times New Roman" w:cs="Times New Roman"/>
          <w:sz w:val="24"/>
          <w:szCs w:val="24"/>
        </w:rPr>
        <w:t>Although there should be no must</w:t>
      </w:r>
      <w:r w:rsidR="0034782D" w:rsidRPr="00F36114">
        <w:rPr>
          <w:rFonts w:ascii="Times New Roman" w:hAnsi="Times New Roman" w:cs="Times New Roman"/>
          <w:sz w:val="24"/>
          <w:szCs w:val="24"/>
        </w:rPr>
        <w:t>-</w:t>
      </w:r>
      <w:r w:rsidRPr="00F36114">
        <w:rPr>
          <w:rFonts w:ascii="Times New Roman" w:hAnsi="Times New Roman" w:cs="Times New Roman"/>
          <w:sz w:val="24"/>
          <w:szCs w:val="24"/>
        </w:rPr>
        <w:t>offer requirement for ancillary services in the RTC construct, TCPA recommends that ERCOT’s Protocols include provisions to make clear for both ERCOT operators and the ERCOT dispatch software (e.g., SCED, Load Frequency Control)</w:t>
      </w:r>
      <w:r w:rsidR="00093B3F" w:rsidRPr="00F36114">
        <w:rPr>
          <w:rFonts w:ascii="Times New Roman" w:hAnsi="Times New Roman" w:cs="Times New Roman"/>
          <w:sz w:val="24"/>
          <w:szCs w:val="24"/>
        </w:rPr>
        <w:t xml:space="preserve"> </w:t>
      </w:r>
      <w:r w:rsidRPr="00F36114">
        <w:rPr>
          <w:rFonts w:ascii="Times New Roman" w:hAnsi="Times New Roman" w:cs="Times New Roman"/>
          <w:sz w:val="24"/>
          <w:szCs w:val="24"/>
        </w:rPr>
        <w:t>what capacity from individual units is available to be used for which ancillary services. Specifically, qualified scheduling entities</w:t>
      </w:r>
      <w:r w:rsidR="00445476" w:rsidRPr="00F36114">
        <w:rPr>
          <w:rFonts w:ascii="Times New Roman" w:hAnsi="Times New Roman" w:cs="Times New Roman"/>
          <w:sz w:val="24"/>
          <w:szCs w:val="24"/>
        </w:rPr>
        <w:t xml:space="preserve"> (QSEs)</w:t>
      </w:r>
      <w:r w:rsidRPr="00F36114">
        <w:rPr>
          <w:rFonts w:ascii="Times New Roman" w:hAnsi="Times New Roman" w:cs="Times New Roman"/>
          <w:sz w:val="24"/>
          <w:szCs w:val="24"/>
        </w:rPr>
        <w:t xml:space="preserve"> should be required to communicate to ERCOT in real-time their resource’s availability to provide each ancillary service for which they are qualified, in order to allow ERCOT and its systems to be aware of operational limitations (such as transitions or other operational limitations</w:t>
      </w:r>
      <w:r w:rsidR="0034782D" w:rsidRPr="00F36114">
        <w:rPr>
          <w:rFonts w:ascii="Times New Roman" w:hAnsi="Times New Roman" w:cs="Times New Roman"/>
          <w:sz w:val="24"/>
          <w:szCs w:val="24"/>
        </w:rPr>
        <w:t xml:space="preserve"> </w:t>
      </w:r>
      <w:r w:rsidR="00D1447F">
        <w:rPr>
          <w:rFonts w:ascii="Times New Roman" w:hAnsi="Times New Roman" w:cs="Times New Roman"/>
          <w:sz w:val="24"/>
          <w:szCs w:val="24"/>
        </w:rPr>
        <w:t>including</w:t>
      </w:r>
      <w:r w:rsidR="0034782D" w:rsidRPr="00F36114">
        <w:rPr>
          <w:rFonts w:ascii="Times New Roman" w:hAnsi="Times New Roman" w:cs="Times New Roman"/>
          <w:sz w:val="24"/>
          <w:szCs w:val="24"/>
        </w:rPr>
        <w:t xml:space="preserve"> the “limping toward a planned outage” scenario mentioned above</w:t>
      </w:r>
      <w:r w:rsidRPr="00F36114">
        <w:rPr>
          <w:rFonts w:ascii="Times New Roman" w:hAnsi="Times New Roman" w:cs="Times New Roman"/>
          <w:sz w:val="24"/>
          <w:szCs w:val="24"/>
        </w:rPr>
        <w:t xml:space="preserve">) that may prevent access to reserves and thus ensure that ERCOT and the RTC engine will refrain from assigning ancillary services to those resources in real-time. </w:t>
      </w:r>
      <w:r w:rsidR="00BD0D9C" w:rsidRPr="00F36114">
        <w:rPr>
          <w:rFonts w:ascii="Times New Roman" w:hAnsi="Times New Roman" w:cs="Times New Roman"/>
          <w:sz w:val="24"/>
          <w:szCs w:val="24"/>
        </w:rPr>
        <w:t xml:space="preserve">Further, similar to energy, if ERCOT is short of ancillary services (which TCPA thinks will be unlikely for the reasons discussed above), ERCOT can use the </w:t>
      </w:r>
      <w:r w:rsidR="00A82FC2" w:rsidRPr="00F36114">
        <w:rPr>
          <w:rFonts w:ascii="Times New Roman" w:hAnsi="Times New Roman" w:cs="Times New Roman"/>
          <w:sz w:val="24"/>
          <w:szCs w:val="24"/>
        </w:rPr>
        <w:t>RUC</w:t>
      </w:r>
      <w:r w:rsidR="00BD0D9C" w:rsidRPr="00F36114">
        <w:rPr>
          <w:rFonts w:ascii="Times New Roman" w:hAnsi="Times New Roman" w:cs="Times New Roman"/>
          <w:sz w:val="24"/>
          <w:szCs w:val="24"/>
        </w:rPr>
        <w:t xml:space="preserve"> tool to cover ancillary services. </w:t>
      </w:r>
    </w:p>
    <w:p w14:paraId="24A56921" w14:textId="35F8DCDE" w:rsidR="00BD0D9C" w:rsidRPr="00F36114" w:rsidRDefault="00BD0D9C" w:rsidP="009255DD">
      <w:pPr>
        <w:spacing w:line="360" w:lineRule="auto"/>
        <w:ind w:firstLine="720"/>
        <w:jc w:val="both"/>
        <w:rPr>
          <w:rFonts w:ascii="Times New Roman" w:hAnsi="Times New Roman" w:cs="Times New Roman"/>
          <w:sz w:val="24"/>
          <w:szCs w:val="24"/>
        </w:rPr>
      </w:pPr>
      <w:r w:rsidRPr="00F36114">
        <w:rPr>
          <w:rFonts w:ascii="Times New Roman" w:hAnsi="Times New Roman" w:cs="Times New Roman"/>
          <w:sz w:val="24"/>
          <w:szCs w:val="24"/>
        </w:rPr>
        <w:t>In sum, the Commission should clarify that there will be no must</w:t>
      </w:r>
      <w:r w:rsidR="00060831" w:rsidRPr="00F36114">
        <w:rPr>
          <w:rFonts w:ascii="Times New Roman" w:hAnsi="Times New Roman" w:cs="Times New Roman"/>
          <w:sz w:val="24"/>
          <w:szCs w:val="24"/>
        </w:rPr>
        <w:t>-</w:t>
      </w:r>
      <w:r w:rsidRPr="00F36114">
        <w:rPr>
          <w:rFonts w:ascii="Times New Roman" w:hAnsi="Times New Roman" w:cs="Times New Roman"/>
          <w:sz w:val="24"/>
          <w:szCs w:val="24"/>
        </w:rPr>
        <w:t xml:space="preserve">offer requirement for ancillary services in the RTC construct </w:t>
      </w:r>
      <w:r w:rsidR="00E0091C">
        <w:rPr>
          <w:rFonts w:ascii="Times New Roman" w:hAnsi="Times New Roman" w:cs="Times New Roman"/>
          <w:sz w:val="24"/>
          <w:szCs w:val="24"/>
        </w:rPr>
        <w:t xml:space="preserve">for either the </w:t>
      </w:r>
      <w:r w:rsidR="00BF04B8">
        <w:rPr>
          <w:rFonts w:ascii="Times New Roman" w:hAnsi="Times New Roman" w:cs="Times New Roman"/>
          <w:sz w:val="24"/>
          <w:szCs w:val="24"/>
        </w:rPr>
        <w:t xml:space="preserve">DAM </w:t>
      </w:r>
      <w:r w:rsidR="00E0091C">
        <w:rPr>
          <w:rFonts w:ascii="Times New Roman" w:hAnsi="Times New Roman" w:cs="Times New Roman"/>
          <w:sz w:val="24"/>
          <w:szCs w:val="24"/>
        </w:rPr>
        <w:t xml:space="preserve">or </w:t>
      </w:r>
      <w:r w:rsidR="00BF04B8">
        <w:rPr>
          <w:rFonts w:ascii="Times New Roman" w:hAnsi="Times New Roman" w:cs="Times New Roman"/>
          <w:sz w:val="24"/>
          <w:szCs w:val="24"/>
        </w:rPr>
        <w:t xml:space="preserve">RTM, </w:t>
      </w:r>
      <w:r w:rsidRPr="00F36114">
        <w:rPr>
          <w:rFonts w:ascii="Times New Roman" w:hAnsi="Times New Roman" w:cs="Times New Roman"/>
          <w:sz w:val="24"/>
          <w:szCs w:val="24"/>
        </w:rPr>
        <w:t xml:space="preserve">and should confirm that the </w:t>
      </w:r>
      <w:r w:rsidR="00060831" w:rsidRPr="00F36114">
        <w:rPr>
          <w:rFonts w:ascii="Times New Roman" w:hAnsi="Times New Roman" w:cs="Times New Roman"/>
          <w:sz w:val="24"/>
          <w:szCs w:val="24"/>
        </w:rPr>
        <w:t>provisions of 16 TAC §</w:t>
      </w:r>
      <w:r w:rsidR="00B05998">
        <w:rPr>
          <w:rFonts w:ascii="Times New Roman" w:hAnsi="Times New Roman" w:cs="Times New Roman"/>
          <w:sz w:val="24"/>
          <w:szCs w:val="24"/>
        </w:rPr>
        <w:t>§</w:t>
      </w:r>
      <w:r w:rsidR="00A82FC2" w:rsidRPr="00F36114">
        <w:rPr>
          <w:rFonts w:ascii="Times New Roman" w:hAnsi="Times New Roman" w:cs="Times New Roman"/>
          <w:sz w:val="24"/>
          <w:szCs w:val="24"/>
        </w:rPr>
        <w:t> </w:t>
      </w:r>
      <w:r w:rsidR="00B05998">
        <w:rPr>
          <w:rFonts w:ascii="Times New Roman" w:hAnsi="Times New Roman" w:cs="Times New Roman"/>
          <w:sz w:val="24"/>
          <w:szCs w:val="24"/>
        </w:rPr>
        <w:t xml:space="preserve">25.503 and </w:t>
      </w:r>
      <w:r w:rsidR="00060831" w:rsidRPr="00F36114">
        <w:rPr>
          <w:rFonts w:ascii="Times New Roman" w:hAnsi="Times New Roman" w:cs="Times New Roman"/>
          <w:sz w:val="24"/>
          <w:szCs w:val="24"/>
        </w:rPr>
        <w:t>25.504 apply generally to ancillary services as discussed above, including the “</w:t>
      </w:r>
      <w:r w:rsidRPr="00F36114">
        <w:rPr>
          <w:rFonts w:ascii="Times New Roman" w:hAnsi="Times New Roman" w:cs="Times New Roman"/>
          <w:sz w:val="24"/>
          <w:szCs w:val="24"/>
        </w:rPr>
        <w:t>small fish</w:t>
      </w:r>
      <w:r w:rsidR="00060831" w:rsidRPr="00F36114">
        <w:rPr>
          <w:rFonts w:ascii="Times New Roman" w:hAnsi="Times New Roman" w:cs="Times New Roman"/>
          <w:sz w:val="24"/>
          <w:szCs w:val="24"/>
        </w:rPr>
        <w:t>”</w:t>
      </w:r>
      <w:r w:rsidRPr="00F36114">
        <w:rPr>
          <w:rFonts w:ascii="Times New Roman" w:hAnsi="Times New Roman" w:cs="Times New Roman"/>
          <w:sz w:val="24"/>
          <w:szCs w:val="24"/>
        </w:rPr>
        <w:t xml:space="preserve"> exemption from market power abuse allegations </w:t>
      </w:r>
      <w:r w:rsidR="00060831" w:rsidRPr="00F36114">
        <w:rPr>
          <w:rFonts w:ascii="Times New Roman" w:hAnsi="Times New Roman" w:cs="Times New Roman"/>
          <w:sz w:val="24"/>
          <w:szCs w:val="24"/>
        </w:rPr>
        <w:t>and the practical considerations for application of the withholding provisions as they pertain to ancillary services</w:t>
      </w:r>
      <w:r w:rsidRPr="00F36114">
        <w:rPr>
          <w:rFonts w:ascii="Times New Roman" w:hAnsi="Times New Roman" w:cs="Times New Roman"/>
          <w:sz w:val="24"/>
          <w:szCs w:val="24"/>
        </w:rPr>
        <w:t>.</w:t>
      </w:r>
    </w:p>
    <w:p w14:paraId="78BEE356" w14:textId="77777777" w:rsidR="00BD5A01" w:rsidRPr="00F36114" w:rsidRDefault="00BD5A01" w:rsidP="00F320F4">
      <w:pPr>
        <w:pStyle w:val="ListParagraph"/>
        <w:keepNext/>
        <w:keepLines/>
        <w:numPr>
          <w:ilvl w:val="0"/>
          <w:numId w:val="26"/>
        </w:numPr>
        <w:spacing w:after="360" w:line="240" w:lineRule="auto"/>
        <w:contextualSpacing w:val="0"/>
        <w:jc w:val="both"/>
        <w:rPr>
          <w:rFonts w:ascii="Times New Roman" w:hAnsi="Times New Roman" w:cs="Times New Roman"/>
          <w:b/>
          <w:sz w:val="24"/>
          <w:szCs w:val="24"/>
        </w:rPr>
      </w:pPr>
      <w:r w:rsidRPr="00F36114">
        <w:rPr>
          <w:rFonts w:ascii="Times New Roman" w:hAnsi="Times New Roman" w:cs="Times New Roman"/>
          <w:b/>
          <w:sz w:val="24"/>
          <w:szCs w:val="24"/>
        </w:rPr>
        <w:t>How should ancillary service performance be monitored following the adoption of RTC?</w:t>
      </w:r>
    </w:p>
    <w:p w14:paraId="4E245DF7" w14:textId="73311AC0" w:rsidR="00F320F4" w:rsidRPr="00F36114" w:rsidRDefault="00F320F4" w:rsidP="00F320F4">
      <w:pPr>
        <w:spacing w:line="360" w:lineRule="auto"/>
        <w:ind w:firstLine="720"/>
        <w:jc w:val="both"/>
        <w:rPr>
          <w:rFonts w:ascii="Times New Roman" w:hAnsi="Times New Roman" w:cs="Times New Roman"/>
          <w:sz w:val="24"/>
          <w:szCs w:val="24"/>
        </w:rPr>
      </w:pPr>
      <w:r w:rsidRPr="00F36114">
        <w:rPr>
          <w:rFonts w:ascii="Times New Roman" w:hAnsi="Times New Roman" w:cs="Times New Roman"/>
          <w:sz w:val="24"/>
          <w:szCs w:val="24"/>
        </w:rPr>
        <w:t xml:space="preserve">As discussed above </w:t>
      </w:r>
      <w:r w:rsidR="00EB3953" w:rsidRPr="00F36114">
        <w:rPr>
          <w:rFonts w:ascii="Times New Roman" w:hAnsi="Times New Roman" w:cs="Times New Roman"/>
          <w:sz w:val="24"/>
          <w:szCs w:val="24"/>
        </w:rPr>
        <w:t xml:space="preserve">in response to </w:t>
      </w:r>
      <w:r w:rsidRPr="00F36114">
        <w:rPr>
          <w:rFonts w:ascii="Times New Roman" w:hAnsi="Times New Roman" w:cs="Times New Roman"/>
          <w:sz w:val="24"/>
          <w:szCs w:val="24"/>
        </w:rPr>
        <w:t xml:space="preserve">Question 8, there will no longer be a need for performance monitoring based on DAM awards if the DAM is made fully financial and voluntary, as TCPA recommends it should be. For real-time performance, ERCOT and its stakeholders should evaluate what the appropriate performance and qualification standards are for the various ancillary services. </w:t>
      </w:r>
      <w:r w:rsidR="0078095B">
        <w:rPr>
          <w:rFonts w:ascii="Times New Roman" w:hAnsi="Times New Roman" w:cs="Times New Roman"/>
          <w:sz w:val="24"/>
          <w:szCs w:val="24"/>
        </w:rPr>
        <w:t xml:space="preserve">ERCOT broached this topic briefly at its April 4, 2019 </w:t>
      </w:r>
      <w:r w:rsidR="00B05998">
        <w:rPr>
          <w:rFonts w:ascii="Times New Roman" w:hAnsi="Times New Roman" w:cs="Times New Roman"/>
          <w:sz w:val="24"/>
          <w:szCs w:val="24"/>
        </w:rPr>
        <w:t>RTC</w:t>
      </w:r>
      <w:r w:rsidR="0078095B">
        <w:rPr>
          <w:rFonts w:ascii="Times New Roman" w:hAnsi="Times New Roman" w:cs="Times New Roman"/>
          <w:sz w:val="24"/>
          <w:szCs w:val="24"/>
        </w:rPr>
        <w:t xml:space="preserve"> Task Force meeting, noting that some performance monitoring standards such as timing requirements to update unit High Ancillary Service Limits will become obsolete and other modifications will become more apparent</w:t>
      </w:r>
      <w:r w:rsidR="0078166C">
        <w:rPr>
          <w:rFonts w:ascii="Times New Roman" w:hAnsi="Times New Roman" w:cs="Times New Roman"/>
          <w:sz w:val="24"/>
          <w:szCs w:val="24"/>
        </w:rPr>
        <w:t xml:space="preserve"> </w:t>
      </w:r>
      <w:r w:rsidR="0078166C">
        <w:rPr>
          <w:rFonts w:ascii="Times New Roman" w:hAnsi="Times New Roman" w:cs="Times New Roman"/>
          <w:sz w:val="24"/>
          <w:szCs w:val="24"/>
        </w:rPr>
        <w:lastRenderedPageBreak/>
        <w:t>as the RTC implementation becomes more clear.</w:t>
      </w:r>
      <w:r w:rsidR="0078166C">
        <w:rPr>
          <w:rStyle w:val="FootnoteReference"/>
          <w:rFonts w:ascii="Times New Roman" w:hAnsi="Times New Roman" w:cs="Times New Roman"/>
          <w:sz w:val="24"/>
          <w:szCs w:val="24"/>
        </w:rPr>
        <w:footnoteReference w:id="30"/>
      </w:r>
      <w:r w:rsidR="0078095B">
        <w:rPr>
          <w:rFonts w:ascii="Times New Roman" w:hAnsi="Times New Roman" w:cs="Times New Roman"/>
          <w:sz w:val="24"/>
          <w:szCs w:val="24"/>
        </w:rPr>
        <w:t xml:space="preserve"> </w:t>
      </w:r>
      <w:r w:rsidR="0078166C">
        <w:rPr>
          <w:rFonts w:ascii="Times New Roman" w:hAnsi="Times New Roman" w:cs="Times New Roman"/>
          <w:sz w:val="24"/>
          <w:szCs w:val="24"/>
        </w:rPr>
        <w:t>TCPA generally agrees, and a</w:t>
      </w:r>
      <w:r w:rsidRPr="00F36114">
        <w:rPr>
          <w:rFonts w:ascii="Times New Roman" w:hAnsi="Times New Roman" w:cs="Times New Roman"/>
          <w:sz w:val="24"/>
          <w:szCs w:val="24"/>
        </w:rPr>
        <w:t xml:space="preserve">s discussed above </w:t>
      </w:r>
      <w:r w:rsidR="00EB3953" w:rsidRPr="00F36114">
        <w:rPr>
          <w:rFonts w:ascii="Times New Roman" w:hAnsi="Times New Roman" w:cs="Times New Roman"/>
          <w:sz w:val="24"/>
          <w:szCs w:val="24"/>
        </w:rPr>
        <w:t xml:space="preserve">in response to </w:t>
      </w:r>
      <w:r w:rsidRPr="00F36114">
        <w:rPr>
          <w:rFonts w:ascii="Times New Roman" w:hAnsi="Times New Roman" w:cs="Times New Roman"/>
          <w:sz w:val="24"/>
          <w:szCs w:val="24"/>
        </w:rPr>
        <w:t xml:space="preserve">Questions 9 and 11, </w:t>
      </w:r>
      <w:r w:rsidR="0078166C">
        <w:rPr>
          <w:rFonts w:ascii="Times New Roman" w:hAnsi="Times New Roman" w:cs="Times New Roman"/>
          <w:sz w:val="24"/>
          <w:szCs w:val="24"/>
        </w:rPr>
        <w:t xml:space="preserve">believes that </w:t>
      </w:r>
      <w:r w:rsidR="00EB3953" w:rsidRPr="00F36114">
        <w:rPr>
          <w:rFonts w:ascii="Times New Roman" w:hAnsi="Times New Roman" w:cs="Times New Roman"/>
          <w:sz w:val="24"/>
          <w:szCs w:val="24"/>
        </w:rPr>
        <w:t xml:space="preserve">a </w:t>
      </w:r>
      <w:r w:rsidRPr="00F36114">
        <w:rPr>
          <w:rFonts w:ascii="Times New Roman" w:hAnsi="Times New Roman" w:cs="Times New Roman"/>
          <w:sz w:val="24"/>
          <w:szCs w:val="24"/>
        </w:rPr>
        <w:t xml:space="preserve">properly designed RTC should create incentives for resources to be </w:t>
      </w:r>
      <w:r w:rsidR="00EB3953" w:rsidRPr="00F36114">
        <w:rPr>
          <w:rFonts w:ascii="Times New Roman" w:hAnsi="Times New Roman" w:cs="Times New Roman"/>
          <w:sz w:val="24"/>
          <w:szCs w:val="24"/>
        </w:rPr>
        <w:t xml:space="preserve">made </w:t>
      </w:r>
      <w:r w:rsidRPr="00F36114">
        <w:rPr>
          <w:rFonts w:ascii="Times New Roman" w:hAnsi="Times New Roman" w:cs="Times New Roman"/>
          <w:sz w:val="24"/>
          <w:szCs w:val="24"/>
        </w:rPr>
        <w:t>available for ancillary services in real-time</w:t>
      </w:r>
      <w:r w:rsidR="00EB3953" w:rsidRPr="00F36114">
        <w:rPr>
          <w:rFonts w:ascii="Times New Roman" w:hAnsi="Times New Roman" w:cs="Times New Roman"/>
          <w:sz w:val="24"/>
          <w:szCs w:val="24"/>
        </w:rPr>
        <w:t xml:space="preserve"> and to perform if called upon</w:t>
      </w:r>
      <w:r w:rsidRPr="00F36114">
        <w:rPr>
          <w:rFonts w:ascii="Times New Roman" w:hAnsi="Times New Roman" w:cs="Times New Roman"/>
          <w:sz w:val="24"/>
          <w:szCs w:val="24"/>
        </w:rPr>
        <w:t>.</w:t>
      </w:r>
    </w:p>
    <w:p w14:paraId="6435B328" w14:textId="77777777" w:rsidR="00BD5A01" w:rsidRPr="00F36114" w:rsidRDefault="00BD5A01" w:rsidP="00BD5A01">
      <w:pPr>
        <w:pStyle w:val="ListParagraph"/>
        <w:numPr>
          <w:ilvl w:val="0"/>
          <w:numId w:val="26"/>
        </w:numPr>
        <w:spacing w:after="360" w:line="240" w:lineRule="auto"/>
        <w:contextualSpacing w:val="0"/>
        <w:jc w:val="both"/>
        <w:rPr>
          <w:rFonts w:ascii="Times New Roman" w:hAnsi="Times New Roman" w:cs="Times New Roman"/>
          <w:b/>
          <w:sz w:val="24"/>
          <w:szCs w:val="24"/>
        </w:rPr>
      </w:pPr>
      <w:r w:rsidRPr="00F36114">
        <w:rPr>
          <w:rFonts w:ascii="Times New Roman" w:hAnsi="Times New Roman" w:cs="Times New Roman"/>
          <w:b/>
          <w:sz w:val="24"/>
          <w:szCs w:val="24"/>
        </w:rPr>
        <w:t>Are there any other policy issues which the commission should decide before the process of RTC implementation may commence? If so, please describe the issue or issues in detail.</w:t>
      </w:r>
    </w:p>
    <w:p w14:paraId="7B26EAFB" w14:textId="42BD7003" w:rsidR="003129AE" w:rsidRPr="00F36114" w:rsidRDefault="009803B6" w:rsidP="009803B6">
      <w:pPr>
        <w:spacing w:line="360" w:lineRule="auto"/>
        <w:ind w:firstLine="720"/>
        <w:jc w:val="both"/>
        <w:rPr>
          <w:rFonts w:ascii="Times New Roman" w:hAnsi="Times New Roman" w:cs="Times New Roman"/>
          <w:sz w:val="24"/>
          <w:szCs w:val="24"/>
        </w:rPr>
      </w:pPr>
      <w:r w:rsidRPr="00F36114">
        <w:rPr>
          <w:rFonts w:ascii="Times New Roman" w:hAnsi="Times New Roman" w:cs="Times New Roman"/>
          <w:sz w:val="24"/>
          <w:szCs w:val="24"/>
        </w:rPr>
        <w:t>In order to maintain proper price signals that allow the market design to succeed</w:t>
      </w:r>
      <w:r w:rsidR="00416A16">
        <w:rPr>
          <w:rFonts w:ascii="Times New Roman" w:hAnsi="Times New Roman" w:cs="Times New Roman"/>
          <w:sz w:val="24"/>
          <w:szCs w:val="24"/>
        </w:rPr>
        <w:t xml:space="preserve"> and reduce </w:t>
      </w:r>
      <w:proofErr w:type="spellStart"/>
      <w:r w:rsidR="00416A16">
        <w:rPr>
          <w:rFonts w:ascii="Times New Roman" w:hAnsi="Times New Roman" w:cs="Times New Roman"/>
          <w:sz w:val="24"/>
          <w:szCs w:val="24"/>
        </w:rPr>
        <w:t>unhedgeable</w:t>
      </w:r>
      <w:proofErr w:type="spellEnd"/>
      <w:r w:rsidR="00416A16">
        <w:rPr>
          <w:rFonts w:ascii="Times New Roman" w:hAnsi="Times New Roman" w:cs="Times New Roman"/>
          <w:sz w:val="24"/>
          <w:szCs w:val="24"/>
        </w:rPr>
        <w:t xml:space="preserve"> uplift to consumers</w:t>
      </w:r>
      <w:r w:rsidRPr="00F36114">
        <w:rPr>
          <w:rFonts w:ascii="Times New Roman" w:hAnsi="Times New Roman" w:cs="Times New Roman"/>
          <w:sz w:val="24"/>
          <w:szCs w:val="24"/>
        </w:rPr>
        <w:t xml:space="preserve">, TCPA recommends that the Commission direct ERCOT to compensate for out-of-merit </w:t>
      </w:r>
      <w:r w:rsidR="00092108">
        <w:rPr>
          <w:rFonts w:ascii="Times New Roman" w:hAnsi="Times New Roman" w:cs="Times New Roman"/>
          <w:sz w:val="24"/>
          <w:szCs w:val="24"/>
        </w:rPr>
        <w:t xml:space="preserve">and out-of-market </w:t>
      </w:r>
      <w:r w:rsidR="00C95DA7">
        <w:rPr>
          <w:rFonts w:ascii="Times New Roman" w:hAnsi="Times New Roman" w:cs="Times New Roman"/>
          <w:sz w:val="24"/>
          <w:szCs w:val="24"/>
        </w:rPr>
        <w:t xml:space="preserve">(OOM) </w:t>
      </w:r>
      <w:r w:rsidRPr="00F36114">
        <w:rPr>
          <w:rFonts w:ascii="Times New Roman" w:hAnsi="Times New Roman" w:cs="Times New Roman"/>
          <w:sz w:val="24"/>
          <w:szCs w:val="24"/>
        </w:rPr>
        <w:t>actions taken by ERCOT</w:t>
      </w:r>
      <w:r w:rsidR="008B32BE" w:rsidRPr="00F36114">
        <w:rPr>
          <w:rFonts w:ascii="Times New Roman" w:hAnsi="Times New Roman" w:cs="Times New Roman"/>
          <w:sz w:val="24"/>
          <w:szCs w:val="24"/>
        </w:rPr>
        <w:t xml:space="preserve"> and transmission and distribution service providers (TDSPs)</w:t>
      </w:r>
      <w:r w:rsidRPr="00F36114">
        <w:rPr>
          <w:rFonts w:ascii="Times New Roman" w:hAnsi="Times New Roman" w:cs="Times New Roman"/>
          <w:sz w:val="24"/>
          <w:szCs w:val="24"/>
        </w:rPr>
        <w:t xml:space="preserve">. Some of these actions are accounted for today in the </w:t>
      </w:r>
      <w:r w:rsidR="008B32BE" w:rsidRPr="00F36114">
        <w:rPr>
          <w:rFonts w:ascii="Times New Roman" w:hAnsi="Times New Roman" w:cs="Times New Roman"/>
          <w:sz w:val="24"/>
          <w:szCs w:val="24"/>
        </w:rPr>
        <w:t>ORDC calculation, others</w:t>
      </w:r>
      <w:r w:rsidRPr="00F36114">
        <w:rPr>
          <w:rFonts w:ascii="Times New Roman" w:hAnsi="Times New Roman" w:cs="Times New Roman"/>
          <w:sz w:val="24"/>
          <w:szCs w:val="24"/>
        </w:rPr>
        <w:t xml:space="preserve"> in the Reliability Deployment Price Adder (RDPA), and some </w:t>
      </w:r>
      <w:r w:rsidR="00384F24" w:rsidRPr="00F36114">
        <w:rPr>
          <w:rFonts w:ascii="Times New Roman" w:hAnsi="Times New Roman" w:cs="Times New Roman"/>
          <w:sz w:val="24"/>
          <w:szCs w:val="24"/>
        </w:rPr>
        <w:t xml:space="preserve">are </w:t>
      </w:r>
      <w:r w:rsidRPr="00F36114">
        <w:rPr>
          <w:rFonts w:ascii="Times New Roman" w:hAnsi="Times New Roman" w:cs="Times New Roman"/>
          <w:sz w:val="24"/>
          <w:szCs w:val="24"/>
        </w:rPr>
        <w:t xml:space="preserve">not </w:t>
      </w:r>
      <w:r w:rsidR="00384F24" w:rsidRPr="00F36114">
        <w:rPr>
          <w:rFonts w:ascii="Times New Roman" w:hAnsi="Times New Roman" w:cs="Times New Roman"/>
          <w:sz w:val="24"/>
          <w:szCs w:val="24"/>
        </w:rPr>
        <w:t xml:space="preserve">accounted for </w:t>
      </w:r>
      <w:r w:rsidRPr="00F36114">
        <w:rPr>
          <w:rFonts w:ascii="Times New Roman" w:hAnsi="Times New Roman" w:cs="Times New Roman"/>
          <w:sz w:val="24"/>
          <w:szCs w:val="24"/>
        </w:rPr>
        <w:t xml:space="preserve">at all (but should be). Examples of </w:t>
      </w:r>
      <w:r w:rsidR="00092108">
        <w:rPr>
          <w:rFonts w:ascii="Times New Roman" w:hAnsi="Times New Roman" w:cs="Times New Roman"/>
          <w:sz w:val="24"/>
          <w:szCs w:val="24"/>
        </w:rPr>
        <w:t xml:space="preserve">such </w:t>
      </w:r>
      <w:r w:rsidR="00C95DA7">
        <w:rPr>
          <w:rFonts w:ascii="Times New Roman" w:hAnsi="Times New Roman" w:cs="Times New Roman"/>
          <w:sz w:val="24"/>
          <w:szCs w:val="24"/>
        </w:rPr>
        <w:t xml:space="preserve">OOM </w:t>
      </w:r>
      <w:r w:rsidRPr="00F36114">
        <w:rPr>
          <w:rFonts w:ascii="Times New Roman" w:hAnsi="Times New Roman" w:cs="Times New Roman"/>
          <w:sz w:val="24"/>
          <w:szCs w:val="24"/>
        </w:rPr>
        <w:t>actions include RUC, Reliability Must Run (RMR), Emergency Response Service (ERS), emergency direct current (DC) tie curtailments and inflows, four coincident peak (4CP), TDSP load management programs (e.g., voltage reduction), load resources providing RRS on high-set under-frequency relays, low dispatch limit and high dispatch limit overrides,</w:t>
      </w:r>
      <w:r w:rsidR="00F507FD">
        <w:rPr>
          <w:rFonts w:ascii="Times New Roman" w:hAnsi="Times New Roman" w:cs="Times New Roman"/>
          <w:sz w:val="24"/>
          <w:szCs w:val="24"/>
        </w:rPr>
        <w:t xml:space="preserve"> firm </w:t>
      </w:r>
      <w:r w:rsidR="00416A16">
        <w:rPr>
          <w:rFonts w:ascii="Times New Roman" w:hAnsi="Times New Roman" w:cs="Times New Roman"/>
          <w:sz w:val="24"/>
          <w:szCs w:val="24"/>
        </w:rPr>
        <w:t>l</w:t>
      </w:r>
      <w:r w:rsidR="00F507FD">
        <w:rPr>
          <w:rFonts w:ascii="Times New Roman" w:hAnsi="Times New Roman" w:cs="Times New Roman"/>
          <w:sz w:val="24"/>
          <w:szCs w:val="24"/>
        </w:rPr>
        <w:t>oad shed,</w:t>
      </w:r>
      <w:r w:rsidRPr="00F36114">
        <w:rPr>
          <w:rFonts w:ascii="Times New Roman" w:hAnsi="Times New Roman" w:cs="Times New Roman"/>
          <w:sz w:val="24"/>
          <w:szCs w:val="24"/>
        </w:rPr>
        <w:t xml:space="preserve"> etc. This list is not intended to be </w:t>
      </w:r>
      <w:proofErr w:type="gramStart"/>
      <w:r w:rsidRPr="00F36114">
        <w:rPr>
          <w:rFonts w:ascii="Times New Roman" w:hAnsi="Times New Roman" w:cs="Times New Roman"/>
          <w:sz w:val="24"/>
          <w:szCs w:val="24"/>
        </w:rPr>
        <w:t>all-inclusive, but</w:t>
      </w:r>
      <w:proofErr w:type="gramEnd"/>
      <w:r w:rsidRPr="00F36114">
        <w:rPr>
          <w:rFonts w:ascii="Times New Roman" w:hAnsi="Times New Roman" w:cs="Times New Roman"/>
          <w:sz w:val="24"/>
          <w:szCs w:val="24"/>
        </w:rPr>
        <w:t xml:space="preserve"> is provided to illustrate the types of </w:t>
      </w:r>
      <w:r w:rsidR="00C95DA7">
        <w:rPr>
          <w:rFonts w:ascii="Times New Roman" w:hAnsi="Times New Roman" w:cs="Times New Roman"/>
          <w:sz w:val="24"/>
          <w:szCs w:val="24"/>
        </w:rPr>
        <w:t xml:space="preserve">OOM </w:t>
      </w:r>
      <w:r w:rsidRPr="00F36114">
        <w:rPr>
          <w:rFonts w:ascii="Times New Roman" w:hAnsi="Times New Roman" w:cs="Times New Roman"/>
          <w:sz w:val="24"/>
          <w:szCs w:val="24"/>
        </w:rPr>
        <w:t xml:space="preserve">actions that </w:t>
      </w:r>
      <w:r w:rsidR="008B32BE" w:rsidRPr="00F36114">
        <w:rPr>
          <w:rFonts w:ascii="Times New Roman" w:hAnsi="Times New Roman" w:cs="Times New Roman"/>
          <w:sz w:val="24"/>
          <w:szCs w:val="24"/>
        </w:rPr>
        <w:t xml:space="preserve">can artificially depress or reverse prices, if not corrected for </w:t>
      </w:r>
      <w:r w:rsidR="00384F24" w:rsidRPr="00F36114">
        <w:rPr>
          <w:rFonts w:ascii="Times New Roman" w:hAnsi="Times New Roman" w:cs="Times New Roman"/>
          <w:sz w:val="24"/>
          <w:szCs w:val="24"/>
        </w:rPr>
        <w:t>in pricing</w:t>
      </w:r>
      <w:r w:rsidR="008B32BE" w:rsidRPr="00F36114">
        <w:rPr>
          <w:rFonts w:ascii="Times New Roman" w:hAnsi="Times New Roman" w:cs="Times New Roman"/>
          <w:sz w:val="24"/>
          <w:szCs w:val="24"/>
        </w:rPr>
        <w:t>.</w:t>
      </w:r>
      <w:r w:rsidR="00416A16">
        <w:rPr>
          <w:rFonts w:ascii="Times New Roman" w:hAnsi="Times New Roman" w:cs="Times New Roman"/>
          <w:sz w:val="24"/>
          <w:szCs w:val="24"/>
        </w:rPr>
        <w:t xml:space="preserve"> In addition, offer floors for energy (RUC, NSRS, RMR) will need to be reconsidered and their desired impacts be translated to the new design.   </w:t>
      </w:r>
    </w:p>
    <w:p w14:paraId="1F119D24" w14:textId="0C7AB313" w:rsidR="009803B6" w:rsidRPr="00F36114" w:rsidRDefault="009803B6" w:rsidP="009803B6">
      <w:pPr>
        <w:spacing w:line="360" w:lineRule="auto"/>
        <w:ind w:firstLine="720"/>
        <w:jc w:val="both"/>
        <w:rPr>
          <w:rFonts w:ascii="Times New Roman" w:hAnsi="Times New Roman" w:cs="Times New Roman"/>
          <w:sz w:val="24"/>
          <w:szCs w:val="24"/>
        </w:rPr>
      </w:pPr>
      <w:r w:rsidRPr="00F36114">
        <w:rPr>
          <w:rFonts w:ascii="Times New Roman" w:hAnsi="Times New Roman" w:cs="Times New Roman"/>
          <w:sz w:val="24"/>
          <w:szCs w:val="24"/>
        </w:rPr>
        <w:t xml:space="preserve">Possible solutions </w:t>
      </w:r>
      <w:r w:rsidR="00384F24" w:rsidRPr="00F36114">
        <w:rPr>
          <w:rFonts w:ascii="Times New Roman" w:hAnsi="Times New Roman" w:cs="Times New Roman"/>
          <w:sz w:val="24"/>
          <w:szCs w:val="24"/>
        </w:rPr>
        <w:t xml:space="preserve">under the RTC construct </w:t>
      </w:r>
      <w:r w:rsidRPr="00F36114">
        <w:rPr>
          <w:rFonts w:ascii="Times New Roman" w:hAnsi="Times New Roman" w:cs="Times New Roman"/>
          <w:sz w:val="24"/>
          <w:szCs w:val="24"/>
        </w:rPr>
        <w:t>include, but are not limited to:</w:t>
      </w:r>
    </w:p>
    <w:p w14:paraId="01C62E98" w14:textId="787EEF10" w:rsidR="009803B6" w:rsidRPr="00F36114" w:rsidRDefault="00384F24" w:rsidP="009803B6">
      <w:pPr>
        <w:pStyle w:val="ListParagraph"/>
        <w:numPr>
          <w:ilvl w:val="0"/>
          <w:numId w:val="28"/>
        </w:numPr>
        <w:spacing w:line="360" w:lineRule="auto"/>
        <w:jc w:val="both"/>
        <w:rPr>
          <w:rFonts w:ascii="Times New Roman" w:hAnsi="Times New Roman" w:cs="Times New Roman"/>
          <w:sz w:val="24"/>
          <w:szCs w:val="24"/>
        </w:rPr>
      </w:pPr>
      <w:r w:rsidRPr="00F36114">
        <w:rPr>
          <w:rFonts w:ascii="Times New Roman" w:hAnsi="Times New Roman" w:cs="Times New Roman"/>
          <w:sz w:val="24"/>
          <w:szCs w:val="24"/>
        </w:rPr>
        <w:t>S</w:t>
      </w:r>
      <w:r w:rsidR="009803B6" w:rsidRPr="00F36114">
        <w:rPr>
          <w:rFonts w:ascii="Times New Roman" w:hAnsi="Times New Roman" w:cs="Times New Roman"/>
          <w:sz w:val="24"/>
          <w:szCs w:val="24"/>
        </w:rPr>
        <w:t xml:space="preserve">hifting ASDCs to </w:t>
      </w:r>
      <w:r w:rsidRPr="00F36114">
        <w:rPr>
          <w:rFonts w:ascii="Times New Roman" w:hAnsi="Times New Roman" w:cs="Times New Roman"/>
          <w:sz w:val="24"/>
          <w:szCs w:val="24"/>
        </w:rPr>
        <w:t xml:space="preserve">account for </w:t>
      </w:r>
      <w:r w:rsidR="00C95DA7">
        <w:rPr>
          <w:rFonts w:ascii="Times New Roman" w:hAnsi="Times New Roman" w:cs="Times New Roman"/>
          <w:sz w:val="24"/>
          <w:szCs w:val="24"/>
        </w:rPr>
        <w:t>OOM actions</w:t>
      </w:r>
      <w:r w:rsidR="009803B6" w:rsidRPr="00F36114">
        <w:rPr>
          <w:rFonts w:ascii="Times New Roman" w:hAnsi="Times New Roman" w:cs="Times New Roman"/>
          <w:sz w:val="24"/>
          <w:szCs w:val="24"/>
        </w:rPr>
        <w:t>.</w:t>
      </w:r>
    </w:p>
    <w:p w14:paraId="2AF63FC2" w14:textId="38A6400F" w:rsidR="009803B6" w:rsidRDefault="00384F24" w:rsidP="009803B6">
      <w:pPr>
        <w:pStyle w:val="ListParagraph"/>
        <w:numPr>
          <w:ilvl w:val="0"/>
          <w:numId w:val="28"/>
        </w:numPr>
        <w:spacing w:after="240" w:line="360" w:lineRule="auto"/>
        <w:jc w:val="both"/>
        <w:rPr>
          <w:rFonts w:ascii="Times New Roman" w:hAnsi="Times New Roman" w:cs="Times New Roman"/>
          <w:sz w:val="24"/>
          <w:szCs w:val="24"/>
        </w:rPr>
      </w:pPr>
      <w:r w:rsidRPr="00F36114">
        <w:rPr>
          <w:rFonts w:ascii="Times New Roman" w:hAnsi="Times New Roman" w:cs="Times New Roman"/>
          <w:sz w:val="24"/>
          <w:szCs w:val="24"/>
        </w:rPr>
        <w:t>R</w:t>
      </w:r>
      <w:r w:rsidR="009803B6" w:rsidRPr="00F36114">
        <w:rPr>
          <w:rFonts w:ascii="Times New Roman" w:hAnsi="Times New Roman" w:cs="Times New Roman"/>
          <w:sz w:val="24"/>
          <w:szCs w:val="24"/>
        </w:rPr>
        <w:t>etain</w:t>
      </w:r>
      <w:r w:rsidR="00F36114" w:rsidRPr="00F36114">
        <w:rPr>
          <w:rFonts w:ascii="Times New Roman" w:hAnsi="Times New Roman" w:cs="Times New Roman"/>
          <w:sz w:val="24"/>
          <w:szCs w:val="24"/>
        </w:rPr>
        <w:t>ing</w:t>
      </w:r>
      <w:r w:rsidR="009803B6" w:rsidRPr="00F36114">
        <w:rPr>
          <w:rFonts w:ascii="Times New Roman" w:hAnsi="Times New Roman" w:cs="Times New Roman"/>
          <w:sz w:val="24"/>
          <w:szCs w:val="24"/>
        </w:rPr>
        <w:t xml:space="preserve"> the RDPA</w:t>
      </w:r>
      <w:r w:rsidRPr="00F36114">
        <w:rPr>
          <w:rFonts w:ascii="Times New Roman" w:hAnsi="Times New Roman" w:cs="Times New Roman"/>
          <w:sz w:val="24"/>
          <w:szCs w:val="24"/>
        </w:rPr>
        <w:t>’s second SCED-run approach</w:t>
      </w:r>
      <w:r w:rsidR="009803B6" w:rsidRPr="00F36114">
        <w:rPr>
          <w:rFonts w:ascii="Times New Roman" w:hAnsi="Times New Roman" w:cs="Times New Roman"/>
          <w:sz w:val="24"/>
          <w:szCs w:val="24"/>
        </w:rPr>
        <w:t xml:space="preserve"> to correct for price reversals associated with </w:t>
      </w:r>
      <w:r w:rsidR="00C95DA7">
        <w:rPr>
          <w:rFonts w:ascii="Times New Roman" w:hAnsi="Times New Roman" w:cs="Times New Roman"/>
          <w:sz w:val="24"/>
          <w:szCs w:val="24"/>
        </w:rPr>
        <w:t xml:space="preserve">OOM </w:t>
      </w:r>
      <w:r w:rsidR="009803B6" w:rsidRPr="00F36114">
        <w:rPr>
          <w:rFonts w:ascii="Times New Roman" w:hAnsi="Times New Roman" w:cs="Times New Roman"/>
          <w:sz w:val="24"/>
          <w:szCs w:val="24"/>
        </w:rPr>
        <w:t>actions, but potentially modify</w:t>
      </w:r>
      <w:r w:rsidR="00F36114" w:rsidRPr="00F36114">
        <w:rPr>
          <w:rFonts w:ascii="Times New Roman" w:hAnsi="Times New Roman" w:cs="Times New Roman"/>
          <w:sz w:val="24"/>
          <w:szCs w:val="24"/>
        </w:rPr>
        <w:t>ing</w:t>
      </w:r>
      <w:r w:rsidR="009803B6" w:rsidRPr="00F36114">
        <w:rPr>
          <w:rFonts w:ascii="Times New Roman" w:hAnsi="Times New Roman" w:cs="Times New Roman"/>
          <w:sz w:val="24"/>
          <w:szCs w:val="24"/>
        </w:rPr>
        <w:t xml:space="preserve"> or expand</w:t>
      </w:r>
      <w:r w:rsidR="00F36114" w:rsidRPr="00F36114">
        <w:rPr>
          <w:rFonts w:ascii="Times New Roman" w:hAnsi="Times New Roman" w:cs="Times New Roman"/>
          <w:sz w:val="24"/>
          <w:szCs w:val="24"/>
        </w:rPr>
        <w:t>ing</w:t>
      </w:r>
      <w:r w:rsidR="009803B6" w:rsidRPr="00F36114">
        <w:rPr>
          <w:rFonts w:ascii="Times New Roman" w:hAnsi="Times New Roman" w:cs="Times New Roman"/>
          <w:sz w:val="24"/>
          <w:szCs w:val="24"/>
        </w:rPr>
        <w:t xml:space="preserve"> the RDPA.</w:t>
      </w:r>
    </w:p>
    <w:p w14:paraId="51E0AB23" w14:textId="2449069C" w:rsidR="00416A16" w:rsidRPr="00F36114" w:rsidRDefault="00B05998" w:rsidP="00416A16">
      <w:pPr>
        <w:pStyle w:val="ListParagraph"/>
        <w:numPr>
          <w:ilvl w:val="0"/>
          <w:numId w:val="28"/>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Reconsidering a</w:t>
      </w:r>
      <w:r w:rsidR="00416A16">
        <w:rPr>
          <w:rFonts w:ascii="Times New Roman" w:hAnsi="Times New Roman" w:cs="Times New Roman"/>
          <w:sz w:val="24"/>
          <w:szCs w:val="24"/>
        </w:rPr>
        <w:t xml:space="preserve">ncillary </w:t>
      </w:r>
      <w:r>
        <w:rPr>
          <w:rFonts w:ascii="Times New Roman" w:hAnsi="Times New Roman" w:cs="Times New Roman"/>
          <w:sz w:val="24"/>
          <w:szCs w:val="24"/>
        </w:rPr>
        <w:t>s</w:t>
      </w:r>
      <w:r w:rsidR="00416A16">
        <w:rPr>
          <w:rFonts w:ascii="Times New Roman" w:hAnsi="Times New Roman" w:cs="Times New Roman"/>
          <w:sz w:val="24"/>
          <w:szCs w:val="24"/>
        </w:rPr>
        <w:t>ervice offer floors for capacity with energy offer floor requirements.</w:t>
      </w:r>
    </w:p>
    <w:p w14:paraId="43F8B458" w14:textId="35D4DBDA" w:rsidR="009803B6" w:rsidRPr="00F36114" w:rsidRDefault="00CF4148" w:rsidP="009803B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addition, any </w:t>
      </w:r>
      <w:r w:rsidR="00C028D6">
        <w:rPr>
          <w:rFonts w:ascii="Times New Roman" w:hAnsi="Times New Roman" w:cs="Times New Roman"/>
          <w:sz w:val="24"/>
          <w:szCs w:val="24"/>
        </w:rPr>
        <w:t xml:space="preserve">OOM </w:t>
      </w:r>
      <w:r>
        <w:rPr>
          <w:rFonts w:ascii="Times New Roman" w:hAnsi="Times New Roman" w:cs="Times New Roman"/>
          <w:sz w:val="24"/>
          <w:szCs w:val="24"/>
        </w:rPr>
        <w:t xml:space="preserve">actions that cannot be captured in prices, such as the recent outage cancellation directions from ERCOT or potential limits in the RTC software, should be addressed through make-whole payments to generators. </w:t>
      </w:r>
      <w:r w:rsidR="009803B6" w:rsidRPr="00F36114">
        <w:rPr>
          <w:rFonts w:ascii="Times New Roman" w:hAnsi="Times New Roman" w:cs="Times New Roman"/>
          <w:sz w:val="24"/>
          <w:szCs w:val="24"/>
        </w:rPr>
        <w:t>Th</w:t>
      </w:r>
      <w:r w:rsidR="00AB21B0">
        <w:rPr>
          <w:rFonts w:ascii="Times New Roman" w:hAnsi="Times New Roman" w:cs="Times New Roman"/>
          <w:sz w:val="24"/>
          <w:szCs w:val="24"/>
        </w:rPr>
        <w:t>e</w:t>
      </w:r>
      <w:r w:rsidR="009803B6" w:rsidRPr="00F36114">
        <w:rPr>
          <w:rFonts w:ascii="Times New Roman" w:hAnsi="Times New Roman" w:cs="Times New Roman"/>
          <w:sz w:val="24"/>
          <w:szCs w:val="24"/>
        </w:rPr>
        <w:t>s</w:t>
      </w:r>
      <w:r w:rsidR="00AB21B0">
        <w:rPr>
          <w:rFonts w:ascii="Times New Roman" w:hAnsi="Times New Roman" w:cs="Times New Roman"/>
          <w:sz w:val="24"/>
          <w:szCs w:val="24"/>
        </w:rPr>
        <w:t>e</w:t>
      </w:r>
      <w:r w:rsidR="009803B6" w:rsidRPr="00F36114">
        <w:rPr>
          <w:rFonts w:ascii="Times New Roman" w:hAnsi="Times New Roman" w:cs="Times New Roman"/>
          <w:sz w:val="24"/>
          <w:szCs w:val="24"/>
        </w:rPr>
        <w:t xml:space="preserve"> issue</w:t>
      </w:r>
      <w:r w:rsidR="00AB21B0">
        <w:rPr>
          <w:rFonts w:ascii="Times New Roman" w:hAnsi="Times New Roman" w:cs="Times New Roman"/>
          <w:sz w:val="24"/>
          <w:szCs w:val="24"/>
        </w:rPr>
        <w:t>s</w:t>
      </w:r>
      <w:r w:rsidR="009803B6" w:rsidRPr="00F36114">
        <w:rPr>
          <w:rFonts w:ascii="Times New Roman" w:hAnsi="Times New Roman" w:cs="Times New Roman"/>
          <w:sz w:val="24"/>
          <w:szCs w:val="24"/>
        </w:rPr>
        <w:t xml:space="preserve"> warrant further in-depth discussion</w:t>
      </w:r>
      <w:r w:rsidR="00AB21B0">
        <w:rPr>
          <w:rFonts w:ascii="Times New Roman" w:hAnsi="Times New Roman" w:cs="Times New Roman"/>
          <w:sz w:val="24"/>
          <w:szCs w:val="24"/>
        </w:rPr>
        <w:t>s</w:t>
      </w:r>
      <w:r w:rsidR="009803B6" w:rsidRPr="00F36114">
        <w:rPr>
          <w:rFonts w:ascii="Times New Roman" w:hAnsi="Times New Roman" w:cs="Times New Roman"/>
          <w:sz w:val="24"/>
          <w:szCs w:val="24"/>
        </w:rPr>
        <w:t xml:space="preserve"> at </w:t>
      </w:r>
      <w:proofErr w:type="gramStart"/>
      <w:r w:rsidR="009803B6" w:rsidRPr="00F36114">
        <w:rPr>
          <w:rFonts w:ascii="Times New Roman" w:hAnsi="Times New Roman" w:cs="Times New Roman"/>
          <w:sz w:val="24"/>
          <w:szCs w:val="24"/>
        </w:rPr>
        <w:t>ERCOT, but</w:t>
      </w:r>
      <w:proofErr w:type="gramEnd"/>
      <w:r w:rsidR="009803B6" w:rsidRPr="00F36114">
        <w:rPr>
          <w:rFonts w:ascii="Times New Roman" w:hAnsi="Times New Roman" w:cs="Times New Roman"/>
          <w:sz w:val="24"/>
          <w:szCs w:val="24"/>
        </w:rPr>
        <w:t xml:space="preserve"> would benefit from high level policy dir</w:t>
      </w:r>
      <w:r w:rsidR="005A6480" w:rsidRPr="00F36114">
        <w:rPr>
          <w:rFonts w:ascii="Times New Roman" w:hAnsi="Times New Roman" w:cs="Times New Roman"/>
          <w:sz w:val="24"/>
          <w:szCs w:val="24"/>
        </w:rPr>
        <w:t>ection from the Commission for ERCOT</w:t>
      </w:r>
      <w:r w:rsidR="008B32BE" w:rsidRPr="00F36114">
        <w:rPr>
          <w:rFonts w:ascii="Times New Roman" w:hAnsi="Times New Roman" w:cs="Times New Roman"/>
          <w:sz w:val="24"/>
          <w:szCs w:val="24"/>
        </w:rPr>
        <w:t xml:space="preserve"> to</w:t>
      </w:r>
      <w:r w:rsidR="00EB5A7F" w:rsidRPr="00F36114">
        <w:rPr>
          <w:rFonts w:ascii="Times New Roman" w:hAnsi="Times New Roman" w:cs="Times New Roman"/>
          <w:sz w:val="24"/>
          <w:szCs w:val="24"/>
        </w:rPr>
        <w:t xml:space="preserve"> adopt rules to</w:t>
      </w:r>
      <w:r w:rsidR="008B32BE" w:rsidRPr="00F36114">
        <w:rPr>
          <w:rFonts w:ascii="Times New Roman" w:hAnsi="Times New Roman" w:cs="Times New Roman"/>
          <w:sz w:val="24"/>
          <w:szCs w:val="24"/>
        </w:rPr>
        <w:t xml:space="preserve"> compensate </w:t>
      </w:r>
      <w:r w:rsidR="00C028D6">
        <w:rPr>
          <w:rFonts w:ascii="Times New Roman" w:hAnsi="Times New Roman" w:cs="Times New Roman"/>
          <w:sz w:val="24"/>
          <w:szCs w:val="24"/>
        </w:rPr>
        <w:t xml:space="preserve">OOM </w:t>
      </w:r>
      <w:r w:rsidR="009803B6" w:rsidRPr="00F36114">
        <w:rPr>
          <w:rFonts w:ascii="Times New Roman" w:hAnsi="Times New Roman" w:cs="Times New Roman"/>
          <w:sz w:val="24"/>
          <w:szCs w:val="24"/>
        </w:rPr>
        <w:t>actions taken by ERCOT and TDSPs and correct for any associated price reversal.</w:t>
      </w:r>
    </w:p>
    <w:p w14:paraId="372B6DA9" w14:textId="77777777" w:rsidR="00974886" w:rsidRPr="00F36114" w:rsidRDefault="002B7F45" w:rsidP="00FF6A5A">
      <w:pPr>
        <w:pStyle w:val="annettes"/>
        <w:spacing w:before="360"/>
        <w:jc w:val="center"/>
        <w:rPr>
          <w:rFonts w:cs="Times New Roman"/>
          <w:b/>
          <w:szCs w:val="24"/>
        </w:rPr>
      </w:pPr>
      <w:r w:rsidRPr="00F36114">
        <w:rPr>
          <w:rFonts w:cs="Times New Roman"/>
          <w:b/>
          <w:szCs w:val="24"/>
        </w:rPr>
        <w:t xml:space="preserve">II. </w:t>
      </w:r>
      <w:r w:rsidR="005350ED" w:rsidRPr="00F36114">
        <w:rPr>
          <w:rFonts w:cs="Times New Roman"/>
          <w:b/>
          <w:szCs w:val="24"/>
        </w:rPr>
        <w:t xml:space="preserve"> </w:t>
      </w:r>
      <w:r w:rsidR="00A934BB" w:rsidRPr="00F36114">
        <w:rPr>
          <w:rFonts w:cs="Times New Roman"/>
          <w:b/>
          <w:szCs w:val="24"/>
        </w:rPr>
        <w:t>Conclusion</w:t>
      </w:r>
    </w:p>
    <w:p w14:paraId="181AB022" w14:textId="77777777" w:rsidR="00700F70" w:rsidRPr="00F36114" w:rsidRDefault="00DA49BD" w:rsidP="00DC65D8">
      <w:pPr>
        <w:pStyle w:val="annettes"/>
        <w:rPr>
          <w:rFonts w:cs="Times New Roman"/>
          <w:szCs w:val="24"/>
        </w:rPr>
      </w:pPr>
      <w:r w:rsidRPr="00F36114">
        <w:rPr>
          <w:rFonts w:cs="Times New Roman"/>
          <w:szCs w:val="24"/>
        </w:rPr>
        <w:tab/>
      </w:r>
      <w:r w:rsidR="00FF6A5A" w:rsidRPr="00F36114">
        <w:rPr>
          <w:rFonts w:cs="Times New Roman"/>
          <w:szCs w:val="24"/>
        </w:rPr>
        <w:t xml:space="preserve">TCPA appreciates the Commission’s consideration of its comments and requests that </w:t>
      </w:r>
      <w:r w:rsidR="00DC65D8" w:rsidRPr="00F36114">
        <w:rPr>
          <w:rFonts w:cs="Times New Roman"/>
          <w:szCs w:val="24"/>
        </w:rPr>
        <w:t>the Commission carefully evaluate the key RTC parameters, with the aid of an independent consultant, with the objective of doing no harm to resource adequacy.</w:t>
      </w:r>
    </w:p>
    <w:p w14:paraId="52E3C39E" w14:textId="7C0B4739" w:rsidR="009D303C" w:rsidRPr="00F36114" w:rsidRDefault="009D303C" w:rsidP="009D303C">
      <w:pPr>
        <w:spacing w:line="480" w:lineRule="auto"/>
        <w:jc w:val="both"/>
        <w:rPr>
          <w:rFonts w:ascii="Times New Roman" w:hAnsi="Times New Roman" w:cs="Times New Roman"/>
          <w:sz w:val="24"/>
          <w:szCs w:val="24"/>
        </w:rPr>
      </w:pPr>
      <w:r w:rsidRPr="00F36114">
        <w:rPr>
          <w:rFonts w:ascii="Times New Roman" w:hAnsi="Times New Roman" w:cs="Times New Roman"/>
          <w:sz w:val="24"/>
          <w:szCs w:val="24"/>
        </w:rPr>
        <w:t xml:space="preserve">Dated:  </w:t>
      </w:r>
      <w:r w:rsidR="00A00F3D" w:rsidRPr="00F36114">
        <w:rPr>
          <w:rFonts w:ascii="Times New Roman" w:hAnsi="Times New Roman" w:cs="Times New Roman"/>
          <w:sz w:val="24"/>
          <w:szCs w:val="24"/>
        </w:rPr>
        <w:t xml:space="preserve">April </w:t>
      </w:r>
      <w:r w:rsidR="00132DCB">
        <w:rPr>
          <w:rFonts w:ascii="Times New Roman" w:hAnsi="Times New Roman" w:cs="Times New Roman"/>
          <w:sz w:val="24"/>
          <w:szCs w:val="24"/>
        </w:rPr>
        <w:t>1</w:t>
      </w:r>
      <w:r w:rsidR="00A00F3D" w:rsidRPr="00F36114">
        <w:rPr>
          <w:rFonts w:ascii="Times New Roman" w:hAnsi="Times New Roman" w:cs="Times New Roman"/>
          <w:sz w:val="24"/>
          <w:szCs w:val="24"/>
        </w:rPr>
        <w:t>5</w:t>
      </w:r>
      <w:r w:rsidR="0002294B" w:rsidRPr="00F36114">
        <w:rPr>
          <w:rFonts w:ascii="Times New Roman" w:hAnsi="Times New Roman" w:cs="Times New Roman"/>
          <w:sz w:val="24"/>
          <w:szCs w:val="24"/>
        </w:rPr>
        <w:t>, 2019</w:t>
      </w:r>
    </w:p>
    <w:p w14:paraId="06D4783E" w14:textId="77777777" w:rsidR="00FA7269" w:rsidRPr="00F36114" w:rsidRDefault="00FA7269" w:rsidP="009E18D0">
      <w:pPr>
        <w:spacing w:after="0" w:line="480" w:lineRule="auto"/>
        <w:ind w:left="3600" w:firstLine="720"/>
        <w:jc w:val="both"/>
        <w:rPr>
          <w:rFonts w:ascii="Times New Roman" w:eastAsia="Calibri" w:hAnsi="Times New Roman" w:cs="Times New Roman"/>
          <w:sz w:val="24"/>
          <w:szCs w:val="24"/>
        </w:rPr>
      </w:pPr>
      <w:r w:rsidRPr="00F36114">
        <w:rPr>
          <w:rFonts w:ascii="Times New Roman" w:eastAsia="Calibri" w:hAnsi="Times New Roman" w:cs="Times New Roman"/>
          <w:sz w:val="24"/>
          <w:szCs w:val="24"/>
        </w:rPr>
        <w:t>Respectfully submitted,</w:t>
      </w:r>
    </w:p>
    <w:p w14:paraId="20158EF5" w14:textId="77777777" w:rsidR="00FA7269" w:rsidRPr="00F36114" w:rsidRDefault="00FA7269" w:rsidP="00FA7269">
      <w:pPr>
        <w:spacing w:after="0" w:line="240" w:lineRule="auto"/>
        <w:ind w:left="3600" w:firstLine="720"/>
        <w:jc w:val="both"/>
        <w:rPr>
          <w:rFonts w:ascii="Times New Roman" w:eastAsia="Calibri" w:hAnsi="Times New Roman" w:cs="Times New Roman"/>
          <w:sz w:val="24"/>
          <w:szCs w:val="24"/>
        </w:rPr>
      </w:pPr>
    </w:p>
    <w:p w14:paraId="761A1BD3" w14:textId="77777777" w:rsidR="00121648" w:rsidRPr="00F36114" w:rsidRDefault="00121648" w:rsidP="00FA7269">
      <w:pPr>
        <w:spacing w:after="0" w:line="240" w:lineRule="auto"/>
        <w:ind w:left="3600" w:firstLine="720"/>
        <w:jc w:val="both"/>
        <w:rPr>
          <w:rFonts w:ascii="Times New Roman" w:eastAsia="Calibri" w:hAnsi="Times New Roman" w:cs="Times New Roman"/>
          <w:sz w:val="24"/>
          <w:szCs w:val="24"/>
        </w:rPr>
      </w:pPr>
    </w:p>
    <w:p w14:paraId="62AA7126" w14:textId="77777777" w:rsidR="00121648" w:rsidRPr="00F36114" w:rsidRDefault="00121648" w:rsidP="00121648">
      <w:pPr>
        <w:tabs>
          <w:tab w:val="left" w:pos="4320"/>
        </w:tabs>
        <w:spacing w:after="0" w:line="240" w:lineRule="auto"/>
        <w:ind w:right="-540"/>
        <w:rPr>
          <w:rFonts w:ascii="Times New Roman" w:eastAsia="Times New Roman" w:hAnsi="Times New Roman" w:cs="Times New Roman"/>
          <w:sz w:val="24"/>
          <w:szCs w:val="24"/>
        </w:rPr>
      </w:pPr>
      <w:r w:rsidRPr="00F36114">
        <w:rPr>
          <w:rFonts w:ascii="Times New Roman" w:eastAsia="Times New Roman" w:hAnsi="Times New Roman" w:cs="Times New Roman"/>
          <w:sz w:val="24"/>
          <w:szCs w:val="24"/>
        </w:rPr>
        <w:tab/>
        <w:t>__________________________________</w:t>
      </w:r>
    </w:p>
    <w:p w14:paraId="3FC3B69E" w14:textId="77777777" w:rsidR="00121648" w:rsidRPr="00F36114" w:rsidRDefault="00121648" w:rsidP="00A923EF">
      <w:pPr>
        <w:spacing w:after="0" w:line="240" w:lineRule="auto"/>
        <w:ind w:firstLine="720"/>
        <w:outlineLvl w:val="0"/>
        <w:rPr>
          <w:rFonts w:ascii="Times New Roman" w:eastAsia="Times New Roman" w:hAnsi="Times New Roman" w:cs="Times New Roman"/>
          <w:sz w:val="24"/>
          <w:szCs w:val="24"/>
        </w:rPr>
      </w:pPr>
      <w:r w:rsidRPr="00F36114">
        <w:rPr>
          <w:rFonts w:ascii="Times New Roman" w:eastAsia="Times New Roman" w:hAnsi="Times New Roman" w:cs="Times New Roman"/>
          <w:sz w:val="24"/>
          <w:szCs w:val="24"/>
        </w:rPr>
        <w:tab/>
      </w:r>
      <w:r w:rsidRPr="00F36114">
        <w:rPr>
          <w:rFonts w:ascii="Times New Roman" w:eastAsia="Times New Roman" w:hAnsi="Times New Roman" w:cs="Times New Roman"/>
          <w:sz w:val="24"/>
          <w:szCs w:val="24"/>
        </w:rPr>
        <w:tab/>
      </w:r>
      <w:r w:rsidRPr="00F36114">
        <w:rPr>
          <w:rFonts w:ascii="Times New Roman" w:eastAsia="Times New Roman" w:hAnsi="Times New Roman" w:cs="Times New Roman"/>
          <w:sz w:val="24"/>
          <w:szCs w:val="24"/>
        </w:rPr>
        <w:tab/>
      </w:r>
      <w:r w:rsidRPr="00F36114">
        <w:rPr>
          <w:rFonts w:ascii="Times New Roman" w:eastAsia="Times New Roman" w:hAnsi="Times New Roman" w:cs="Times New Roman"/>
          <w:sz w:val="24"/>
          <w:szCs w:val="24"/>
        </w:rPr>
        <w:tab/>
      </w:r>
      <w:r w:rsidRPr="00F36114">
        <w:rPr>
          <w:rFonts w:ascii="Times New Roman" w:eastAsia="Times New Roman" w:hAnsi="Times New Roman" w:cs="Times New Roman"/>
          <w:sz w:val="24"/>
          <w:szCs w:val="24"/>
        </w:rPr>
        <w:tab/>
      </w:r>
      <w:r w:rsidR="00476493" w:rsidRPr="00F36114">
        <w:rPr>
          <w:rFonts w:ascii="Times New Roman" w:eastAsia="Times New Roman" w:hAnsi="Times New Roman" w:cs="Times New Roman"/>
          <w:sz w:val="24"/>
          <w:szCs w:val="24"/>
        </w:rPr>
        <w:t>Michele Gregg</w:t>
      </w:r>
    </w:p>
    <w:p w14:paraId="52418FE2" w14:textId="77777777" w:rsidR="00476493" w:rsidRPr="00F36114" w:rsidRDefault="00476493" w:rsidP="00A923EF">
      <w:pPr>
        <w:spacing w:after="0" w:line="240" w:lineRule="auto"/>
        <w:ind w:firstLine="720"/>
        <w:outlineLvl w:val="0"/>
        <w:rPr>
          <w:rFonts w:ascii="Times New Roman" w:eastAsia="Times New Roman" w:hAnsi="Times New Roman" w:cs="Times New Roman"/>
          <w:sz w:val="24"/>
          <w:szCs w:val="24"/>
        </w:rPr>
      </w:pPr>
      <w:r w:rsidRPr="00F36114">
        <w:rPr>
          <w:rFonts w:ascii="Times New Roman" w:eastAsia="Times New Roman" w:hAnsi="Times New Roman" w:cs="Times New Roman"/>
          <w:sz w:val="24"/>
          <w:szCs w:val="24"/>
        </w:rPr>
        <w:tab/>
      </w:r>
      <w:r w:rsidRPr="00F36114">
        <w:rPr>
          <w:rFonts w:ascii="Times New Roman" w:eastAsia="Times New Roman" w:hAnsi="Times New Roman" w:cs="Times New Roman"/>
          <w:sz w:val="24"/>
          <w:szCs w:val="24"/>
        </w:rPr>
        <w:tab/>
      </w:r>
      <w:r w:rsidRPr="00F36114">
        <w:rPr>
          <w:rFonts w:ascii="Times New Roman" w:eastAsia="Times New Roman" w:hAnsi="Times New Roman" w:cs="Times New Roman"/>
          <w:sz w:val="24"/>
          <w:szCs w:val="24"/>
        </w:rPr>
        <w:tab/>
      </w:r>
      <w:r w:rsidRPr="00F36114">
        <w:rPr>
          <w:rFonts w:ascii="Times New Roman" w:eastAsia="Times New Roman" w:hAnsi="Times New Roman" w:cs="Times New Roman"/>
          <w:sz w:val="24"/>
          <w:szCs w:val="24"/>
        </w:rPr>
        <w:tab/>
      </w:r>
      <w:r w:rsidRPr="00F36114">
        <w:rPr>
          <w:rFonts w:ascii="Times New Roman" w:eastAsia="Times New Roman" w:hAnsi="Times New Roman" w:cs="Times New Roman"/>
          <w:sz w:val="24"/>
          <w:szCs w:val="24"/>
        </w:rPr>
        <w:tab/>
        <w:t>Executive Director</w:t>
      </w:r>
    </w:p>
    <w:p w14:paraId="3839ABB1" w14:textId="77777777" w:rsidR="00476493" w:rsidRPr="00F36114" w:rsidRDefault="00476493" w:rsidP="00A923EF">
      <w:pPr>
        <w:spacing w:after="0" w:line="240" w:lineRule="auto"/>
        <w:ind w:firstLine="720"/>
        <w:outlineLvl w:val="0"/>
        <w:rPr>
          <w:rFonts w:ascii="Times New Roman" w:eastAsia="Times New Roman" w:hAnsi="Times New Roman" w:cs="Times New Roman"/>
          <w:sz w:val="24"/>
          <w:szCs w:val="24"/>
        </w:rPr>
      </w:pPr>
      <w:r w:rsidRPr="00F36114">
        <w:rPr>
          <w:rFonts w:ascii="Times New Roman" w:eastAsia="Times New Roman" w:hAnsi="Times New Roman" w:cs="Times New Roman"/>
          <w:sz w:val="24"/>
          <w:szCs w:val="24"/>
        </w:rPr>
        <w:tab/>
      </w:r>
      <w:r w:rsidRPr="00F36114">
        <w:rPr>
          <w:rFonts w:ascii="Times New Roman" w:eastAsia="Times New Roman" w:hAnsi="Times New Roman" w:cs="Times New Roman"/>
          <w:sz w:val="24"/>
          <w:szCs w:val="24"/>
        </w:rPr>
        <w:tab/>
      </w:r>
      <w:r w:rsidRPr="00F36114">
        <w:rPr>
          <w:rFonts w:ascii="Times New Roman" w:eastAsia="Times New Roman" w:hAnsi="Times New Roman" w:cs="Times New Roman"/>
          <w:sz w:val="24"/>
          <w:szCs w:val="24"/>
        </w:rPr>
        <w:tab/>
      </w:r>
      <w:r w:rsidRPr="00F36114">
        <w:rPr>
          <w:rFonts w:ascii="Times New Roman" w:eastAsia="Times New Roman" w:hAnsi="Times New Roman" w:cs="Times New Roman"/>
          <w:sz w:val="24"/>
          <w:szCs w:val="24"/>
        </w:rPr>
        <w:tab/>
      </w:r>
      <w:r w:rsidRPr="00F36114">
        <w:rPr>
          <w:rFonts w:ascii="Times New Roman" w:eastAsia="Times New Roman" w:hAnsi="Times New Roman" w:cs="Times New Roman"/>
          <w:sz w:val="24"/>
          <w:szCs w:val="24"/>
        </w:rPr>
        <w:tab/>
        <w:t>Texas Competitive Power Advocates (TCPA)</w:t>
      </w:r>
    </w:p>
    <w:p w14:paraId="177C6FEF" w14:textId="77777777" w:rsidR="00476493" w:rsidRPr="00F36114" w:rsidRDefault="00476493" w:rsidP="00A923EF">
      <w:pPr>
        <w:spacing w:after="0" w:line="240" w:lineRule="auto"/>
        <w:ind w:firstLine="720"/>
        <w:outlineLvl w:val="0"/>
        <w:rPr>
          <w:rFonts w:ascii="Times New Roman" w:eastAsia="Times New Roman" w:hAnsi="Times New Roman" w:cs="Times New Roman"/>
          <w:sz w:val="24"/>
          <w:szCs w:val="24"/>
        </w:rPr>
      </w:pPr>
      <w:r w:rsidRPr="00F36114">
        <w:rPr>
          <w:rFonts w:ascii="Times New Roman" w:eastAsia="Times New Roman" w:hAnsi="Times New Roman" w:cs="Times New Roman"/>
          <w:sz w:val="24"/>
          <w:szCs w:val="24"/>
        </w:rPr>
        <w:tab/>
      </w:r>
      <w:r w:rsidRPr="00F36114">
        <w:rPr>
          <w:rFonts w:ascii="Times New Roman" w:eastAsia="Times New Roman" w:hAnsi="Times New Roman" w:cs="Times New Roman"/>
          <w:sz w:val="24"/>
          <w:szCs w:val="24"/>
        </w:rPr>
        <w:tab/>
      </w:r>
      <w:r w:rsidRPr="00F36114">
        <w:rPr>
          <w:rFonts w:ascii="Times New Roman" w:eastAsia="Times New Roman" w:hAnsi="Times New Roman" w:cs="Times New Roman"/>
          <w:sz w:val="24"/>
          <w:szCs w:val="24"/>
        </w:rPr>
        <w:tab/>
      </w:r>
      <w:r w:rsidRPr="00F36114">
        <w:rPr>
          <w:rFonts w:ascii="Times New Roman" w:eastAsia="Times New Roman" w:hAnsi="Times New Roman" w:cs="Times New Roman"/>
          <w:sz w:val="24"/>
          <w:szCs w:val="24"/>
        </w:rPr>
        <w:tab/>
      </w:r>
      <w:r w:rsidRPr="00F36114">
        <w:rPr>
          <w:rFonts w:ascii="Times New Roman" w:eastAsia="Times New Roman" w:hAnsi="Times New Roman" w:cs="Times New Roman"/>
          <w:sz w:val="24"/>
          <w:szCs w:val="24"/>
        </w:rPr>
        <w:tab/>
        <w:t>(512) 653-7447</w:t>
      </w:r>
    </w:p>
    <w:p w14:paraId="1BDED401" w14:textId="77777777" w:rsidR="00FA7269" w:rsidRPr="0048370E" w:rsidRDefault="00476493" w:rsidP="00FD11B5">
      <w:pPr>
        <w:spacing w:after="0" w:line="240" w:lineRule="auto"/>
        <w:ind w:firstLine="720"/>
        <w:outlineLvl w:val="0"/>
        <w:rPr>
          <w:rFonts w:ascii="Times New Roman" w:eastAsia="Calibri" w:hAnsi="Times New Roman" w:cs="Times New Roman"/>
          <w:sz w:val="24"/>
          <w:szCs w:val="24"/>
        </w:rPr>
      </w:pPr>
      <w:r w:rsidRPr="00F36114">
        <w:rPr>
          <w:rFonts w:ascii="Times New Roman" w:eastAsia="Times New Roman" w:hAnsi="Times New Roman" w:cs="Times New Roman"/>
          <w:sz w:val="24"/>
          <w:szCs w:val="24"/>
        </w:rPr>
        <w:tab/>
      </w:r>
      <w:r w:rsidRPr="00F36114">
        <w:rPr>
          <w:rFonts w:ascii="Times New Roman" w:eastAsia="Times New Roman" w:hAnsi="Times New Roman" w:cs="Times New Roman"/>
          <w:sz w:val="24"/>
          <w:szCs w:val="24"/>
        </w:rPr>
        <w:tab/>
      </w:r>
      <w:r w:rsidRPr="00F36114">
        <w:rPr>
          <w:rFonts w:ascii="Times New Roman" w:eastAsia="Times New Roman" w:hAnsi="Times New Roman" w:cs="Times New Roman"/>
          <w:sz w:val="24"/>
          <w:szCs w:val="24"/>
        </w:rPr>
        <w:tab/>
      </w:r>
      <w:r w:rsidRPr="00F36114">
        <w:rPr>
          <w:rFonts w:ascii="Times New Roman" w:eastAsia="Times New Roman" w:hAnsi="Times New Roman" w:cs="Times New Roman"/>
          <w:sz w:val="24"/>
          <w:szCs w:val="24"/>
        </w:rPr>
        <w:tab/>
      </w:r>
      <w:r w:rsidRPr="00F36114">
        <w:rPr>
          <w:rFonts w:ascii="Times New Roman" w:eastAsia="Times New Roman" w:hAnsi="Times New Roman" w:cs="Times New Roman"/>
          <w:sz w:val="24"/>
          <w:szCs w:val="24"/>
        </w:rPr>
        <w:tab/>
      </w:r>
      <w:hyperlink r:id="rId8" w:history="1">
        <w:r w:rsidRPr="00F36114">
          <w:rPr>
            <w:rStyle w:val="Hyperlink"/>
            <w:rFonts w:ascii="Times New Roman" w:eastAsia="Times New Roman" w:hAnsi="Times New Roman" w:cs="Times New Roman"/>
            <w:sz w:val="24"/>
            <w:szCs w:val="24"/>
          </w:rPr>
          <w:t>michele@competitivepower.org</w:t>
        </w:r>
      </w:hyperlink>
      <w:r>
        <w:rPr>
          <w:rFonts w:ascii="Times New Roman" w:eastAsia="Times New Roman" w:hAnsi="Times New Roman" w:cs="Times New Roman"/>
          <w:sz w:val="24"/>
          <w:szCs w:val="24"/>
        </w:rPr>
        <w:t xml:space="preserve"> </w:t>
      </w:r>
      <w:r w:rsidR="00121648" w:rsidRPr="0048370E">
        <w:rPr>
          <w:rFonts w:ascii="Times New Roman" w:eastAsia="Times New Roman" w:hAnsi="Times New Roman" w:cs="Times New Roman"/>
          <w:sz w:val="24"/>
          <w:szCs w:val="24"/>
        </w:rPr>
        <w:tab/>
      </w:r>
      <w:r w:rsidR="00121648" w:rsidRPr="0048370E">
        <w:rPr>
          <w:rFonts w:ascii="Times New Roman" w:eastAsia="Times New Roman" w:hAnsi="Times New Roman" w:cs="Times New Roman"/>
          <w:sz w:val="24"/>
          <w:szCs w:val="24"/>
        </w:rPr>
        <w:tab/>
      </w:r>
      <w:r w:rsidR="00121648" w:rsidRPr="0048370E">
        <w:rPr>
          <w:rFonts w:ascii="Times New Roman" w:eastAsia="Times New Roman" w:hAnsi="Times New Roman" w:cs="Times New Roman"/>
          <w:sz w:val="24"/>
          <w:szCs w:val="24"/>
        </w:rPr>
        <w:tab/>
      </w:r>
    </w:p>
    <w:sectPr w:rsidR="00FA7269" w:rsidRPr="0048370E" w:rsidSect="006E55AF">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E87FE" w14:textId="77777777" w:rsidR="002E6F5D" w:rsidRDefault="002E6F5D" w:rsidP="00F75562">
      <w:pPr>
        <w:spacing w:after="0" w:line="240" w:lineRule="auto"/>
      </w:pPr>
      <w:r>
        <w:separator/>
      </w:r>
    </w:p>
  </w:endnote>
  <w:endnote w:type="continuationSeparator" w:id="0">
    <w:p w14:paraId="01E76526" w14:textId="77777777" w:rsidR="002E6F5D" w:rsidRDefault="002E6F5D" w:rsidP="00F7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42659"/>
      <w:docPartObj>
        <w:docPartGallery w:val="Page Numbers (Bottom of Page)"/>
        <w:docPartUnique/>
      </w:docPartObj>
    </w:sdtPr>
    <w:sdtEndPr>
      <w:rPr>
        <w:rFonts w:ascii="Times New Roman" w:hAnsi="Times New Roman" w:cs="Times New Roman"/>
        <w:noProof/>
        <w:sz w:val="24"/>
        <w:szCs w:val="24"/>
      </w:rPr>
    </w:sdtEndPr>
    <w:sdtContent>
      <w:p w14:paraId="31ED8E8D" w14:textId="631AC98E" w:rsidR="005C1185" w:rsidRPr="00FA1FB8" w:rsidRDefault="005C1185">
        <w:pPr>
          <w:pStyle w:val="Footer"/>
          <w:jc w:val="center"/>
          <w:rPr>
            <w:rFonts w:ascii="Times New Roman" w:hAnsi="Times New Roman" w:cs="Times New Roman"/>
            <w:sz w:val="24"/>
            <w:szCs w:val="24"/>
          </w:rPr>
        </w:pPr>
        <w:r w:rsidRPr="00FA1FB8">
          <w:rPr>
            <w:rFonts w:ascii="Times New Roman" w:hAnsi="Times New Roman" w:cs="Times New Roman"/>
            <w:sz w:val="24"/>
            <w:szCs w:val="24"/>
          </w:rPr>
          <w:fldChar w:fldCharType="begin"/>
        </w:r>
        <w:r w:rsidRPr="00FA1FB8">
          <w:rPr>
            <w:rFonts w:ascii="Times New Roman" w:hAnsi="Times New Roman" w:cs="Times New Roman"/>
            <w:sz w:val="24"/>
            <w:szCs w:val="24"/>
          </w:rPr>
          <w:instrText xml:space="preserve"> PAGE   \* MERGEFORMAT </w:instrText>
        </w:r>
        <w:r w:rsidRPr="00FA1FB8">
          <w:rPr>
            <w:rFonts w:ascii="Times New Roman" w:hAnsi="Times New Roman" w:cs="Times New Roman"/>
            <w:sz w:val="24"/>
            <w:szCs w:val="24"/>
          </w:rPr>
          <w:fldChar w:fldCharType="separate"/>
        </w:r>
        <w:r w:rsidR="00F2760A">
          <w:rPr>
            <w:rFonts w:ascii="Times New Roman" w:hAnsi="Times New Roman" w:cs="Times New Roman"/>
            <w:noProof/>
            <w:sz w:val="24"/>
            <w:szCs w:val="24"/>
          </w:rPr>
          <w:t>10</w:t>
        </w:r>
        <w:r w:rsidRPr="00FA1FB8">
          <w:rPr>
            <w:rFonts w:ascii="Times New Roman" w:hAnsi="Times New Roman" w:cs="Times New Roman"/>
            <w:noProof/>
            <w:sz w:val="24"/>
            <w:szCs w:val="24"/>
          </w:rPr>
          <w:fldChar w:fldCharType="end"/>
        </w:r>
      </w:p>
    </w:sdtContent>
  </w:sdt>
  <w:p w14:paraId="01828647" w14:textId="77777777" w:rsidR="005C1185" w:rsidRPr="00DE4A1C" w:rsidRDefault="005C1185" w:rsidP="00DE4A1C">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17E27" w14:textId="77777777" w:rsidR="002E6F5D" w:rsidRDefault="002E6F5D" w:rsidP="00F75562">
      <w:pPr>
        <w:spacing w:after="0" w:line="240" w:lineRule="auto"/>
      </w:pPr>
      <w:r>
        <w:separator/>
      </w:r>
    </w:p>
  </w:footnote>
  <w:footnote w:type="continuationSeparator" w:id="0">
    <w:p w14:paraId="6A9270DA" w14:textId="77777777" w:rsidR="002E6F5D" w:rsidRDefault="002E6F5D" w:rsidP="00F75562">
      <w:pPr>
        <w:spacing w:after="0" w:line="240" w:lineRule="auto"/>
      </w:pPr>
      <w:r>
        <w:continuationSeparator/>
      </w:r>
    </w:p>
  </w:footnote>
  <w:footnote w:id="1">
    <w:p w14:paraId="34584C71" w14:textId="77777777" w:rsidR="005C1185" w:rsidRDefault="005C1185">
      <w:pPr>
        <w:pStyle w:val="FootnoteText"/>
      </w:pPr>
      <w:r>
        <w:rPr>
          <w:rStyle w:val="FootnoteReference"/>
        </w:rPr>
        <w:footnoteRef/>
      </w:r>
      <w:r>
        <w:t xml:space="preserve"> </w:t>
      </w:r>
      <w:r>
        <w:tab/>
        <w:t xml:space="preserve">Request for Comments (Feb. 28, 2019) (published in 44 </w:t>
      </w:r>
      <w:r w:rsidRPr="004372A5">
        <w:t>Tex. Reg</w:t>
      </w:r>
      <w:r>
        <w:t>. 1481-82 (Mar. 15, 2019)).</w:t>
      </w:r>
    </w:p>
  </w:footnote>
  <w:footnote w:id="2">
    <w:p w14:paraId="3D638EEA" w14:textId="6635F138" w:rsidR="006E0F2C" w:rsidRPr="006A26AE" w:rsidRDefault="006E0F2C" w:rsidP="006E0F2C">
      <w:pPr>
        <w:pStyle w:val="FootnoteText"/>
      </w:pPr>
      <w:r>
        <w:rPr>
          <w:rStyle w:val="FootnoteReference"/>
        </w:rPr>
        <w:footnoteRef/>
      </w:r>
      <w:r>
        <w:t xml:space="preserve"> </w:t>
      </w:r>
      <w:r>
        <w:tab/>
        <w:t>In the RTC construct, because the PBPC would apparently only come into play in the</w:t>
      </w:r>
      <w:r w:rsidR="00247C85">
        <w:t xml:space="preserve"> extremely unlikely</w:t>
      </w:r>
      <w:r>
        <w:t xml:space="preserve"> event of </w:t>
      </w:r>
      <w:r w:rsidR="00665876">
        <w:t xml:space="preserve">uncontrolled </w:t>
      </w:r>
      <w:r>
        <w:t xml:space="preserve">load shed (rather than to set the price when regulation service is deployed to meet transitory supply shortages), the PBPC likely would be a single value, rather than a curve as it is today. </w:t>
      </w:r>
    </w:p>
  </w:footnote>
  <w:footnote w:id="3">
    <w:p w14:paraId="2A8A8EF4" w14:textId="215600A3" w:rsidR="006E0F2C" w:rsidRPr="00854002" w:rsidRDefault="006E0F2C">
      <w:pPr>
        <w:pStyle w:val="FootnoteText"/>
      </w:pPr>
      <w:r>
        <w:rPr>
          <w:rStyle w:val="FootnoteReference"/>
        </w:rPr>
        <w:footnoteRef/>
      </w:r>
      <w:r>
        <w:t xml:space="preserve"> </w:t>
      </w:r>
      <w:r>
        <w:tab/>
      </w:r>
      <w:r w:rsidR="00F309B5">
        <w:rPr>
          <w:i/>
        </w:rPr>
        <w:t>Review of Summer 2018 ERCOT Market Performance</w:t>
      </w:r>
      <w:r w:rsidR="00F309B5">
        <w:t>, Project No. 48551, Memorandum from Chairman DeAnn T. Walker (Jan. 17, 2019).</w:t>
      </w:r>
      <w:r w:rsidR="00F309B5">
        <w:rPr>
          <w:i/>
        </w:rPr>
        <w:t xml:space="preserve"> </w:t>
      </w:r>
      <w:r w:rsidR="00854002">
        <w:rPr>
          <w:i/>
        </w:rPr>
        <w:t>See also infra</w:t>
      </w:r>
      <w:r w:rsidR="00854002">
        <w:t xml:space="preserve"> note </w:t>
      </w:r>
      <w:hyperlink w:anchor="Note7" w:history="1">
        <w:r w:rsidR="00854002" w:rsidRPr="00854002">
          <w:rPr>
            <w:rStyle w:val="Hyperlink"/>
          </w:rPr>
          <w:t>7</w:t>
        </w:r>
      </w:hyperlink>
      <w:r w:rsidR="00854002">
        <w:t>.</w:t>
      </w:r>
    </w:p>
  </w:footnote>
  <w:footnote w:id="4">
    <w:p w14:paraId="564C3AA5" w14:textId="67BB0104" w:rsidR="006E0F2C" w:rsidRDefault="006E0F2C" w:rsidP="006E0F2C">
      <w:pPr>
        <w:pStyle w:val="FootnoteText"/>
      </w:pPr>
      <w:r>
        <w:rPr>
          <w:rStyle w:val="FootnoteReference"/>
        </w:rPr>
        <w:footnoteRef/>
      </w:r>
      <w:r>
        <w:t xml:space="preserve"> </w:t>
      </w:r>
      <w:r w:rsidR="00D87169">
        <w:tab/>
        <w:t>ERCOT, Report on the Capacity, Demand and Reserves (CDR) in the ERCOT Region, 2019-2028 (Dec. 4, 2018)</w:t>
      </w:r>
      <w:r w:rsidR="00014CF6">
        <w:t xml:space="preserve"> (hereafter, ERCOT CDR, 2019-2028)</w:t>
      </w:r>
      <w:r w:rsidR="00D87169">
        <w:t xml:space="preserve">, </w:t>
      </w:r>
      <w:r w:rsidR="00D87169">
        <w:rPr>
          <w:i/>
        </w:rPr>
        <w:t xml:space="preserve">available at: </w:t>
      </w:r>
      <w:hyperlink r:id="rId1" w:history="1">
        <w:r w:rsidR="00355A5E" w:rsidRPr="00355A5E">
          <w:rPr>
            <w:rStyle w:val="Hyperlink"/>
          </w:rPr>
          <w:t>http://www.ercot.com/content/</w:t>
        </w:r>
        <w:r w:rsidR="00355A5E" w:rsidRPr="00355A5E">
          <w:rPr>
            <w:rStyle w:val="Hyperlink"/>
          </w:rPr>
          <w:br/>
        </w:r>
        <w:proofErr w:type="spellStart"/>
        <w:r w:rsidR="00355A5E" w:rsidRPr="00CF4225">
          <w:rPr>
            <w:rStyle w:val="Hyperlink"/>
          </w:rPr>
          <w:t>wcm</w:t>
        </w:r>
        <w:proofErr w:type="spellEnd"/>
        <w:r w:rsidR="00355A5E" w:rsidRPr="00CF4225">
          <w:rPr>
            <w:rStyle w:val="Hyperlink"/>
          </w:rPr>
          <w:t>/lists/167023/CapacityDemandandReserv</w:t>
        </w:r>
        <w:r w:rsidR="00355A5E" w:rsidRPr="009F65CB">
          <w:rPr>
            <w:rStyle w:val="Hyperlink"/>
          </w:rPr>
          <w:t>esReport-Dec2018.pdf</w:t>
        </w:r>
      </w:hyperlink>
      <w:r w:rsidR="00D87169">
        <w:t xml:space="preserve">. </w:t>
      </w:r>
    </w:p>
  </w:footnote>
  <w:footnote w:id="5">
    <w:p w14:paraId="3A7968A3" w14:textId="504157BB" w:rsidR="005C1185" w:rsidRPr="00DE4816" w:rsidRDefault="005C1185">
      <w:pPr>
        <w:pStyle w:val="FootnoteText"/>
      </w:pPr>
      <w:r>
        <w:rPr>
          <w:rStyle w:val="FootnoteReference"/>
        </w:rPr>
        <w:footnoteRef/>
      </w:r>
      <w:r>
        <w:t xml:space="preserve"> </w:t>
      </w:r>
      <w:r>
        <w:tab/>
        <w:t xml:space="preserve">ERCOT Concept Paper for Real-Time Co-Optimization of Energy and Ancillary Services at 14–15 (Draft) (Version 0.4) (Sept. 29, 2017) (hereafter, ERCOT RTC Whitepaper), </w:t>
      </w:r>
      <w:r>
        <w:rPr>
          <w:i/>
        </w:rPr>
        <w:t>available at</w:t>
      </w:r>
      <w:r>
        <w:t xml:space="preserve">: </w:t>
      </w:r>
      <w:hyperlink r:id="rId2" w:history="1">
        <w:r w:rsidR="00EC4AAE" w:rsidRPr="004B7BE6">
          <w:rPr>
            <w:rStyle w:val="Hyperlink"/>
          </w:rPr>
          <w:t>http://www.ercot.com/content/wcm/key_documents_lists/131797/RT_Co-optimization_Scope_UPDATED_092920</w:t>
        </w:r>
        <w:r w:rsidR="00EC4AAE" w:rsidRPr="004B7BE6">
          <w:rPr>
            <w:rStyle w:val="Hyperlink"/>
          </w:rPr>
          <w:br/>
          <w:t>17.docx</w:t>
        </w:r>
      </w:hyperlink>
      <w:r>
        <w:t xml:space="preserve">. </w:t>
      </w:r>
    </w:p>
  </w:footnote>
  <w:footnote w:id="6">
    <w:p w14:paraId="465ACEAC" w14:textId="127C64D3" w:rsidR="006E0F2C" w:rsidRPr="00A90F08" w:rsidRDefault="006E0F2C">
      <w:pPr>
        <w:pStyle w:val="FootnoteText"/>
      </w:pPr>
      <w:r w:rsidRPr="00A90F08">
        <w:rPr>
          <w:rStyle w:val="FootnoteReference"/>
        </w:rPr>
        <w:footnoteRef/>
      </w:r>
      <w:r w:rsidRPr="00A90F08">
        <w:t xml:space="preserve"> </w:t>
      </w:r>
      <w:r w:rsidRPr="00A90F08">
        <w:tab/>
      </w:r>
      <w:r w:rsidRPr="00A90F08">
        <w:rPr>
          <w:rFonts w:cs="Times New Roman"/>
        </w:rPr>
        <w:t>The PBPC comes into play when all available capacity, including reserves, is depleted and demand cannot be met. It is assumed that this would be exceedingly unlikely since</w:t>
      </w:r>
      <w:r w:rsidR="00247C85">
        <w:rPr>
          <w:rFonts w:cs="Times New Roman"/>
        </w:rPr>
        <w:t xml:space="preserve"> controlled</w:t>
      </w:r>
      <w:r w:rsidRPr="00A90F08">
        <w:rPr>
          <w:rFonts w:cs="Times New Roman"/>
        </w:rPr>
        <w:t xml:space="preserve"> </w:t>
      </w:r>
      <w:r w:rsidR="00C83450">
        <w:rPr>
          <w:rFonts w:cs="Times New Roman"/>
        </w:rPr>
        <w:t>l</w:t>
      </w:r>
      <w:r w:rsidR="00C83450" w:rsidRPr="00A90F08">
        <w:rPr>
          <w:rFonts w:cs="Times New Roman"/>
        </w:rPr>
        <w:t xml:space="preserve">oad </w:t>
      </w:r>
      <w:r w:rsidR="001E7924">
        <w:rPr>
          <w:rFonts w:cs="Times New Roman"/>
        </w:rPr>
        <w:t>s</w:t>
      </w:r>
      <w:r w:rsidRPr="00A90F08">
        <w:rPr>
          <w:rFonts w:cs="Times New Roman"/>
        </w:rPr>
        <w:t>hed would be initiated prior to a complete exhaustion of all capacity and reserves.</w:t>
      </w:r>
    </w:p>
  </w:footnote>
  <w:footnote w:id="7">
    <w:p w14:paraId="227DC66D" w14:textId="77777777" w:rsidR="00286F93" w:rsidRPr="00330248" w:rsidRDefault="00286F93" w:rsidP="00286F93">
      <w:pPr>
        <w:pStyle w:val="FootnoteText"/>
      </w:pPr>
      <w:r>
        <w:rPr>
          <w:rStyle w:val="FootnoteReference"/>
        </w:rPr>
        <w:footnoteRef/>
      </w:r>
      <w:r>
        <w:t xml:space="preserve"> </w:t>
      </w:r>
      <w:r>
        <w:tab/>
        <w:t xml:space="preserve">It took several years and multiple rounds of comments at the Commission (with over 600 filings in three years) from the time that a former Commission initially expressed concern with resource adequacy in ERCOT leading up to the summer of 2011 to that Commission’s ultimate adoption of the current scarcity pricing mechanism in ERCOT, i.e., the ORDC; it then took another nine months or so before ERCOT stakeholders adopted and ERCOT implemented the ORDC. </w:t>
      </w:r>
      <w:r>
        <w:rPr>
          <w:i/>
        </w:rPr>
        <w:t>See generally</w:t>
      </w:r>
      <w:r>
        <w:t xml:space="preserve"> Project No. 37897 (opened in May 2011, but prompted by an initial request in December 2010 by that Commission to ERCOT to st</w:t>
      </w:r>
      <w:bookmarkStart w:id="1" w:name="Note7"/>
      <w:bookmarkEnd w:id="1"/>
      <w:r>
        <w:t>udy the impact of impending environmental regulations on resource adequacy in ERCOT); Project No. 40000 (opened in July 2012 and ultimately resulted in the Commission directing ERCOT to develop the ORDC at the September 12, 2013 open meeting); NPRR 568 (adopted in November 2013 and implemented in time for summer 2014). The ORDC continues to be the subject of debate and refinement, most recently with the Commission’s decision at the January 17, 2019 open meeting to adjust the loss of load probability curve in a two-step process, beginning this spring with a 0.25 shift and culminating with an additional 0.25 shift in spring 2020.</w:t>
      </w:r>
    </w:p>
  </w:footnote>
  <w:footnote w:id="8">
    <w:p w14:paraId="263DC26B" w14:textId="3E73DBE5" w:rsidR="00D56F8D" w:rsidRDefault="00D56F8D">
      <w:pPr>
        <w:pStyle w:val="FootnoteText"/>
      </w:pPr>
      <w:r>
        <w:rPr>
          <w:rStyle w:val="FootnoteReference"/>
        </w:rPr>
        <w:footnoteRef/>
      </w:r>
      <w:r>
        <w:t xml:space="preserve"> </w:t>
      </w:r>
      <w:r w:rsidR="002A6163">
        <w:tab/>
      </w:r>
      <w:r w:rsidR="00665876">
        <w:t xml:space="preserve">Project No. 48551, </w:t>
      </w:r>
      <w:r w:rsidR="002A6163">
        <w:t xml:space="preserve">The Brattle Group, </w:t>
      </w:r>
      <w:r w:rsidR="002A6163">
        <w:rPr>
          <w:i/>
        </w:rPr>
        <w:t xml:space="preserve">Sensitivity of the Market Equilibrium Reserve Margin to Potential Changes in the ORDC </w:t>
      </w:r>
      <w:r w:rsidR="002A6163">
        <w:t xml:space="preserve">at 6-7 &amp; 10 (Dec. 3, 2018), </w:t>
      </w:r>
      <w:r w:rsidR="002A6163">
        <w:rPr>
          <w:i/>
        </w:rPr>
        <w:t>available at</w:t>
      </w:r>
      <w:r w:rsidR="002A6163">
        <w:t xml:space="preserve">: </w:t>
      </w:r>
      <w:hyperlink r:id="rId3" w:history="1">
        <w:r w:rsidR="002A6163" w:rsidRPr="00C77DD5">
          <w:rPr>
            <w:rStyle w:val="Hyperlink"/>
          </w:rPr>
          <w:t>http://interchange.puc.texas.gov/Search/Documents?controlNumber=48551&amp;itemNumber=54</w:t>
        </w:r>
      </w:hyperlink>
      <w:r w:rsidR="00665876">
        <w:t>.</w:t>
      </w:r>
      <w:r w:rsidR="002A6163">
        <w:t xml:space="preserve"> </w:t>
      </w:r>
    </w:p>
  </w:footnote>
  <w:footnote w:id="9">
    <w:p w14:paraId="4E31FE31" w14:textId="29A52E4D" w:rsidR="005C1185" w:rsidRPr="00330248" w:rsidRDefault="005C1185" w:rsidP="00A90231">
      <w:pPr>
        <w:pStyle w:val="FootnoteText"/>
      </w:pPr>
      <w:r>
        <w:rPr>
          <w:rStyle w:val="FootnoteReference"/>
        </w:rPr>
        <w:footnoteRef/>
      </w:r>
      <w:r>
        <w:t xml:space="preserve"> </w:t>
      </w:r>
      <w:r>
        <w:tab/>
        <w:t xml:space="preserve">The Brattle Group, </w:t>
      </w:r>
      <w:r>
        <w:rPr>
          <w:i/>
        </w:rPr>
        <w:t>Estimation of the Market Equilibrium and Economically Optimal Reserve Margins for the ERCOT Region</w:t>
      </w:r>
      <w:r>
        <w:t xml:space="preserve"> at iii (Dec. 20, 2018), </w:t>
      </w:r>
      <w:r>
        <w:rPr>
          <w:i/>
        </w:rPr>
        <w:t>available at</w:t>
      </w:r>
      <w:r>
        <w:t xml:space="preserve">: </w:t>
      </w:r>
      <w:hyperlink r:id="rId4" w:history="1">
        <w:r w:rsidR="00014CF6" w:rsidRPr="00014CF6">
          <w:rPr>
            <w:rStyle w:val="Hyperlink"/>
          </w:rPr>
          <w:t>http://www.ercot.com/</w:t>
        </w:r>
        <w:r w:rsidR="00014CF6" w:rsidRPr="00014CF6">
          <w:rPr>
            <w:rStyle w:val="Hyperlink"/>
          </w:rPr>
          <w:br/>
        </w:r>
        <w:r w:rsidR="00014CF6" w:rsidRPr="00CF4225">
          <w:rPr>
            <w:rStyle w:val="Hyperlink"/>
          </w:rPr>
          <w:t>content/</w:t>
        </w:r>
        <w:proofErr w:type="spellStart"/>
        <w:r w:rsidR="00014CF6" w:rsidRPr="00CF4225">
          <w:rPr>
            <w:rStyle w:val="Hyperlink"/>
          </w:rPr>
          <w:t>wcm</w:t>
        </w:r>
        <w:proofErr w:type="spellEnd"/>
        <w:r w:rsidR="00014CF6" w:rsidRPr="00CF4225">
          <w:rPr>
            <w:rStyle w:val="Hyperlink"/>
          </w:rPr>
          <w:t>/lists/167026/2</w:t>
        </w:r>
        <w:r w:rsidR="00014CF6" w:rsidRPr="009F65CB">
          <w:rPr>
            <w:rStyle w:val="Hyperlink"/>
          </w:rPr>
          <w:t>018_12_20_ERCOT_MERM_Report_Final.pdf</w:t>
        </w:r>
      </w:hyperlink>
      <w:r>
        <w:t xml:space="preserve">. </w:t>
      </w:r>
    </w:p>
  </w:footnote>
  <w:footnote w:id="10">
    <w:p w14:paraId="6EF17949" w14:textId="4934AF45" w:rsidR="005C1185" w:rsidRPr="003C4953" w:rsidRDefault="005C1185">
      <w:pPr>
        <w:pStyle w:val="FootnoteText"/>
      </w:pPr>
      <w:r>
        <w:rPr>
          <w:rStyle w:val="FootnoteReference"/>
        </w:rPr>
        <w:footnoteRef/>
      </w:r>
      <w:r>
        <w:t xml:space="preserve"> </w:t>
      </w:r>
      <w:r>
        <w:tab/>
        <w:t xml:space="preserve">ERCOT’s preliminary Seasonal Assessment of Resource Adequacy (SARA) projects total resources of 78,154 MW this summer, which, based on expected firm demand of 72,674 MW (from the December CDR), results in a reserve margin of 7.5% (i.e., (78,154 MW – 72,674 MW)/72,764 MW). ERCOT, Preliminary Seasonal Assessment of Resource Adequacy, Summer 2019 (Mar. 5, 2019), </w:t>
      </w:r>
      <w:r>
        <w:rPr>
          <w:i/>
        </w:rPr>
        <w:t>available at</w:t>
      </w:r>
      <w:r>
        <w:t xml:space="preserve">: </w:t>
      </w:r>
      <w:hyperlink r:id="rId5" w:history="1">
        <w:r>
          <w:rPr>
            <w:rStyle w:val="Hyperlink"/>
          </w:rPr>
          <w:t>http://www.ercot.com/content/wcm/lists/167022/SARA-PreliminarySummer2019.pdf</w:t>
        </w:r>
      </w:hyperlink>
      <w:r>
        <w:t xml:space="preserve">; ERCOT CDR 2019-2028 (Dec. 4, 2018), </w:t>
      </w:r>
      <w:r>
        <w:rPr>
          <w:i/>
        </w:rPr>
        <w:t>available at</w:t>
      </w:r>
      <w:r>
        <w:t xml:space="preserve">: </w:t>
      </w:r>
      <w:hyperlink r:id="rId6" w:history="1">
        <w:r>
          <w:rPr>
            <w:rStyle w:val="Hyperlink"/>
          </w:rPr>
          <w:t>http://www.ercot.com/content/wcm/lists/167023/CapacityDemandandReservesReport-Dec2018.pdf</w:t>
        </w:r>
      </w:hyperlink>
      <w:r>
        <w:t xml:space="preserve">. </w:t>
      </w:r>
    </w:p>
  </w:footnote>
  <w:footnote w:id="11">
    <w:p w14:paraId="40C6DD68" w14:textId="77777777" w:rsidR="005C1185" w:rsidRPr="00E1587E" w:rsidRDefault="005C1185" w:rsidP="00E1587E">
      <w:pPr>
        <w:pStyle w:val="FootnoteText"/>
      </w:pPr>
      <w:r>
        <w:rPr>
          <w:rStyle w:val="FootnoteReference"/>
        </w:rPr>
        <w:footnoteRef/>
      </w:r>
      <w:r>
        <w:t xml:space="preserve"> </w:t>
      </w:r>
      <w:r>
        <w:tab/>
        <w:t>ERCOT RTC Whitepaper at 14–16 (Sept. 29, 2017).</w:t>
      </w:r>
    </w:p>
  </w:footnote>
  <w:footnote w:id="12">
    <w:p w14:paraId="2828AA3C" w14:textId="77777777" w:rsidR="005C1185" w:rsidRDefault="005C1185">
      <w:pPr>
        <w:pStyle w:val="FootnoteText"/>
      </w:pPr>
      <w:r>
        <w:rPr>
          <w:rStyle w:val="FootnoteReference"/>
        </w:rPr>
        <w:footnoteRef/>
      </w:r>
      <w:r>
        <w:t xml:space="preserve"> </w:t>
      </w:r>
      <w:r>
        <w:tab/>
        <w:t>See ERCOT’s materials for the March 6, 2019 workshop (including a power point presentation and a spreadsheet with a modifiable RTC scenario), which are</w:t>
      </w:r>
      <w:bookmarkStart w:id="2" w:name="Note11"/>
      <w:bookmarkEnd w:id="2"/>
      <w:r>
        <w:t xml:space="preserve"> available here: </w:t>
      </w:r>
      <w:hyperlink r:id="rId7" w:history="1">
        <w:r>
          <w:rPr>
            <w:rStyle w:val="Hyperlink"/>
          </w:rPr>
          <w:t>http://www.ercot.com/calendar/2019/3/6/175558</w:t>
        </w:r>
      </w:hyperlink>
      <w:r>
        <w:t>. In ERCOT’s sample spreadsheet, the energy price equals the offer price of the marginal resource plus the lost opportunity cost of being deployed as energy rather than reserved for ancillary services. In times of scarcity, that lost opportunity cost will equal the ASDC maximum.</w:t>
      </w:r>
    </w:p>
  </w:footnote>
  <w:footnote w:id="13">
    <w:p w14:paraId="3B179644" w14:textId="7DC7AA5E" w:rsidR="005C1185" w:rsidRDefault="005C1185">
      <w:pPr>
        <w:pStyle w:val="FootnoteText"/>
      </w:pPr>
      <w:r>
        <w:rPr>
          <w:rStyle w:val="FootnoteReference"/>
        </w:rPr>
        <w:footnoteRef/>
      </w:r>
      <w:r>
        <w:t xml:space="preserve"> </w:t>
      </w:r>
      <w:r>
        <w:tab/>
        <w:t xml:space="preserve">This is different than the current operation of the PBPC. Today, the PBPC is struck when there are no competitive energy offers available to meet the next MW of demand, and in those instances, ERCOT deploys regulation to meet demand. ERCOT Methodology for Setting Maximum Shadow Prices for Network and Power Balance Constraints, § </w:t>
      </w:r>
      <w:r w:rsidR="00B75BE0">
        <w:t>4.1</w:t>
      </w:r>
      <w:r>
        <w:t xml:space="preserve"> </w:t>
      </w:r>
      <w:r>
        <w:rPr>
          <w:i/>
        </w:rPr>
        <w:t>et seq.</w:t>
      </w:r>
      <w:r>
        <w:t xml:space="preserve"> (Jun. 20, 2018). In the RTC construct, it appears from ERCOT’s spreadsheet example at the March 6, 2019 workshop that the PBPC will be struck when there is no available supply on the system to meet the next MW of demand (either from energy or reserves), such that striking the PBPC will correlate with </w:t>
      </w:r>
      <w:r w:rsidR="00665876">
        <w:t xml:space="preserve">uncontrolled </w:t>
      </w:r>
      <w:r>
        <w:t>load shed.</w:t>
      </w:r>
    </w:p>
  </w:footnote>
  <w:footnote w:id="14">
    <w:p w14:paraId="12EC79B6" w14:textId="6FDFD19B" w:rsidR="005C1185" w:rsidRPr="00CA5279" w:rsidRDefault="005C1185">
      <w:pPr>
        <w:pStyle w:val="FootnoteText"/>
      </w:pPr>
      <w:r>
        <w:rPr>
          <w:rStyle w:val="FootnoteReference"/>
        </w:rPr>
        <w:footnoteRef/>
      </w:r>
      <w:r>
        <w:t xml:space="preserve"> </w:t>
      </w:r>
      <w:r>
        <w:tab/>
      </w:r>
      <w:r>
        <w:rPr>
          <w:i/>
        </w:rPr>
        <w:t>Supra</w:t>
      </w:r>
      <w:r>
        <w:t xml:space="preserve"> note </w:t>
      </w:r>
      <w:hyperlink w:anchor="Note11" w:history="1">
        <w:r w:rsidR="00665876">
          <w:rPr>
            <w:rStyle w:val="Hyperlink"/>
          </w:rPr>
          <w:t>12</w:t>
        </w:r>
      </w:hyperlink>
      <w:r>
        <w:t>.</w:t>
      </w:r>
    </w:p>
  </w:footnote>
  <w:footnote w:id="15">
    <w:p w14:paraId="1505E7C7" w14:textId="77777777" w:rsidR="00B75BE0" w:rsidRDefault="00B75BE0" w:rsidP="00B75BE0">
      <w:pPr>
        <w:pStyle w:val="FootnoteText"/>
      </w:pPr>
      <w:r>
        <w:rPr>
          <w:rStyle w:val="FootnoteReference"/>
        </w:rPr>
        <w:footnoteRef/>
      </w:r>
      <w:r>
        <w:t xml:space="preserve"> </w:t>
      </w:r>
      <w:r>
        <w:tab/>
        <w:t>ERCOT RTC Whitepaper at 15 (Sept. 29, 2017).</w:t>
      </w:r>
    </w:p>
  </w:footnote>
  <w:footnote w:id="16">
    <w:p w14:paraId="1E997AA9" w14:textId="77777777" w:rsidR="005C1185" w:rsidRPr="00B877AA" w:rsidRDefault="005C1185">
      <w:pPr>
        <w:pStyle w:val="FootnoteText"/>
      </w:pPr>
      <w:r>
        <w:rPr>
          <w:rStyle w:val="FootnoteReference"/>
        </w:rPr>
        <w:footnoteRef/>
      </w:r>
      <w:r>
        <w:t xml:space="preserve"> </w:t>
      </w:r>
      <w:r>
        <w:tab/>
      </w:r>
      <w:r>
        <w:rPr>
          <w:i/>
        </w:rPr>
        <w:t>Id.</w:t>
      </w:r>
      <w:r>
        <w:t xml:space="preserve"> </w:t>
      </w:r>
    </w:p>
  </w:footnote>
  <w:footnote w:id="17">
    <w:p w14:paraId="0103762C" w14:textId="57B78353" w:rsidR="005C1185" w:rsidRDefault="005C1185">
      <w:pPr>
        <w:pStyle w:val="FootnoteText"/>
      </w:pPr>
      <w:r>
        <w:rPr>
          <w:rStyle w:val="FootnoteReference"/>
        </w:rPr>
        <w:footnoteRef/>
      </w:r>
      <w:r>
        <w:t xml:space="preserve"> </w:t>
      </w:r>
      <w:r>
        <w:tab/>
        <w:t xml:space="preserve">In ERCOT’s spreadsheet example, there are 58,000 MW of resources available on the system as either reserves or energy. </w:t>
      </w:r>
      <w:r>
        <w:rPr>
          <w:i/>
        </w:rPr>
        <w:t>Supra</w:t>
      </w:r>
      <w:r>
        <w:t xml:space="preserve"> note </w:t>
      </w:r>
      <w:hyperlink w:anchor="Note11" w:history="1">
        <w:r w:rsidR="00665876">
          <w:rPr>
            <w:rStyle w:val="Hyperlink"/>
          </w:rPr>
          <w:t>12</w:t>
        </w:r>
      </w:hyperlink>
      <w:r>
        <w:t>.</w:t>
      </w:r>
    </w:p>
  </w:footnote>
  <w:footnote w:id="18">
    <w:p w14:paraId="7CD9221D" w14:textId="4B6A08EE" w:rsidR="005C1185" w:rsidRDefault="005C1185">
      <w:pPr>
        <w:pStyle w:val="FootnoteText"/>
      </w:pPr>
      <w:r>
        <w:rPr>
          <w:rStyle w:val="FootnoteReference"/>
        </w:rPr>
        <w:footnoteRef/>
      </w:r>
      <w:r>
        <w:t xml:space="preserve"> </w:t>
      </w:r>
      <w:r>
        <w:tab/>
      </w:r>
      <w:r w:rsidR="00AA0330">
        <w:t xml:space="preserve">In ERCOT’s spreadsheet example, the highest energy offer is $800/MWh, but that resource is not eligible to provide regulation or responsive reserves. The resource with the </w:t>
      </w:r>
      <w:r w:rsidR="00782C47">
        <w:t xml:space="preserve">next </w:t>
      </w:r>
      <w:r w:rsidR="00AA0330">
        <w:t>highest energy offer</w:t>
      </w:r>
      <w:r w:rsidR="00782C47">
        <w:t>, which</w:t>
      </w:r>
      <w:r w:rsidR="00AA0330">
        <w:t xml:space="preserve"> is eligible to provide </w:t>
      </w:r>
      <w:r w:rsidR="00782C47">
        <w:t>Up R</w:t>
      </w:r>
      <w:r w:rsidR="00AA0330">
        <w:t xml:space="preserve">egulation </w:t>
      </w:r>
      <w:r w:rsidR="00782C47">
        <w:t>S</w:t>
      </w:r>
      <w:r w:rsidR="00AA0330">
        <w:t>ervice</w:t>
      </w:r>
      <w:r w:rsidR="00782C47">
        <w:t>,</w:t>
      </w:r>
      <w:r w:rsidR="00AA0330">
        <w:t xml:space="preserve"> has a $60/MWh offer.</w:t>
      </w:r>
      <w:r w:rsidR="00782C47">
        <w:t xml:space="preserve"> The energy price equals the maximum $7,000.99 value on the ASDC (because reserves are almost entirely depleted, with only 1 MW of Up Regulation Service available to ERCOT</w:t>
      </w:r>
      <w:r w:rsidR="00A26030">
        <w:t>, and no capacity available for Responsive Reserve Service or what the spreadsheet terms Spinning Operating Reserves</w:t>
      </w:r>
      <w:r w:rsidR="00782C47">
        <w:t xml:space="preserve">), plus the $60/MW marginal energy offer. </w:t>
      </w:r>
      <w:r w:rsidR="00782C47">
        <w:rPr>
          <w:i/>
        </w:rPr>
        <w:t>Supra</w:t>
      </w:r>
      <w:r w:rsidR="00782C47">
        <w:t xml:space="preserve"> note </w:t>
      </w:r>
      <w:hyperlink w:anchor="Note11" w:history="1">
        <w:r w:rsidR="00665876">
          <w:rPr>
            <w:rStyle w:val="Hyperlink"/>
          </w:rPr>
          <w:t>12</w:t>
        </w:r>
      </w:hyperlink>
      <w:r w:rsidR="00782C47">
        <w:t>.</w:t>
      </w:r>
    </w:p>
  </w:footnote>
  <w:footnote w:id="19">
    <w:p w14:paraId="667A89DD" w14:textId="001A8E8C" w:rsidR="00F37219" w:rsidRDefault="00F37219">
      <w:pPr>
        <w:pStyle w:val="FootnoteText"/>
      </w:pPr>
      <w:r>
        <w:rPr>
          <w:rStyle w:val="FootnoteReference"/>
        </w:rPr>
        <w:footnoteRef/>
      </w:r>
      <w:r>
        <w:t xml:space="preserve"> </w:t>
      </w:r>
      <w:r>
        <w:tab/>
      </w:r>
      <w:r w:rsidRPr="00F37219">
        <w:t>In actual operations</w:t>
      </w:r>
      <w:r>
        <w:t>,</w:t>
      </w:r>
      <w:r w:rsidRPr="00F37219">
        <w:t xml:space="preserve"> </w:t>
      </w:r>
      <w:r w:rsidR="002713DA">
        <w:t xml:space="preserve">ERCOT would implement </w:t>
      </w:r>
      <w:r>
        <w:t xml:space="preserve">firm </w:t>
      </w:r>
      <w:r w:rsidRPr="00F37219">
        <w:t>load</w:t>
      </w:r>
      <w:r>
        <w:t xml:space="preserve"> </w:t>
      </w:r>
      <w:r w:rsidRPr="00F37219">
        <w:t>shed</w:t>
      </w:r>
      <w:r w:rsidR="002713DA">
        <w:t xml:space="preserve"> to maintain reserves at or above 1,000MW</w:t>
      </w:r>
      <w:r w:rsidRPr="00F37219">
        <w:t xml:space="preserve">. </w:t>
      </w:r>
      <w:r w:rsidRPr="00FF45EA">
        <w:rPr>
          <w:i/>
        </w:rPr>
        <w:t>See</w:t>
      </w:r>
      <w:r>
        <w:t xml:space="preserve"> ERCOT Protocol </w:t>
      </w:r>
      <w:r w:rsidR="00BD0B0B">
        <w:t xml:space="preserve">§ </w:t>
      </w:r>
      <w:r w:rsidRPr="00F37219">
        <w:t>6.5.9.4.2</w:t>
      </w:r>
      <w:r w:rsidR="002713DA">
        <w:t>(3)(a)</w:t>
      </w:r>
      <w:r>
        <w:t>.</w:t>
      </w:r>
    </w:p>
  </w:footnote>
  <w:footnote w:id="20">
    <w:p w14:paraId="781C4846" w14:textId="273006A7" w:rsidR="00A54566" w:rsidRDefault="00A54566">
      <w:pPr>
        <w:pStyle w:val="FootnoteText"/>
      </w:pPr>
      <w:r>
        <w:rPr>
          <w:rStyle w:val="FootnoteReference"/>
        </w:rPr>
        <w:footnoteRef/>
      </w:r>
      <w:r>
        <w:t xml:space="preserve"> </w:t>
      </w:r>
      <w:r>
        <w:tab/>
      </w:r>
      <w:r w:rsidRPr="00FF45EA">
        <w:rPr>
          <w:i/>
        </w:rPr>
        <w:t>See</w:t>
      </w:r>
      <w:r w:rsidR="00FF45EA">
        <w:t xml:space="preserve"> ERCOT, Real-Time Co-optimization of Energy &amp; Ancillary Services, Co-ordination of Power Balance Penalty Curve, VOLL, SWOC for AS Demand Curves (May 8, 2017), </w:t>
      </w:r>
      <w:r w:rsidR="00FF45EA">
        <w:rPr>
          <w:i/>
        </w:rPr>
        <w:t>available at</w:t>
      </w:r>
      <w:r w:rsidR="00FF45EA">
        <w:t>:</w:t>
      </w:r>
      <w:r>
        <w:t xml:space="preserve"> </w:t>
      </w:r>
      <w:hyperlink r:id="rId8" w:history="1">
        <w:r w:rsidR="00AB429A" w:rsidRPr="00AB429A">
          <w:rPr>
            <w:rStyle w:val="Hyperlink"/>
          </w:rPr>
          <w:t>http://www.ercot.com/content/wcm/key_documents_lists/118092/RT_Co-Opt_Coordination_of_VOLL_SWOC_</w:t>
        </w:r>
        <w:r w:rsidR="00AB429A" w:rsidRPr="00AB429A">
          <w:rPr>
            <w:rStyle w:val="Hyperlink"/>
          </w:rPr>
          <w:br/>
        </w:r>
        <w:r w:rsidR="00AB429A" w:rsidRPr="00CF4225">
          <w:rPr>
            <w:rStyle w:val="Hyperlink"/>
          </w:rPr>
          <w:t>PBPC.pptx</w:t>
        </w:r>
      </w:hyperlink>
      <w:r>
        <w:t xml:space="preserve">. </w:t>
      </w:r>
    </w:p>
  </w:footnote>
  <w:footnote w:id="21">
    <w:p w14:paraId="30FEB237" w14:textId="77777777" w:rsidR="005C1185" w:rsidRDefault="005C1185">
      <w:pPr>
        <w:pStyle w:val="FootnoteText"/>
      </w:pPr>
      <w:r>
        <w:rPr>
          <w:rStyle w:val="FootnoteReference"/>
        </w:rPr>
        <w:footnoteRef/>
      </w:r>
      <w:r>
        <w:t xml:space="preserve"> </w:t>
      </w:r>
      <w:r>
        <w:tab/>
        <w:t>ERCOT Protocol § 6.6.10.</w:t>
      </w:r>
    </w:p>
  </w:footnote>
  <w:footnote w:id="22">
    <w:p w14:paraId="53ABD26C" w14:textId="00BC6F48" w:rsidR="00D9491A" w:rsidRDefault="00D9491A">
      <w:pPr>
        <w:pStyle w:val="FootnoteText"/>
      </w:pPr>
      <w:r>
        <w:rPr>
          <w:rStyle w:val="FootnoteReference"/>
        </w:rPr>
        <w:footnoteRef/>
      </w:r>
      <w:r>
        <w:t xml:space="preserve"> </w:t>
      </w:r>
      <w:r>
        <w:tab/>
        <w:t>Load bids to buy could technically set prices above $2,000 in the DAM, but generators would be limited from offering above $2,000, which in turn would limit if not eliminate any rationale for loads to bid more than $2,000 in the DAM.</w:t>
      </w:r>
    </w:p>
  </w:footnote>
  <w:footnote w:id="23">
    <w:p w14:paraId="6195331E" w14:textId="6F6E6C22" w:rsidR="005C1185" w:rsidRDefault="005C1185">
      <w:pPr>
        <w:pStyle w:val="FootnoteText"/>
      </w:pPr>
      <w:r>
        <w:rPr>
          <w:rStyle w:val="FootnoteReference"/>
        </w:rPr>
        <w:footnoteRef/>
      </w:r>
      <w:r>
        <w:t xml:space="preserve"> </w:t>
      </w:r>
      <w:r>
        <w:tab/>
        <w:t>ERCOT declares an</w:t>
      </w:r>
      <w:r w:rsidR="00247C85">
        <w:t xml:space="preserve"> Energy Emergency Alert</w:t>
      </w:r>
      <w:r>
        <w:t xml:space="preserve"> </w:t>
      </w:r>
      <w:r w:rsidR="00247C85">
        <w:t>(</w:t>
      </w:r>
      <w:r>
        <w:t>EEA</w:t>
      </w:r>
      <w:r w:rsidR="00247C85">
        <w:t>)</w:t>
      </w:r>
      <w:r>
        <w:t xml:space="preserve"> Level 1 when physical responsive capacity falls below 2,300 MW </w:t>
      </w:r>
      <w:r w:rsidR="00372EB6">
        <w:t>and is not projected to be recovered above 2,300 MW within 30 minutes without the use of the actions that ERCOT takes during an EEA 1.</w:t>
      </w:r>
      <w:r w:rsidR="00CF57FB">
        <w:t xml:space="preserve"> ERCOT Protocols § 6.5.9.4.2.</w:t>
      </w:r>
      <w:r w:rsidR="00372EB6">
        <w:t xml:space="preserve"> </w:t>
      </w:r>
      <w:r>
        <w:t xml:space="preserve">  </w:t>
      </w:r>
    </w:p>
  </w:footnote>
  <w:footnote w:id="24">
    <w:p w14:paraId="33D6E309" w14:textId="77777777" w:rsidR="004457D5" w:rsidRDefault="004457D5">
      <w:pPr>
        <w:pStyle w:val="FootnoteText"/>
      </w:pPr>
      <w:r>
        <w:rPr>
          <w:rStyle w:val="FootnoteReference"/>
        </w:rPr>
        <w:footnoteRef/>
      </w:r>
      <w:r>
        <w:t xml:space="preserve"> </w:t>
      </w:r>
      <w:r>
        <w:tab/>
      </w:r>
      <w:r w:rsidRPr="004457D5">
        <w:rPr>
          <w:smallCaps/>
        </w:rPr>
        <w:t>Tex. Gov’t Code</w:t>
      </w:r>
      <w:r>
        <w:t xml:space="preserve">, Tit. 10, Ch. 2001, </w:t>
      </w:r>
      <w:proofErr w:type="spellStart"/>
      <w:r>
        <w:t>Subch</w:t>
      </w:r>
      <w:proofErr w:type="spellEnd"/>
      <w:r>
        <w:t>. B.</w:t>
      </w:r>
    </w:p>
  </w:footnote>
  <w:footnote w:id="25">
    <w:p w14:paraId="1EB8A378" w14:textId="77777777" w:rsidR="0033187E" w:rsidRPr="00732B39" w:rsidRDefault="0033187E" w:rsidP="0033187E">
      <w:pPr>
        <w:pStyle w:val="FootnoteText"/>
      </w:pPr>
      <w:r>
        <w:rPr>
          <w:rStyle w:val="FootnoteReference"/>
        </w:rPr>
        <w:footnoteRef/>
      </w:r>
      <w:r>
        <w:t xml:space="preserve"> </w:t>
      </w:r>
      <w:r>
        <w:tab/>
      </w:r>
      <w:r>
        <w:rPr>
          <w:i/>
        </w:rPr>
        <w:t>See</w:t>
      </w:r>
      <w:r>
        <w:t xml:space="preserve"> ERCOT, Methodology for Implementing Operating Reserve Demand Curve (ORDC) to Calculate Real-Time Reserve Price Adder (Ver. 1.9) (Mar. 1, 2019), </w:t>
      </w:r>
      <w:r>
        <w:rPr>
          <w:i/>
        </w:rPr>
        <w:t>available at</w:t>
      </w:r>
      <w:r>
        <w:t xml:space="preserve">: </w:t>
      </w:r>
      <w:hyperlink r:id="rId9" w:history="1">
        <w:r>
          <w:rPr>
            <w:rStyle w:val="Hyperlink"/>
          </w:rPr>
          <w:t>http://www.ercot.com/mktrules/obd/obdlist</w:t>
        </w:r>
      </w:hyperlink>
      <w:r>
        <w:t xml:space="preserve">. </w:t>
      </w:r>
    </w:p>
  </w:footnote>
  <w:footnote w:id="26">
    <w:p w14:paraId="525A787F" w14:textId="77777777" w:rsidR="00EB7EB4" w:rsidRDefault="00EB7EB4">
      <w:pPr>
        <w:pStyle w:val="FootnoteText"/>
      </w:pPr>
      <w:r>
        <w:rPr>
          <w:rStyle w:val="FootnoteReference"/>
        </w:rPr>
        <w:footnoteRef/>
      </w:r>
      <w:r>
        <w:t xml:space="preserve"> </w:t>
      </w:r>
      <w:r>
        <w:tab/>
        <w:t xml:space="preserve">16 </w:t>
      </w:r>
      <w:r w:rsidR="00EC09C0">
        <w:t>Tex. Admin. Code (</w:t>
      </w:r>
      <w:r>
        <w:t>TAC</w:t>
      </w:r>
      <w:r w:rsidR="00EC09C0">
        <w:t>)</w:t>
      </w:r>
      <w:r>
        <w:t xml:space="preserve"> § 25.504(b)(2).</w:t>
      </w:r>
    </w:p>
  </w:footnote>
  <w:footnote w:id="27">
    <w:p w14:paraId="73CD9386" w14:textId="77777777" w:rsidR="00F20F51" w:rsidRDefault="00F20F51">
      <w:pPr>
        <w:pStyle w:val="FootnoteText"/>
      </w:pPr>
      <w:r>
        <w:rPr>
          <w:rStyle w:val="FootnoteReference"/>
        </w:rPr>
        <w:footnoteRef/>
      </w:r>
      <w:r>
        <w:t xml:space="preserve"> </w:t>
      </w:r>
      <w:r>
        <w:tab/>
        <w:t>See NPRR 863, Board Report (Feb. 12, 2019) (“By separating the 10-minute component from RRS and creating two distinct Ancillary Service products, barriers to entry are removed, market efficiencies are realized, unnecessary regulatory compliance risk is removed, Resources are appropriately compensated for the service(s) that they provide, and ERCOT is provided with more granular tools to address the changing Resource mix of the ERCOT Region.”).</w:t>
      </w:r>
    </w:p>
  </w:footnote>
  <w:footnote w:id="28">
    <w:p w14:paraId="30A17165" w14:textId="77777777" w:rsidR="00EC09C0" w:rsidRDefault="00EC09C0">
      <w:pPr>
        <w:pStyle w:val="FootnoteText"/>
      </w:pPr>
      <w:r>
        <w:rPr>
          <w:rStyle w:val="FootnoteReference"/>
        </w:rPr>
        <w:footnoteRef/>
      </w:r>
      <w:r>
        <w:t xml:space="preserve"> </w:t>
      </w:r>
      <w:r>
        <w:tab/>
        <w:t>16 TAC § 25.504(d).</w:t>
      </w:r>
    </w:p>
  </w:footnote>
  <w:footnote w:id="29">
    <w:p w14:paraId="3C87F0F4" w14:textId="77777777" w:rsidR="00093B3F" w:rsidRDefault="00093B3F">
      <w:pPr>
        <w:pStyle w:val="FootnoteText"/>
      </w:pPr>
      <w:r>
        <w:rPr>
          <w:rStyle w:val="FootnoteReference"/>
        </w:rPr>
        <w:footnoteRef/>
      </w:r>
      <w:r>
        <w:t xml:space="preserve"> </w:t>
      </w:r>
      <w:r>
        <w:tab/>
      </w:r>
      <w:r w:rsidRPr="00163407">
        <w:rPr>
          <w:i/>
          <w:szCs w:val="18"/>
        </w:rPr>
        <w:t>Project to Assess Price-Formation Rules in ERCOT’s Energy-Only Market</w:t>
      </w:r>
      <w:r w:rsidRPr="00163407">
        <w:rPr>
          <w:szCs w:val="18"/>
        </w:rPr>
        <w:t>,</w:t>
      </w:r>
      <w:r w:rsidRPr="00163407">
        <w:rPr>
          <w:i/>
          <w:szCs w:val="18"/>
        </w:rPr>
        <w:t xml:space="preserve"> </w:t>
      </w:r>
      <w:r w:rsidRPr="00163407">
        <w:rPr>
          <w:szCs w:val="18"/>
        </w:rPr>
        <w:t xml:space="preserve">Project No. 47199, </w:t>
      </w:r>
      <w:r>
        <w:rPr>
          <w:szCs w:val="18"/>
        </w:rPr>
        <w:t xml:space="preserve">Potomac Economics, </w:t>
      </w:r>
      <w:r>
        <w:t>Simulation of Real-Time Co-Optimization of Energy and Ancillary Services For Operating Year 2017 at 5 (June 29, 2018) (hereafter, IMM RTC Paper).</w:t>
      </w:r>
    </w:p>
  </w:footnote>
  <w:footnote w:id="30">
    <w:p w14:paraId="24597265" w14:textId="552A91CD" w:rsidR="0078166C" w:rsidRPr="00CF4225" w:rsidRDefault="0078166C" w:rsidP="00CF4225">
      <w:pPr>
        <w:pStyle w:val="FootnoteText"/>
      </w:pPr>
      <w:r w:rsidRPr="00CF4225">
        <w:rPr>
          <w:rStyle w:val="FootnoteReference"/>
        </w:rPr>
        <w:footnoteRef/>
      </w:r>
      <w:r w:rsidRPr="00CF4225">
        <w:t xml:space="preserve"> </w:t>
      </w:r>
      <w:r w:rsidRPr="00CF4225">
        <w:rPr>
          <w:i/>
        </w:rPr>
        <w:t>See</w:t>
      </w:r>
      <w:r w:rsidRPr="00CF4225">
        <w:t xml:space="preserve"> </w:t>
      </w:r>
      <w:r w:rsidR="00CF4225">
        <w:t xml:space="preserve">ERCOT, Approaching the RTC Elements (Apr. 4, 2019), </w:t>
      </w:r>
      <w:r w:rsidR="00CF4225">
        <w:rPr>
          <w:i/>
        </w:rPr>
        <w:t>available at</w:t>
      </w:r>
      <w:r w:rsidR="00CF4225">
        <w:t xml:space="preserve">: </w:t>
      </w:r>
      <w:hyperlink r:id="rId10" w:history="1">
        <w:r w:rsidRPr="00F93105">
          <w:rPr>
            <w:rStyle w:val="Hyperlink"/>
          </w:rPr>
          <w:t>http://www.ercot.com/content/wcm/key_documents_lists/178832/4._Approaching_the_RTC_Elements.pptx</w:t>
        </w:r>
      </w:hyperlink>
      <w:r w:rsidRPr="00CF4225">
        <w:t xml:space="preserve"> </w:t>
      </w:r>
    </w:p>
    <w:p w14:paraId="33AA51E8" w14:textId="168644BE" w:rsidR="0078166C" w:rsidRPr="00CF4225" w:rsidRDefault="0078166C" w:rsidP="007816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8EA"/>
    <w:multiLevelType w:val="hybridMultilevel"/>
    <w:tmpl w:val="033422C0"/>
    <w:lvl w:ilvl="0" w:tplc="5BE0F34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3200AC2"/>
    <w:multiLevelType w:val="hybridMultilevel"/>
    <w:tmpl w:val="7D8C0A08"/>
    <w:lvl w:ilvl="0" w:tplc="D6FE6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90803"/>
    <w:multiLevelType w:val="hybridMultilevel"/>
    <w:tmpl w:val="628C0E78"/>
    <w:lvl w:ilvl="0" w:tplc="A4003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F3233"/>
    <w:multiLevelType w:val="hybridMultilevel"/>
    <w:tmpl w:val="A596DCDC"/>
    <w:lvl w:ilvl="0" w:tplc="13F0473E">
      <w:start w:val="1"/>
      <w:numFmt w:val="upp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E0168"/>
    <w:multiLevelType w:val="hybridMultilevel"/>
    <w:tmpl w:val="415A6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B76AC7"/>
    <w:multiLevelType w:val="hybridMultilevel"/>
    <w:tmpl w:val="93D0106E"/>
    <w:lvl w:ilvl="0" w:tplc="4FD0633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CE1A5B"/>
    <w:multiLevelType w:val="hybridMultilevel"/>
    <w:tmpl w:val="8048F12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7" w15:restartNumberingAfterBreak="0">
    <w:nsid w:val="2BBB6680"/>
    <w:multiLevelType w:val="hybridMultilevel"/>
    <w:tmpl w:val="75A24EC2"/>
    <w:lvl w:ilvl="0" w:tplc="92FEA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2A583A"/>
    <w:multiLevelType w:val="hybridMultilevel"/>
    <w:tmpl w:val="0BCC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75261"/>
    <w:multiLevelType w:val="hybridMultilevel"/>
    <w:tmpl w:val="481248AE"/>
    <w:lvl w:ilvl="0" w:tplc="B7EA3C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F41472"/>
    <w:multiLevelType w:val="hybridMultilevel"/>
    <w:tmpl w:val="12664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F1651F"/>
    <w:multiLevelType w:val="hybridMultilevel"/>
    <w:tmpl w:val="45728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B1F64"/>
    <w:multiLevelType w:val="hybridMultilevel"/>
    <w:tmpl w:val="019E5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40E16BF"/>
    <w:multiLevelType w:val="hybridMultilevel"/>
    <w:tmpl w:val="68B20320"/>
    <w:lvl w:ilvl="0" w:tplc="5B58C9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8627C"/>
    <w:multiLevelType w:val="hybridMultilevel"/>
    <w:tmpl w:val="D556C29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AAD1816"/>
    <w:multiLevelType w:val="multilevel"/>
    <w:tmpl w:val="D6EC9E3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92006F"/>
    <w:multiLevelType w:val="hybridMultilevel"/>
    <w:tmpl w:val="B6AC9AFC"/>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7" w15:restartNumberingAfterBreak="0">
    <w:nsid w:val="562E6D39"/>
    <w:multiLevelType w:val="hybridMultilevel"/>
    <w:tmpl w:val="CB109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4D5C19"/>
    <w:multiLevelType w:val="hybridMultilevel"/>
    <w:tmpl w:val="502E4DBE"/>
    <w:lvl w:ilvl="0" w:tplc="622A3C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FB4EFC"/>
    <w:multiLevelType w:val="hybridMultilevel"/>
    <w:tmpl w:val="47341BFA"/>
    <w:lvl w:ilvl="0" w:tplc="9288012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5B76685"/>
    <w:multiLevelType w:val="hybridMultilevel"/>
    <w:tmpl w:val="B5EE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10790"/>
    <w:multiLevelType w:val="hybridMultilevel"/>
    <w:tmpl w:val="7EAE40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667526"/>
    <w:multiLevelType w:val="hybridMultilevel"/>
    <w:tmpl w:val="0540D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1F4B17"/>
    <w:multiLevelType w:val="hybridMultilevel"/>
    <w:tmpl w:val="45065150"/>
    <w:lvl w:ilvl="0" w:tplc="0409000F">
      <w:start w:val="1"/>
      <w:numFmt w:val="decimal"/>
      <w:pStyle w:val="bullet4level1"/>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2725188"/>
    <w:multiLevelType w:val="hybridMultilevel"/>
    <w:tmpl w:val="103A042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5" w15:restartNumberingAfterBreak="0">
    <w:nsid w:val="73821E9C"/>
    <w:multiLevelType w:val="hybridMultilevel"/>
    <w:tmpl w:val="04741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D87DBF"/>
    <w:multiLevelType w:val="hybridMultilevel"/>
    <w:tmpl w:val="0AE8A47C"/>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24"/>
  </w:num>
  <w:num w:numId="4">
    <w:abstractNumId w:val="18"/>
  </w:num>
  <w:num w:numId="5">
    <w:abstractNumId w:val="26"/>
  </w:num>
  <w:num w:numId="6">
    <w:abstractNumId w:val="17"/>
  </w:num>
  <w:num w:numId="7">
    <w:abstractNumId w:val="9"/>
  </w:num>
  <w:num w:numId="8">
    <w:abstractNumId w:val="1"/>
  </w:num>
  <w:num w:numId="9">
    <w:abstractNumId w:val="23"/>
  </w:num>
  <w:num w:numId="10">
    <w:abstractNumId w:val="23"/>
    <w:lvlOverride w:ilvl="0">
      <w:startOverride w:val="9"/>
    </w:lvlOverride>
  </w:num>
  <w:num w:numId="11">
    <w:abstractNumId w:val="8"/>
  </w:num>
  <w:num w:numId="12">
    <w:abstractNumId w:val="23"/>
  </w:num>
  <w:num w:numId="13">
    <w:abstractNumId w:val="5"/>
  </w:num>
  <w:num w:numId="14">
    <w:abstractNumId w:val="4"/>
  </w:num>
  <w:num w:numId="15">
    <w:abstractNumId w:val="12"/>
  </w:num>
  <w:num w:numId="16">
    <w:abstractNumId w:val="6"/>
  </w:num>
  <w:num w:numId="17">
    <w:abstractNumId w:val="7"/>
  </w:num>
  <w:num w:numId="18">
    <w:abstractNumId w:val="0"/>
  </w:num>
  <w:num w:numId="19">
    <w:abstractNumId w:val="19"/>
  </w:num>
  <w:num w:numId="20">
    <w:abstractNumId w:val="3"/>
  </w:num>
  <w:num w:numId="21">
    <w:abstractNumId w:val="25"/>
  </w:num>
  <w:num w:numId="22">
    <w:abstractNumId w:val="10"/>
  </w:num>
  <w:num w:numId="23">
    <w:abstractNumId w:val="20"/>
  </w:num>
  <w:num w:numId="24">
    <w:abstractNumId w:val="21"/>
  </w:num>
  <w:num w:numId="25">
    <w:abstractNumId w:val="14"/>
  </w:num>
  <w:num w:numId="26">
    <w:abstractNumId w:val="11"/>
  </w:num>
  <w:num w:numId="27">
    <w:abstractNumId w:val="16"/>
  </w:num>
  <w:num w:numId="28">
    <w:abstractNumId w:val="2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2A"/>
    <w:rsid w:val="00003F77"/>
    <w:rsid w:val="00010075"/>
    <w:rsid w:val="000108EB"/>
    <w:rsid w:val="00010E29"/>
    <w:rsid w:val="000118D2"/>
    <w:rsid w:val="00013BE1"/>
    <w:rsid w:val="00014944"/>
    <w:rsid w:val="00014CF6"/>
    <w:rsid w:val="000172D0"/>
    <w:rsid w:val="00021D9B"/>
    <w:rsid w:val="0002240E"/>
    <w:rsid w:val="0002294B"/>
    <w:rsid w:val="00023A1F"/>
    <w:rsid w:val="00023F28"/>
    <w:rsid w:val="0002732C"/>
    <w:rsid w:val="0003056A"/>
    <w:rsid w:val="000307CD"/>
    <w:rsid w:val="00031251"/>
    <w:rsid w:val="0003371E"/>
    <w:rsid w:val="0003477C"/>
    <w:rsid w:val="00034B17"/>
    <w:rsid w:val="00034EEF"/>
    <w:rsid w:val="00036921"/>
    <w:rsid w:val="00042EF0"/>
    <w:rsid w:val="00044895"/>
    <w:rsid w:val="00045229"/>
    <w:rsid w:val="00046768"/>
    <w:rsid w:val="00046AEB"/>
    <w:rsid w:val="00054347"/>
    <w:rsid w:val="00055206"/>
    <w:rsid w:val="000571E2"/>
    <w:rsid w:val="000607FF"/>
    <w:rsid w:val="00060831"/>
    <w:rsid w:val="00061659"/>
    <w:rsid w:val="00063643"/>
    <w:rsid w:val="00066FB5"/>
    <w:rsid w:val="0006729D"/>
    <w:rsid w:val="0006729F"/>
    <w:rsid w:val="0006748C"/>
    <w:rsid w:val="0006777B"/>
    <w:rsid w:val="00071F62"/>
    <w:rsid w:val="000732E0"/>
    <w:rsid w:val="00075B12"/>
    <w:rsid w:val="00086E0F"/>
    <w:rsid w:val="00090A4D"/>
    <w:rsid w:val="00091BF3"/>
    <w:rsid w:val="00092108"/>
    <w:rsid w:val="00093B3F"/>
    <w:rsid w:val="00094C95"/>
    <w:rsid w:val="000955AD"/>
    <w:rsid w:val="00096604"/>
    <w:rsid w:val="00096E26"/>
    <w:rsid w:val="00097506"/>
    <w:rsid w:val="00097689"/>
    <w:rsid w:val="000A0F6F"/>
    <w:rsid w:val="000A37D9"/>
    <w:rsid w:val="000A5731"/>
    <w:rsid w:val="000A79B5"/>
    <w:rsid w:val="000B3784"/>
    <w:rsid w:val="000B51B5"/>
    <w:rsid w:val="000B5DE9"/>
    <w:rsid w:val="000C0D48"/>
    <w:rsid w:val="000C36D3"/>
    <w:rsid w:val="000C3A6B"/>
    <w:rsid w:val="000C3B7E"/>
    <w:rsid w:val="000C40D6"/>
    <w:rsid w:val="000C4DA0"/>
    <w:rsid w:val="000C5978"/>
    <w:rsid w:val="000D06A7"/>
    <w:rsid w:val="000D21B1"/>
    <w:rsid w:val="000D27AF"/>
    <w:rsid w:val="000D3FBD"/>
    <w:rsid w:val="000D76A8"/>
    <w:rsid w:val="000E0524"/>
    <w:rsid w:val="000E2B2D"/>
    <w:rsid w:val="000E74D4"/>
    <w:rsid w:val="000E7B5F"/>
    <w:rsid w:val="000E7E87"/>
    <w:rsid w:val="000F2173"/>
    <w:rsid w:val="000F46BC"/>
    <w:rsid w:val="00103F50"/>
    <w:rsid w:val="00103FE1"/>
    <w:rsid w:val="00105424"/>
    <w:rsid w:val="00106A87"/>
    <w:rsid w:val="001105F6"/>
    <w:rsid w:val="001145CD"/>
    <w:rsid w:val="00121648"/>
    <w:rsid w:val="00123CBB"/>
    <w:rsid w:val="0012447A"/>
    <w:rsid w:val="0012646D"/>
    <w:rsid w:val="001304BD"/>
    <w:rsid w:val="00132DCB"/>
    <w:rsid w:val="00137E19"/>
    <w:rsid w:val="001428E7"/>
    <w:rsid w:val="001527C2"/>
    <w:rsid w:val="00154015"/>
    <w:rsid w:val="001572FC"/>
    <w:rsid w:val="001578F3"/>
    <w:rsid w:val="00162636"/>
    <w:rsid w:val="001628CB"/>
    <w:rsid w:val="00163B6B"/>
    <w:rsid w:val="00166969"/>
    <w:rsid w:val="00167A82"/>
    <w:rsid w:val="00170117"/>
    <w:rsid w:val="001702F0"/>
    <w:rsid w:val="0017074D"/>
    <w:rsid w:val="00172AC6"/>
    <w:rsid w:val="0017355F"/>
    <w:rsid w:val="0018490A"/>
    <w:rsid w:val="00190776"/>
    <w:rsid w:val="00192C6E"/>
    <w:rsid w:val="00192CC8"/>
    <w:rsid w:val="001935D1"/>
    <w:rsid w:val="00193720"/>
    <w:rsid w:val="001938E2"/>
    <w:rsid w:val="00194B40"/>
    <w:rsid w:val="00195344"/>
    <w:rsid w:val="00195B5A"/>
    <w:rsid w:val="001962FF"/>
    <w:rsid w:val="00197422"/>
    <w:rsid w:val="001A2ED7"/>
    <w:rsid w:val="001A76B9"/>
    <w:rsid w:val="001A7837"/>
    <w:rsid w:val="001B0241"/>
    <w:rsid w:val="001B293D"/>
    <w:rsid w:val="001B78DB"/>
    <w:rsid w:val="001C13B7"/>
    <w:rsid w:val="001D07D6"/>
    <w:rsid w:val="001D17B8"/>
    <w:rsid w:val="001D4FA4"/>
    <w:rsid w:val="001D5B00"/>
    <w:rsid w:val="001D6158"/>
    <w:rsid w:val="001E0114"/>
    <w:rsid w:val="001E0E5C"/>
    <w:rsid w:val="001E2AAB"/>
    <w:rsid w:val="001E7924"/>
    <w:rsid w:val="001F208C"/>
    <w:rsid w:val="001F281C"/>
    <w:rsid w:val="001F347E"/>
    <w:rsid w:val="001F40DA"/>
    <w:rsid w:val="001F4BDD"/>
    <w:rsid w:val="001F4EBD"/>
    <w:rsid w:val="001F5AEB"/>
    <w:rsid w:val="001F6A4E"/>
    <w:rsid w:val="001F7DC6"/>
    <w:rsid w:val="00200305"/>
    <w:rsid w:val="0020067B"/>
    <w:rsid w:val="00204621"/>
    <w:rsid w:val="00205243"/>
    <w:rsid w:val="00205437"/>
    <w:rsid w:val="00205D0C"/>
    <w:rsid w:val="002067AC"/>
    <w:rsid w:val="00207B19"/>
    <w:rsid w:val="00213D64"/>
    <w:rsid w:val="00216C26"/>
    <w:rsid w:val="00220746"/>
    <w:rsid w:val="00224C5D"/>
    <w:rsid w:val="00227A7D"/>
    <w:rsid w:val="00232B97"/>
    <w:rsid w:val="0023318A"/>
    <w:rsid w:val="0023431A"/>
    <w:rsid w:val="002374BC"/>
    <w:rsid w:val="00242FD3"/>
    <w:rsid w:val="00247C85"/>
    <w:rsid w:val="00250243"/>
    <w:rsid w:val="002512D8"/>
    <w:rsid w:val="00251B7C"/>
    <w:rsid w:val="00252014"/>
    <w:rsid w:val="0025302D"/>
    <w:rsid w:val="00253B79"/>
    <w:rsid w:val="00255E09"/>
    <w:rsid w:val="0025614F"/>
    <w:rsid w:val="00260301"/>
    <w:rsid w:val="0026067E"/>
    <w:rsid w:val="00261180"/>
    <w:rsid w:val="00262B70"/>
    <w:rsid w:val="00265209"/>
    <w:rsid w:val="00266E3F"/>
    <w:rsid w:val="002713DA"/>
    <w:rsid w:val="00273648"/>
    <w:rsid w:val="00273E67"/>
    <w:rsid w:val="00274379"/>
    <w:rsid w:val="0027450E"/>
    <w:rsid w:val="002745DE"/>
    <w:rsid w:val="00281F16"/>
    <w:rsid w:val="002821CB"/>
    <w:rsid w:val="002852C3"/>
    <w:rsid w:val="00286F93"/>
    <w:rsid w:val="00287E68"/>
    <w:rsid w:val="00291D2C"/>
    <w:rsid w:val="00294D9C"/>
    <w:rsid w:val="002955FC"/>
    <w:rsid w:val="00297A87"/>
    <w:rsid w:val="002A1981"/>
    <w:rsid w:val="002A4D83"/>
    <w:rsid w:val="002A549F"/>
    <w:rsid w:val="002A5910"/>
    <w:rsid w:val="002A614C"/>
    <w:rsid w:val="002A6163"/>
    <w:rsid w:val="002B3775"/>
    <w:rsid w:val="002B5E28"/>
    <w:rsid w:val="002B7F45"/>
    <w:rsid w:val="002C12ED"/>
    <w:rsid w:val="002C1DCB"/>
    <w:rsid w:val="002C3B37"/>
    <w:rsid w:val="002C3FDB"/>
    <w:rsid w:val="002C5749"/>
    <w:rsid w:val="002C69C5"/>
    <w:rsid w:val="002C73BD"/>
    <w:rsid w:val="002C74F9"/>
    <w:rsid w:val="002D3D2A"/>
    <w:rsid w:val="002D474F"/>
    <w:rsid w:val="002D47C2"/>
    <w:rsid w:val="002D5EF1"/>
    <w:rsid w:val="002D66BE"/>
    <w:rsid w:val="002D70D7"/>
    <w:rsid w:val="002D7408"/>
    <w:rsid w:val="002D7A15"/>
    <w:rsid w:val="002E06D4"/>
    <w:rsid w:val="002E100C"/>
    <w:rsid w:val="002E1AE9"/>
    <w:rsid w:val="002E23CE"/>
    <w:rsid w:val="002E6058"/>
    <w:rsid w:val="002E6F5D"/>
    <w:rsid w:val="002F095B"/>
    <w:rsid w:val="002F3373"/>
    <w:rsid w:val="002F3473"/>
    <w:rsid w:val="002F5466"/>
    <w:rsid w:val="003000FA"/>
    <w:rsid w:val="00302EA6"/>
    <w:rsid w:val="0030411D"/>
    <w:rsid w:val="00304361"/>
    <w:rsid w:val="003045BD"/>
    <w:rsid w:val="00307024"/>
    <w:rsid w:val="00310577"/>
    <w:rsid w:val="003129AE"/>
    <w:rsid w:val="003168C1"/>
    <w:rsid w:val="003179B7"/>
    <w:rsid w:val="0032218D"/>
    <w:rsid w:val="00322636"/>
    <w:rsid w:val="003271A1"/>
    <w:rsid w:val="00330248"/>
    <w:rsid w:val="0033187E"/>
    <w:rsid w:val="0033473A"/>
    <w:rsid w:val="0033495B"/>
    <w:rsid w:val="00334F49"/>
    <w:rsid w:val="00337FAE"/>
    <w:rsid w:val="00341CCF"/>
    <w:rsid w:val="00342F37"/>
    <w:rsid w:val="003436BD"/>
    <w:rsid w:val="003454B6"/>
    <w:rsid w:val="0034686C"/>
    <w:rsid w:val="0034782D"/>
    <w:rsid w:val="003505C9"/>
    <w:rsid w:val="00351700"/>
    <w:rsid w:val="00351721"/>
    <w:rsid w:val="003518D2"/>
    <w:rsid w:val="00351DD7"/>
    <w:rsid w:val="0035291C"/>
    <w:rsid w:val="00355A5E"/>
    <w:rsid w:val="00356B8F"/>
    <w:rsid w:val="00357097"/>
    <w:rsid w:val="00360BC4"/>
    <w:rsid w:val="00367BF2"/>
    <w:rsid w:val="0037172E"/>
    <w:rsid w:val="00371EB8"/>
    <w:rsid w:val="00372EB6"/>
    <w:rsid w:val="00375AF6"/>
    <w:rsid w:val="0038360A"/>
    <w:rsid w:val="00384F24"/>
    <w:rsid w:val="00385390"/>
    <w:rsid w:val="00386473"/>
    <w:rsid w:val="00386622"/>
    <w:rsid w:val="00393354"/>
    <w:rsid w:val="003946A4"/>
    <w:rsid w:val="00395022"/>
    <w:rsid w:val="003A2492"/>
    <w:rsid w:val="003A2A12"/>
    <w:rsid w:val="003A384B"/>
    <w:rsid w:val="003B3728"/>
    <w:rsid w:val="003B73E3"/>
    <w:rsid w:val="003C0381"/>
    <w:rsid w:val="003C2E95"/>
    <w:rsid w:val="003C32F3"/>
    <w:rsid w:val="003C37A3"/>
    <w:rsid w:val="003C419A"/>
    <w:rsid w:val="003C4530"/>
    <w:rsid w:val="003C4953"/>
    <w:rsid w:val="003C7AF6"/>
    <w:rsid w:val="003D6349"/>
    <w:rsid w:val="003D7037"/>
    <w:rsid w:val="003D71A1"/>
    <w:rsid w:val="003D72B3"/>
    <w:rsid w:val="003D7DB6"/>
    <w:rsid w:val="003E0E39"/>
    <w:rsid w:val="003E15AD"/>
    <w:rsid w:val="003E24DE"/>
    <w:rsid w:val="003E3484"/>
    <w:rsid w:val="003E62A8"/>
    <w:rsid w:val="003E6C93"/>
    <w:rsid w:val="003E7308"/>
    <w:rsid w:val="003E7AC6"/>
    <w:rsid w:val="003E7BF5"/>
    <w:rsid w:val="003F1018"/>
    <w:rsid w:val="003F3017"/>
    <w:rsid w:val="003F4465"/>
    <w:rsid w:val="003F68CF"/>
    <w:rsid w:val="003F6ADF"/>
    <w:rsid w:val="003F7944"/>
    <w:rsid w:val="00401872"/>
    <w:rsid w:val="00402512"/>
    <w:rsid w:val="00403061"/>
    <w:rsid w:val="004069FC"/>
    <w:rsid w:val="004112F6"/>
    <w:rsid w:val="00416537"/>
    <w:rsid w:val="00416A16"/>
    <w:rsid w:val="004202E4"/>
    <w:rsid w:val="00420657"/>
    <w:rsid w:val="00421971"/>
    <w:rsid w:val="00422B62"/>
    <w:rsid w:val="00422FFD"/>
    <w:rsid w:val="00423CC6"/>
    <w:rsid w:val="00426245"/>
    <w:rsid w:val="00427AED"/>
    <w:rsid w:val="004307A0"/>
    <w:rsid w:val="00431C7A"/>
    <w:rsid w:val="004372A5"/>
    <w:rsid w:val="00441E6D"/>
    <w:rsid w:val="00442514"/>
    <w:rsid w:val="00442CD2"/>
    <w:rsid w:val="00442F89"/>
    <w:rsid w:val="004453EB"/>
    <w:rsid w:val="00445476"/>
    <w:rsid w:val="004457D5"/>
    <w:rsid w:val="004517F7"/>
    <w:rsid w:val="00453DFA"/>
    <w:rsid w:val="0045536A"/>
    <w:rsid w:val="00456605"/>
    <w:rsid w:val="00456B28"/>
    <w:rsid w:val="0046056D"/>
    <w:rsid w:val="00460964"/>
    <w:rsid w:val="004659AC"/>
    <w:rsid w:val="00472466"/>
    <w:rsid w:val="004736E9"/>
    <w:rsid w:val="00474230"/>
    <w:rsid w:val="00476493"/>
    <w:rsid w:val="00480DCE"/>
    <w:rsid w:val="00481573"/>
    <w:rsid w:val="0048370E"/>
    <w:rsid w:val="0048570C"/>
    <w:rsid w:val="00486B34"/>
    <w:rsid w:val="00486C04"/>
    <w:rsid w:val="0049069F"/>
    <w:rsid w:val="00494336"/>
    <w:rsid w:val="004944DB"/>
    <w:rsid w:val="0049726E"/>
    <w:rsid w:val="004A48CE"/>
    <w:rsid w:val="004A6051"/>
    <w:rsid w:val="004A6B7E"/>
    <w:rsid w:val="004A73AB"/>
    <w:rsid w:val="004B005F"/>
    <w:rsid w:val="004B05C4"/>
    <w:rsid w:val="004B15F8"/>
    <w:rsid w:val="004B3900"/>
    <w:rsid w:val="004B4D3C"/>
    <w:rsid w:val="004B5D47"/>
    <w:rsid w:val="004B63FA"/>
    <w:rsid w:val="004C28BC"/>
    <w:rsid w:val="004C3D82"/>
    <w:rsid w:val="004C4619"/>
    <w:rsid w:val="004C571F"/>
    <w:rsid w:val="004C67CE"/>
    <w:rsid w:val="004D1B6D"/>
    <w:rsid w:val="004D3387"/>
    <w:rsid w:val="004D545E"/>
    <w:rsid w:val="004D69B9"/>
    <w:rsid w:val="004E4800"/>
    <w:rsid w:val="004E67C6"/>
    <w:rsid w:val="004E73ED"/>
    <w:rsid w:val="004F06DF"/>
    <w:rsid w:val="004F07B0"/>
    <w:rsid w:val="004F3661"/>
    <w:rsid w:val="004F458F"/>
    <w:rsid w:val="004F7A4B"/>
    <w:rsid w:val="0050125D"/>
    <w:rsid w:val="00501EDE"/>
    <w:rsid w:val="00503F4D"/>
    <w:rsid w:val="00505F29"/>
    <w:rsid w:val="00507614"/>
    <w:rsid w:val="00510D70"/>
    <w:rsid w:val="00512CAA"/>
    <w:rsid w:val="00512F74"/>
    <w:rsid w:val="005138FF"/>
    <w:rsid w:val="00516B2C"/>
    <w:rsid w:val="00522553"/>
    <w:rsid w:val="00523240"/>
    <w:rsid w:val="00523645"/>
    <w:rsid w:val="00523920"/>
    <w:rsid w:val="0053147F"/>
    <w:rsid w:val="0053303B"/>
    <w:rsid w:val="00533362"/>
    <w:rsid w:val="0053412A"/>
    <w:rsid w:val="0053445C"/>
    <w:rsid w:val="00534C97"/>
    <w:rsid w:val="005350ED"/>
    <w:rsid w:val="005351A0"/>
    <w:rsid w:val="005353EC"/>
    <w:rsid w:val="00535AFB"/>
    <w:rsid w:val="00535E9F"/>
    <w:rsid w:val="0054069F"/>
    <w:rsid w:val="00543104"/>
    <w:rsid w:val="00543962"/>
    <w:rsid w:val="00543EF0"/>
    <w:rsid w:val="0054482C"/>
    <w:rsid w:val="00550B6E"/>
    <w:rsid w:val="0055292B"/>
    <w:rsid w:val="00554BCF"/>
    <w:rsid w:val="00561415"/>
    <w:rsid w:val="00563AB2"/>
    <w:rsid w:val="00563D57"/>
    <w:rsid w:val="00566616"/>
    <w:rsid w:val="0057125F"/>
    <w:rsid w:val="005726D7"/>
    <w:rsid w:val="005735AD"/>
    <w:rsid w:val="0057376B"/>
    <w:rsid w:val="0057664E"/>
    <w:rsid w:val="0057686D"/>
    <w:rsid w:val="00576B7D"/>
    <w:rsid w:val="00577402"/>
    <w:rsid w:val="00577953"/>
    <w:rsid w:val="00580056"/>
    <w:rsid w:val="00580D73"/>
    <w:rsid w:val="005810FF"/>
    <w:rsid w:val="0058232C"/>
    <w:rsid w:val="005837D7"/>
    <w:rsid w:val="00583852"/>
    <w:rsid w:val="00584343"/>
    <w:rsid w:val="00584D01"/>
    <w:rsid w:val="00585B1C"/>
    <w:rsid w:val="0059488D"/>
    <w:rsid w:val="00597BAA"/>
    <w:rsid w:val="005A06B8"/>
    <w:rsid w:val="005A0BFF"/>
    <w:rsid w:val="005A3128"/>
    <w:rsid w:val="005A4476"/>
    <w:rsid w:val="005A590A"/>
    <w:rsid w:val="005A5A20"/>
    <w:rsid w:val="005A6480"/>
    <w:rsid w:val="005A7447"/>
    <w:rsid w:val="005A7A8F"/>
    <w:rsid w:val="005A7F91"/>
    <w:rsid w:val="005B2901"/>
    <w:rsid w:val="005B4EF8"/>
    <w:rsid w:val="005B5028"/>
    <w:rsid w:val="005B7F26"/>
    <w:rsid w:val="005C0660"/>
    <w:rsid w:val="005C1185"/>
    <w:rsid w:val="005C5B1D"/>
    <w:rsid w:val="005C6ED9"/>
    <w:rsid w:val="005C7A60"/>
    <w:rsid w:val="005D2045"/>
    <w:rsid w:val="005D5104"/>
    <w:rsid w:val="005D5BF5"/>
    <w:rsid w:val="005D6220"/>
    <w:rsid w:val="005D6D79"/>
    <w:rsid w:val="005E0DB5"/>
    <w:rsid w:val="005E3915"/>
    <w:rsid w:val="005E3DA5"/>
    <w:rsid w:val="005E4ABB"/>
    <w:rsid w:val="005E6142"/>
    <w:rsid w:val="005E7C8B"/>
    <w:rsid w:val="005F0B94"/>
    <w:rsid w:val="005F2475"/>
    <w:rsid w:val="005F3E8A"/>
    <w:rsid w:val="005F4A22"/>
    <w:rsid w:val="005F4EF4"/>
    <w:rsid w:val="005F7E12"/>
    <w:rsid w:val="00600516"/>
    <w:rsid w:val="00601243"/>
    <w:rsid w:val="00601D3C"/>
    <w:rsid w:val="006023FA"/>
    <w:rsid w:val="006036B6"/>
    <w:rsid w:val="0060436A"/>
    <w:rsid w:val="006051C0"/>
    <w:rsid w:val="00606F94"/>
    <w:rsid w:val="00607E09"/>
    <w:rsid w:val="00612619"/>
    <w:rsid w:val="006131E5"/>
    <w:rsid w:val="006140F5"/>
    <w:rsid w:val="006148C1"/>
    <w:rsid w:val="00615790"/>
    <w:rsid w:val="00616BA6"/>
    <w:rsid w:val="00621084"/>
    <w:rsid w:val="006252B6"/>
    <w:rsid w:val="00625386"/>
    <w:rsid w:val="00626ED2"/>
    <w:rsid w:val="00630B3E"/>
    <w:rsid w:val="00630C3A"/>
    <w:rsid w:val="0063287F"/>
    <w:rsid w:val="00634846"/>
    <w:rsid w:val="0063546B"/>
    <w:rsid w:val="00636E1C"/>
    <w:rsid w:val="00642F78"/>
    <w:rsid w:val="00643A83"/>
    <w:rsid w:val="00644382"/>
    <w:rsid w:val="0064567A"/>
    <w:rsid w:val="00646699"/>
    <w:rsid w:val="00647A5D"/>
    <w:rsid w:val="00652641"/>
    <w:rsid w:val="00653171"/>
    <w:rsid w:val="0065582D"/>
    <w:rsid w:val="006631FD"/>
    <w:rsid w:val="00665876"/>
    <w:rsid w:val="00665A5E"/>
    <w:rsid w:val="00673E53"/>
    <w:rsid w:val="006747FB"/>
    <w:rsid w:val="00676E78"/>
    <w:rsid w:val="006806D1"/>
    <w:rsid w:val="00681158"/>
    <w:rsid w:val="0068212D"/>
    <w:rsid w:val="00682353"/>
    <w:rsid w:val="0068364D"/>
    <w:rsid w:val="00684555"/>
    <w:rsid w:val="006865B5"/>
    <w:rsid w:val="00691BC3"/>
    <w:rsid w:val="0069392E"/>
    <w:rsid w:val="006963EB"/>
    <w:rsid w:val="00696FAA"/>
    <w:rsid w:val="00697A77"/>
    <w:rsid w:val="006A1EC1"/>
    <w:rsid w:val="006A22AA"/>
    <w:rsid w:val="006A26AE"/>
    <w:rsid w:val="006A69E1"/>
    <w:rsid w:val="006B0E39"/>
    <w:rsid w:val="006B0E5A"/>
    <w:rsid w:val="006B4FB1"/>
    <w:rsid w:val="006B6756"/>
    <w:rsid w:val="006C127B"/>
    <w:rsid w:val="006C1654"/>
    <w:rsid w:val="006C550F"/>
    <w:rsid w:val="006C6A40"/>
    <w:rsid w:val="006C7213"/>
    <w:rsid w:val="006C7B8C"/>
    <w:rsid w:val="006D3329"/>
    <w:rsid w:val="006D337D"/>
    <w:rsid w:val="006D4C81"/>
    <w:rsid w:val="006D4F01"/>
    <w:rsid w:val="006D5DC4"/>
    <w:rsid w:val="006D687A"/>
    <w:rsid w:val="006D76B0"/>
    <w:rsid w:val="006E0F2C"/>
    <w:rsid w:val="006E16AD"/>
    <w:rsid w:val="006E1D14"/>
    <w:rsid w:val="006E346F"/>
    <w:rsid w:val="006E43F5"/>
    <w:rsid w:val="006E55AF"/>
    <w:rsid w:val="006E63DA"/>
    <w:rsid w:val="006F189D"/>
    <w:rsid w:val="006F20D6"/>
    <w:rsid w:val="006F2AE8"/>
    <w:rsid w:val="006F3583"/>
    <w:rsid w:val="006F42C9"/>
    <w:rsid w:val="006F4967"/>
    <w:rsid w:val="00700F70"/>
    <w:rsid w:val="007015A7"/>
    <w:rsid w:val="00702CAC"/>
    <w:rsid w:val="00703967"/>
    <w:rsid w:val="00704061"/>
    <w:rsid w:val="00704616"/>
    <w:rsid w:val="00707AF0"/>
    <w:rsid w:val="0071048C"/>
    <w:rsid w:val="00710DB0"/>
    <w:rsid w:val="007111EC"/>
    <w:rsid w:val="00711C48"/>
    <w:rsid w:val="0071256C"/>
    <w:rsid w:val="00720517"/>
    <w:rsid w:val="00720814"/>
    <w:rsid w:val="007255F3"/>
    <w:rsid w:val="00726973"/>
    <w:rsid w:val="007275B4"/>
    <w:rsid w:val="00727645"/>
    <w:rsid w:val="00727686"/>
    <w:rsid w:val="00731027"/>
    <w:rsid w:val="00732B39"/>
    <w:rsid w:val="00734FAD"/>
    <w:rsid w:val="0073526D"/>
    <w:rsid w:val="00742816"/>
    <w:rsid w:val="00743CA6"/>
    <w:rsid w:val="00744D08"/>
    <w:rsid w:val="007518FE"/>
    <w:rsid w:val="007532AB"/>
    <w:rsid w:val="00754E00"/>
    <w:rsid w:val="0076364F"/>
    <w:rsid w:val="0077413E"/>
    <w:rsid w:val="00776784"/>
    <w:rsid w:val="0078095B"/>
    <w:rsid w:val="00780AD4"/>
    <w:rsid w:val="0078166C"/>
    <w:rsid w:val="00782C47"/>
    <w:rsid w:val="00783E5C"/>
    <w:rsid w:val="007855A7"/>
    <w:rsid w:val="00790C5E"/>
    <w:rsid w:val="00793A0E"/>
    <w:rsid w:val="00793DDA"/>
    <w:rsid w:val="00793FA7"/>
    <w:rsid w:val="00794CDC"/>
    <w:rsid w:val="00797C3B"/>
    <w:rsid w:val="007A05F6"/>
    <w:rsid w:val="007A069A"/>
    <w:rsid w:val="007A3AE4"/>
    <w:rsid w:val="007A51B5"/>
    <w:rsid w:val="007A5D3A"/>
    <w:rsid w:val="007A65EB"/>
    <w:rsid w:val="007A7CE4"/>
    <w:rsid w:val="007A7F89"/>
    <w:rsid w:val="007B09F9"/>
    <w:rsid w:val="007B59D1"/>
    <w:rsid w:val="007B5A31"/>
    <w:rsid w:val="007B5B7E"/>
    <w:rsid w:val="007B74F7"/>
    <w:rsid w:val="007C0C14"/>
    <w:rsid w:val="007C45C7"/>
    <w:rsid w:val="007C66EC"/>
    <w:rsid w:val="007C6B6B"/>
    <w:rsid w:val="007D0A8E"/>
    <w:rsid w:val="007D315C"/>
    <w:rsid w:val="007D3A55"/>
    <w:rsid w:val="007D46F8"/>
    <w:rsid w:val="007D68CE"/>
    <w:rsid w:val="007E1926"/>
    <w:rsid w:val="007E475B"/>
    <w:rsid w:val="007E5720"/>
    <w:rsid w:val="007E64D4"/>
    <w:rsid w:val="007E6C62"/>
    <w:rsid w:val="007F1B6D"/>
    <w:rsid w:val="007F6352"/>
    <w:rsid w:val="007F68E4"/>
    <w:rsid w:val="007F6E95"/>
    <w:rsid w:val="007F6FE9"/>
    <w:rsid w:val="00801380"/>
    <w:rsid w:val="0080470A"/>
    <w:rsid w:val="00806E21"/>
    <w:rsid w:val="00810997"/>
    <w:rsid w:val="00811303"/>
    <w:rsid w:val="008129EE"/>
    <w:rsid w:val="00812A5E"/>
    <w:rsid w:val="008130DD"/>
    <w:rsid w:val="00813C18"/>
    <w:rsid w:val="00814F19"/>
    <w:rsid w:val="008152B7"/>
    <w:rsid w:val="00817C29"/>
    <w:rsid w:val="00821BB7"/>
    <w:rsid w:val="008228CD"/>
    <w:rsid w:val="00825C74"/>
    <w:rsid w:val="00827DA5"/>
    <w:rsid w:val="00827ED4"/>
    <w:rsid w:val="00830A11"/>
    <w:rsid w:val="00831625"/>
    <w:rsid w:val="008317A7"/>
    <w:rsid w:val="00831B62"/>
    <w:rsid w:val="00834006"/>
    <w:rsid w:val="008361EF"/>
    <w:rsid w:val="008406BD"/>
    <w:rsid w:val="008429DC"/>
    <w:rsid w:val="008434EB"/>
    <w:rsid w:val="00843778"/>
    <w:rsid w:val="00844766"/>
    <w:rsid w:val="008478E0"/>
    <w:rsid w:val="0084791A"/>
    <w:rsid w:val="00851E2C"/>
    <w:rsid w:val="00854002"/>
    <w:rsid w:val="00854B37"/>
    <w:rsid w:val="00854E6C"/>
    <w:rsid w:val="008567E0"/>
    <w:rsid w:val="00857BD4"/>
    <w:rsid w:val="00857D57"/>
    <w:rsid w:val="0086005C"/>
    <w:rsid w:val="008614FE"/>
    <w:rsid w:val="00864A38"/>
    <w:rsid w:val="00866753"/>
    <w:rsid w:val="00867684"/>
    <w:rsid w:val="00870F2B"/>
    <w:rsid w:val="008715FB"/>
    <w:rsid w:val="00873B47"/>
    <w:rsid w:val="00874B17"/>
    <w:rsid w:val="00874DCA"/>
    <w:rsid w:val="00877424"/>
    <w:rsid w:val="008916F0"/>
    <w:rsid w:val="00891DFE"/>
    <w:rsid w:val="00892B9E"/>
    <w:rsid w:val="00895D51"/>
    <w:rsid w:val="008A01E0"/>
    <w:rsid w:val="008A06EE"/>
    <w:rsid w:val="008A10B8"/>
    <w:rsid w:val="008A28EC"/>
    <w:rsid w:val="008A3B91"/>
    <w:rsid w:val="008A6CC1"/>
    <w:rsid w:val="008B2C47"/>
    <w:rsid w:val="008B32BE"/>
    <w:rsid w:val="008B7BA2"/>
    <w:rsid w:val="008C278E"/>
    <w:rsid w:val="008C3D7D"/>
    <w:rsid w:val="008C44DA"/>
    <w:rsid w:val="008C47C3"/>
    <w:rsid w:val="008C7220"/>
    <w:rsid w:val="008D079A"/>
    <w:rsid w:val="008D0E65"/>
    <w:rsid w:val="008D2297"/>
    <w:rsid w:val="008D38FE"/>
    <w:rsid w:val="008D3FCD"/>
    <w:rsid w:val="008D6B20"/>
    <w:rsid w:val="008D6CF1"/>
    <w:rsid w:val="008E58EF"/>
    <w:rsid w:val="008E59DA"/>
    <w:rsid w:val="008E5CE5"/>
    <w:rsid w:val="008F05D3"/>
    <w:rsid w:val="008F0D07"/>
    <w:rsid w:val="008F11D2"/>
    <w:rsid w:val="008F4528"/>
    <w:rsid w:val="008F471B"/>
    <w:rsid w:val="008F5947"/>
    <w:rsid w:val="008F72C1"/>
    <w:rsid w:val="00900FB7"/>
    <w:rsid w:val="00902C2C"/>
    <w:rsid w:val="009040B4"/>
    <w:rsid w:val="00904140"/>
    <w:rsid w:val="00906CBB"/>
    <w:rsid w:val="0090787E"/>
    <w:rsid w:val="00910C19"/>
    <w:rsid w:val="00911E21"/>
    <w:rsid w:val="00915628"/>
    <w:rsid w:val="009160B1"/>
    <w:rsid w:val="00916206"/>
    <w:rsid w:val="0091767B"/>
    <w:rsid w:val="00920A4E"/>
    <w:rsid w:val="0092368C"/>
    <w:rsid w:val="0092379C"/>
    <w:rsid w:val="009255DD"/>
    <w:rsid w:val="00932689"/>
    <w:rsid w:val="00934157"/>
    <w:rsid w:val="0093425C"/>
    <w:rsid w:val="00934977"/>
    <w:rsid w:val="00935DE5"/>
    <w:rsid w:val="00941960"/>
    <w:rsid w:val="00947EA1"/>
    <w:rsid w:val="009537D0"/>
    <w:rsid w:val="009547F0"/>
    <w:rsid w:val="0095552D"/>
    <w:rsid w:val="0095655C"/>
    <w:rsid w:val="009606AB"/>
    <w:rsid w:val="00961D8F"/>
    <w:rsid w:val="00962E4F"/>
    <w:rsid w:val="0096334C"/>
    <w:rsid w:val="00963B10"/>
    <w:rsid w:val="00965CAF"/>
    <w:rsid w:val="00971A1F"/>
    <w:rsid w:val="00973809"/>
    <w:rsid w:val="00974886"/>
    <w:rsid w:val="00976844"/>
    <w:rsid w:val="00977459"/>
    <w:rsid w:val="00980245"/>
    <w:rsid w:val="009803B6"/>
    <w:rsid w:val="00983F69"/>
    <w:rsid w:val="00985281"/>
    <w:rsid w:val="00985D40"/>
    <w:rsid w:val="0098614D"/>
    <w:rsid w:val="0099153A"/>
    <w:rsid w:val="009979A1"/>
    <w:rsid w:val="009A2315"/>
    <w:rsid w:val="009A27EB"/>
    <w:rsid w:val="009A2977"/>
    <w:rsid w:val="009A39DF"/>
    <w:rsid w:val="009A44C3"/>
    <w:rsid w:val="009A50F2"/>
    <w:rsid w:val="009A52F9"/>
    <w:rsid w:val="009A7140"/>
    <w:rsid w:val="009B3B6A"/>
    <w:rsid w:val="009B571F"/>
    <w:rsid w:val="009C18AA"/>
    <w:rsid w:val="009C5F54"/>
    <w:rsid w:val="009C7640"/>
    <w:rsid w:val="009C7B1E"/>
    <w:rsid w:val="009D303C"/>
    <w:rsid w:val="009D6C12"/>
    <w:rsid w:val="009E014E"/>
    <w:rsid w:val="009E18D0"/>
    <w:rsid w:val="009E2005"/>
    <w:rsid w:val="009E4220"/>
    <w:rsid w:val="009E569C"/>
    <w:rsid w:val="009E7D08"/>
    <w:rsid w:val="009F1AC8"/>
    <w:rsid w:val="009F424F"/>
    <w:rsid w:val="009F63CA"/>
    <w:rsid w:val="009F68AF"/>
    <w:rsid w:val="00A00F3D"/>
    <w:rsid w:val="00A01422"/>
    <w:rsid w:val="00A02043"/>
    <w:rsid w:val="00A02864"/>
    <w:rsid w:val="00A04721"/>
    <w:rsid w:val="00A05E85"/>
    <w:rsid w:val="00A0782E"/>
    <w:rsid w:val="00A10C05"/>
    <w:rsid w:val="00A11D6F"/>
    <w:rsid w:val="00A16270"/>
    <w:rsid w:val="00A166A1"/>
    <w:rsid w:val="00A21A90"/>
    <w:rsid w:val="00A24866"/>
    <w:rsid w:val="00A26030"/>
    <w:rsid w:val="00A26DE3"/>
    <w:rsid w:val="00A274ED"/>
    <w:rsid w:val="00A31A3A"/>
    <w:rsid w:val="00A31D2E"/>
    <w:rsid w:val="00A3691E"/>
    <w:rsid w:val="00A36DF0"/>
    <w:rsid w:val="00A46914"/>
    <w:rsid w:val="00A50CD8"/>
    <w:rsid w:val="00A5116B"/>
    <w:rsid w:val="00A53C05"/>
    <w:rsid w:val="00A5433F"/>
    <w:rsid w:val="00A54566"/>
    <w:rsid w:val="00A55A34"/>
    <w:rsid w:val="00A56C1A"/>
    <w:rsid w:val="00A56D0B"/>
    <w:rsid w:val="00A5720F"/>
    <w:rsid w:val="00A5764B"/>
    <w:rsid w:val="00A57F29"/>
    <w:rsid w:val="00A64EFD"/>
    <w:rsid w:val="00A6592C"/>
    <w:rsid w:val="00A66D55"/>
    <w:rsid w:val="00A711BD"/>
    <w:rsid w:val="00A7326E"/>
    <w:rsid w:val="00A739F2"/>
    <w:rsid w:val="00A7479A"/>
    <w:rsid w:val="00A76AAC"/>
    <w:rsid w:val="00A76CFF"/>
    <w:rsid w:val="00A76F6C"/>
    <w:rsid w:val="00A82564"/>
    <w:rsid w:val="00A82FC2"/>
    <w:rsid w:val="00A867B1"/>
    <w:rsid w:val="00A8730B"/>
    <w:rsid w:val="00A87B1A"/>
    <w:rsid w:val="00A90231"/>
    <w:rsid w:val="00A90F08"/>
    <w:rsid w:val="00A910DC"/>
    <w:rsid w:val="00A91A13"/>
    <w:rsid w:val="00A91B01"/>
    <w:rsid w:val="00A923EF"/>
    <w:rsid w:val="00A92660"/>
    <w:rsid w:val="00A92F33"/>
    <w:rsid w:val="00A934BB"/>
    <w:rsid w:val="00A96898"/>
    <w:rsid w:val="00A96E53"/>
    <w:rsid w:val="00AA0330"/>
    <w:rsid w:val="00AA06B7"/>
    <w:rsid w:val="00AA1201"/>
    <w:rsid w:val="00AA21DA"/>
    <w:rsid w:val="00AA61DE"/>
    <w:rsid w:val="00AA719C"/>
    <w:rsid w:val="00AB14A5"/>
    <w:rsid w:val="00AB21B0"/>
    <w:rsid w:val="00AB40AF"/>
    <w:rsid w:val="00AB429A"/>
    <w:rsid w:val="00AB549D"/>
    <w:rsid w:val="00AC1393"/>
    <w:rsid w:val="00AC27BE"/>
    <w:rsid w:val="00AC47E8"/>
    <w:rsid w:val="00AC49A9"/>
    <w:rsid w:val="00AC5141"/>
    <w:rsid w:val="00AD1628"/>
    <w:rsid w:val="00AD3527"/>
    <w:rsid w:val="00AD43D1"/>
    <w:rsid w:val="00AD7AD3"/>
    <w:rsid w:val="00AD7E75"/>
    <w:rsid w:val="00AE0022"/>
    <w:rsid w:val="00AE3021"/>
    <w:rsid w:val="00AE4425"/>
    <w:rsid w:val="00AE4AE7"/>
    <w:rsid w:val="00AF0DBB"/>
    <w:rsid w:val="00AF7EE2"/>
    <w:rsid w:val="00AF7F6F"/>
    <w:rsid w:val="00B009F0"/>
    <w:rsid w:val="00B00D63"/>
    <w:rsid w:val="00B02594"/>
    <w:rsid w:val="00B02C13"/>
    <w:rsid w:val="00B038D0"/>
    <w:rsid w:val="00B04561"/>
    <w:rsid w:val="00B0566F"/>
    <w:rsid w:val="00B05998"/>
    <w:rsid w:val="00B05E4B"/>
    <w:rsid w:val="00B1047D"/>
    <w:rsid w:val="00B12DCF"/>
    <w:rsid w:val="00B16421"/>
    <w:rsid w:val="00B21A2A"/>
    <w:rsid w:val="00B2318C"/>
    <w:rsid w:val="00B2519B"/>
    <w:rsid w:val="00B2587C"/>
    <w:rsid w:val="00B26B7D"/>
    <w:rsid w:val="00B31EF6"/>
    <w:rsid w:val="00B34687"/>
    <w:rsid w:val="00B34F7E"/>
    <w:rsid w:val="00B3612F"/>
    <w:rsid w:val="00B3660E"/>
    <w:rsid w:val="00B40FE0"/>
    <w:rsid w:val="00B46868"/>
    <w:rsid w:val="00B47E43"/>
    <w:rsid w:val="00B50566"/>
    <w:rsid w:val="00B514D3"/>
    <w:rsid w:val="00B526DE"/>
    <w:rsid w:val="00B5322F"/>
    <w:rsid w:val="00B533F5"/>
    <w:rsid w:val="00B552A5"/>
    <w:rsid w:val="00B5537D"/>
    <w:rsid w:val="00B626AF"/>
    <w:rsid w:val="00B62AC8"/>
    <w:rsid w:val="00B6307A"/>
    <w:rsid w:val="00B6309A"/>
    <w:rsid w:val="00B71B3C"/>
    <w:rsid w:val="00B72B5D"/>
    <w:rsid w:val="00B75B5C"/>
    <w:rsid w:val="00B75BE0"/>
    <w:rsid w:val="00B7660F"/>
    <w:rsid w:val="00B84C72"/>
    <w:rsid w:val="00B86DAB"/>
    <w:rsid w:val="00B877AA"/>
    <w:rsid w:val="00B87F52"/>
    <w:rsid w:val="00B91293"/>
    <w:rsid w:val="00B9225D"/>
    <w:rsid w:val="00B93D6D"/>
    <w:rsid w:val="00B94206"/>
    <w:rsid w:val="00B958AF"/>
    <w:rsid w:val="00B96E79"/>
    <w:rsid w:val="00B978D4"/>
    <w:rsid w:val="00BA2304"/>
    <w:rsid w:val="00BA7433"/>
    <w:rsid w:val="00BA75AB"/>
    <w:rsid w:val="00BB0C18"/>
    <w:rsid w:val="00BB6335"/>
    <w:rsid w:val="00BC0C68"/>
    <w:rsid w:val="00BC51FC"/>
    <w:rsid w:val="00BC58EC"/>
    <w:rsid w:val="00BD0B0B"/>
    <w:rsid w:val="00BD0D9C"/>
    <w:rsid w:val="00BD1A9E"/>
    <w:rsid w:val="00BD1BD8"/>
    <w:rsid w:val="00BD1D17"/>
    <w:rsid w:val="00BD53A6"/>
    <w:rsid w:val="00BD5A01"/>
    <w:rsid w:val="00BD5DD2"/>
    <w:rsid w:val="00BE3A7C"/>
    <w:rsid w:val="00BE4090"/>
    <w:rsid w:val="00BE70E0"/>
    <w:rsid w:val="00BF04B8"/>
    <w:rsid w:val="00BF1243"/>
    <w:rsid w:val="00BF7557"/>
    <w:rsid w:val="00BF7E67"/>
    <w:rsid w:val="00C0255A"/>
    <w:rsid w:val="00C028D6"/>
    <w:rsid w:val="00C03ED5"/>
    <w:rsid w:val="00C0423A"/>
    <w:rsid w:val="00C04743"/>
    <w:rsid w:val="00C117AB"/>
    <w:rsid w:val="00C12459"/>
    <w:rsid w:val="00C1362F"/>
    <w:rsid w:val="00C136DB"/>
    <w:rsid w:val="00C14900"/>
    <w:rsid w:val="00C14C6B"/>
    <w:rsid w:val="00C161C5"/>
    <w:rsid w:val="00C16EC2"/>
    <w:rsid w:val="00C214B9"/>
    <w:rsid w:val="00C217B2"/>
    <w:rsid w:val="00C226D5"/>
    <w:rsid w:val="00C3179F"/>
    <w:rsid w:val="00C32FD5"/>
    <w:rsid w:val="00C40CBA"/>
    <w:rsid w:val="00C40FA9"/>
    <w:rsid w:val="00C44A2D"/>
    <w:rsid w:val="00C44A6F"/>
    <w:rsid w:val="00C46392"/>
    <w:rsid w:val="00C46A33"/>
    <w:rsid w:val="00C5129B"/>
    <w:rsid w:val="00C53E29"/>
    <w:rsid w:val="00C57722"/>
    <w:rsid w:val="00C63075"/>
    <w:rsid w:val="00C63668"/>
    <w:rsid w:val="00C63965"/>
    <w:rsid w:val="00C63B05"/>
    <w:rsid w:val="00C657D5"/>
    <w:rsid w:val="00C663FF"/>
    <w:rsid w:val="00C67E19"/>
    <w:rsid w:val="00C70C68"/>
    <w:rsid w:val="00C7246E"/>
    <w:rsid w:val="00C72EE8"/>
    <w:rsid w:val="00C7643E"/>
    <w:rsid w:val="00C768DF"/>
    <w:rsid w:val="00C806DB"/>
    <w:rsid w:val="00C83450"/>
    <w:rsid w:val="00C83641"/>
    <w:rsid w:val="00C8381F"/>
    <w:rsid w:val="00C83B4F"/>
    <w:rsid w:val="00C83FF3"/>
    <w:rsid w:val="00C859FB"/>
    <w:rsid w:val="00C85FF9"/>
    <w:rsid w:val="00C87E04"/>
    <w:rsid w:val="00C87E4D"/>
    <w:rsid w:val="00C87F8E"/>
    <w:rsid w:val="00C90CEF"/>
    <w:rsid w:val="00C9107F"/>
    <w:rsid w:val="00C92B10"/>
    <w:rsid w:val="00C94D91"/>
    <w:rsid w:val="00C95DA7"/>
    <w:rsid w:val="00CA15E4"/>
    <w:rsid w:val="00CA1AB6"/>
    <w:rsid w:val="00CA206B"/>
    <w:rsid w:val="00CA4762"/>
    <w:rsid w:val="00CA5279"/>
    <w:rsid w:val="00CA739D"/>
    <w:rsid w:val="00CA7A66"/>
    <w:rsid w:val="00CB16B5"/>
    <w:rsid w:val="00CB370B"/>
    <w:rsid w:val="00CB5475"/>
    <w:rsid w:val="00CB58CE"/>
    <w:rsid w:val="00CC160D"/>
    <w:rsid w:val="00CC4016"/>
    <w:rsid w:val="00CC4081"/>
    <w:rsid w:val="00CC525B"/>
    <w:rsid w:val="00CC761B"/>
    <w:rsid w:val="00CC7C6E"/>
    <w:rsid w:val="00CD0118"/>
    <w:rsid w:val="00CD2228"/>
    <w:rsid w:val="00CD408B"/>
    <w:rsid w:val="00CD5002"/>
    <w:rsid w:val="00CD62CC"/>
    <w:rsid w:val="00CE308B"/>
    <w:rsid w:val="00CE359C"/>
    <w:rsid w:val="00CE4896"/>
    <w:rsid w:val="00CE4ACC"/>
    <w:rsid w:val="00CE4F4C"/>
    <w:rsid w:val="00CE4FE6"/>
    <w:rsid w:val="00CE5233"/>
    <w:rsid w:val="00CE5D61"/>
    <w:rsid w:val="00CE7736"/>
    <w:rsid w:val="00CF161D"/>
    <w:rsid w:val="00CF29B5"/>
    <w:rsid w:val="00CF2EB2"/>
    <w:rsid w:val="00CF3239"/>
    <w:rsid w:val="00CF4148"/>
    <w:rsid w:val="00CF4225"/>
    <w:rsid w:val="00CF4743"/>
    <w:rsid w:val="00CF55FF"/>
    <w:rsid w:val="00CF57FB"/>
    <w:rsid w:val="00D01054"/>
    <w:rsid w:val="00D016A0"/>
    <w:rsid w:val="00D04111"/>
    <w:rsid w:val="00D06B51"/>
    <w:rsid w:val="00D07317"/>
    <w:rsid w:val="00D11ACB"/>
    <w:rsid w:val="00D1211C"/>
    <w:rsid w:val="00D12AB9"/>
    <w:rsid w:val="00D1447F"/>
    <w:rsid w:val="00D15E3F"/>
    <w:rsid w:val="00D16364"/>
    <w:rsid w:val="00D2140B"/>
    <w:rsid w:val="00D22634"/>
    <w:rsid w:val="00D23516"/>
    <w:rsid w:val="00D23A78"/>
    <w:rsid w:val="00D246CD"/>
    <w:rsid w:val="00D27F52"/>
    <w:rsid w:val="00D3197F"/>
    <w:rsid w:val="00D31B07"/>
    <w:rsid w:val="00D32ED6"/>
    <w:rsid w:val="00D34D27"/>
    <w:rsid w:val="00D37C5E"/>
    <w:rsid w:val="00D4113C"/>
    <w:rsid w:val="00D41FB6"/>
    <w:rsid w:val="00D42406"/>
    <w:rsid w:val="00D43326"/>
    <w:rsid w:val="00D43756"/>
    <w:rsid w:val="00D444EE"/>
    <w:rsid w:val="00D44601"/>
    <w:rsid w:val="00D45AED"/>
    <w:rsid w:val="00D4709E"/>
    <w:rsid w:val="00D47169"/>
    <w:rsid w:val="00D47A7D"/>
    <w:rsid w:val="00D517AE"/>
    <w:rsid w:val="00D53B62"/>
    <w:rsid w:val="00D55B68"/>
    <w:rsid w:val="00D55C05"/>
    <w:rsid w:val="00D56F8D"/>
    <w:rsid w:val="00D62913"/>
    <w:rsid w:val="00D65371"/>
    <w:rsid w:val="00D6576E"/>
    <w:rsid w:val="00D66400"/>
    <w:rsid w:val="00D6685F"/>
    <w:rsid w:val="00D6719A"/>
    <w:rsid w:val="00D7109D"/>
    <w:rsid w:val="00D72990"/>
    <w:rsid w:val="00D730A6"/>
    <w:rsid w:val="00D74CF4"/>
    <w:rsid w:val="00D75D66"/>
    <w:rsid w:val="00D76C64"/>
    <w:rsid w:val="00D772B0"/>
    <w:rsid w:val="00D82789"/>
    <w:rsid w:val="00D850DA"/>
    <w:rsid w:val="00D87169"/>
    <w:rsid w:val="00D87348"/>
    <w:rsid w:val="00D8782E"/>
    <w:rsid w:val="00D90BC0"/>
    <w:rsid w:val="00D90F66"/>
    <w:rsid w:val="00D926AA"/>
    <w:rsid w:val="00D9491A"/>
    <w:rsid w:val="00D952B5"/>
    <w:rsid w:val="00D977E6"/>
    <w:rsid w:val="00DA1C8B"/>
    <w:rsid w:val="00DA407F"/>
    <w:rsid w:val="00DA49BD"/>
    <w:rsid w:val="00DB26C5"/>
    <w:rsid w:val="00DB3ED7"/>
    <w:rsid w:val="00DB4446"/>
    <w:rsid w:val="00DB5FB4"/>
    <w:rsid w:val="00DB646F"/>
    <w:rsid w:val="00DC153A"/>
    <w:rsid w:val="00DC1770"/>
    <w:rsid w:val="00DC2AF1"/>
    <w:rsid w:val="00DC320E"/>
    <w:rsid w:val="00DC54F4"/>
    <w:rsid w:val="00DC6069"/>
    <w:rsid w:val="00DC65D8"/>
    <w:rsid w:val="00DC6A09"/>
    <w:rsid w:val="00DC6AF3"/>
    <w:rsid w:val="00DD1D1F"/>
    <w:rsid w:val="00DD3CB5"/>
    <w:rsid w:val="00DD672F"/>
    <w:rsid w:val="00DD6A40"/>
    <w:rsid w:val="00DD6D86"/>
    <w:rsid w:val="00DD76A7"/>
    <w:rsid w:val="00DD76AD"/>
    <w:rsid w:val="00DE024B"/>
    <w:rsid w:val="00DE0D84"/>
    <w:rsid w:val="00DE1BA1"/>
    <w:rsid w:val="00DE25F8"/>
    <w:rsid w:val="00DE2AE9"/>
    <w:rsid w:val="00DE4816"/>
    <w:rsid w:val="00DE4A1C"/>
    <w:rsid w:val="00DE6557"/>
    <w:rsid w:val="00DF0C8A"/>
    <w:rsid w:val="00DF48E4"/>
    <w:rsid w:val="00DF49B0"/>
    <w:rsid w:val="00DF4F4F"/>
    <w:rsid w:val="00DF5FEB"/>
    <w:rsid w:val="00DF70F0"/>
    <w:rsid w:val="00DF74CF"/>
    <w:rsid w:val="00E0091C"/>
    <w:rsid w:val="00E02E67"/>
    <w:rsid w:val="00E03753"/>
    <w:rsid w:val="00E0417F"/>
    <w:rsid w:val="00E07DEC"/>
    <w:rsid w:val="00E10373"/>
    <w:rsid w:val="00E1269C"/>
    <w:rsid w:val="00E134F9"/>
    <w:rsid w:val="00E13A27"/>
    <w:rsid w:val="00E15263"/>
    <w:rsid w:val="00E1587E"/>
    <w:rsid w:val="00E15AE7"/>
    <w:rsid w:val="00E20D63"/>
    <w:rsid w:val="00E210A1"/>
    <w:rsid w:val="00E226F9"/>
    <w:rsid w:val="00E231E5"/>
    <w:rsid w:val="00E30238"/>
    <w:rsid w:val="00E3321F"/>
    <w:rsid w:val="00E3512B"/>
    <w:rsid w:val="00E4329C"/>
    <w:rsid w:val="00E444D5"/>
    <w:rsid w:val="00E455E7"/>
    <w:rsid w:val="00E4576E"/>
    <w:rsid w:val="00E50D0A"/>
    <w:rsid w:val="00E53522"/>
    <w:rsid w:val="00E56096"/>
    <w:rsid w:val="00E57DF1"/>
    <w:rsid w:val="00E60C0F"/>
    <w:rsid w:val="00E60F84"/>
    <w:rsid w:val="00E626DE"/>
    <w:rsid w:val="00E633B3"/>
    <w:rsid w:val="00E64DF8"/>
    <w:rsid w:val="00E6664D"/>
    <w:rsid w:val="00E72046"/>
    <w:rsid w:val="00E7322D"/>
    <w:rsid w:val="00E7436B"/>
    <w:rsid w:val="00E75B78"/>
    <w:rsid w:val="00E830C1"/>
    <w:rsid w:val="00E842E7"/>
    <w:rsid w:val="00E873F4"/>
    <w:rsid w:val="00E90EC7"/>
    <w:rsid w:val="00E90FA6"/>
    <w:rsid w:val="00E92A4C"/>
    <w:rsid w:val="00E95FD3"/>
    <w:rsid w:val="00E96400"/>
    <w:rsid w:val="00E96793"/>
    <w:rsid w:val="00EB3732"/>
    <w:rsid w:val="00EB3953"/>
    <w:rsid w:val="00EB3CD8"/>
    <w:rsid w:val="00EB480C"/>
    <w:rsid w:val="00EB5A7F"/>
    <w:rsid w:val="00EB63C1"/>
    <w:rsid w:val="00EB7801"/>
    <w:rsid w:val="00EB7EB4"/>
    <w:rsid w:val="00EB7F72"/>
    <w:rsid w:val="00EC09C0"/>
    <w:rsid w:val="00EC1A00"/>
    <w:rsid w:val="00EC2147"/>
    <w:rsid w:val="00EC3B68"/>
    <w:rsid w:val="00EC4AAE"/>
    <w:rsid w:val="00EC5AEF"/>
    <w:rsid w:val="00EC659B"/>
    <w:rsid w:val="00EC78EC"/>
    <w:rsid w:val="00ED0C77"/>
    <w:rsid w:val="00ED1662"/>
    <w:rsid w:val="00ED2BBE"/>
    <w:rsid w:val="00ED3241"/>
    <w:rsid w:val="00ED5769"/>
    <w:rsid w:val="00EE079D"/>
    <w:rsid w:val="00EE4124"/>
    <w:rsid w:val="00EF1DAF"/>
    <w:rsid w:val="00EF496A"/>
    <w:rsid w:val="00EF4A4F"/>
    <w:rsid w:val="00EF4CA6"/>
    <w:rsid w:val="00EF56FE"/>
    <w:rsid w:val="00F01803"/>
    <w:rsid w:val="00F03661"/>
    <w:rsid w:val="00F04406"/>
    <w:rsid w:val="00F07BEC"/>
    <w:rsid w:val="00F07C65"/>
    <w:rsid w:val="00F1168E"/>
    <w:rsid w:val="00F12100"/>
    <w:rsid w:val="00F139B9"/>
    <w:rsid w:val="00F14E9B"/>
    <w:rsid w:val="00F169EC"/>
    <w:rsid w:val="00F20F51"/>
    <w:rsid w:val="00F220E6"/>
    <w:rsid w:val="00F22D3A"/>
    <w:rsid w:val="00F23881"/>
    <w:rsid w:val="00F23D52"/>
    <w:rsid w:val="00F2760A"/>
    <w:rsid w:val="00F309B5"/>
    <w:rsid w:val="00F312C6"/>
    <w:rsid w:val="00F31F87"/>
    <w:rsid w:val="00F320F4"/>
    <w:rsid w:val="00F32A01"/>
    <w:rsid w:val="00F34A7E"/>
    <w:rsid w:val="00F36114"/>
    <w:rsid w:val="00F37219"/>
    <w:rsid w:val="00F42998"/>
    <w:rsid w:val="00F44F9E"/>
    <w:rsid w:val="00F4663B"/>
    <w:rsid w:val="00F507FD"/>
    <w:rsid w:val="00F50D4C"/>
    <w:rsid w:val="00F512B9"/>
    <w:rsid w:val="00F51A9E"/>
    <w:rsid w:val="00F53F84"/>
    <w:rsid w:val="00F56215"/>
    <w:rsid w:val="00F604E6"/>
    <w:rsid w:val="00F61AA3"/>
    <w:rsid w:val="00F62CF8"/>
    <w:rsid w:val="00F63A09"/>
    <w:rsid w:val="00F666F7"/>
    <w:rsid w:val="00F678CB"/>
    <w:rsid w:val="00F72635"/>
    <w:rsid w:val="00F731E8"/>
    <w:rsid w:val="00F75080"/>
    <w:rsid w:val="00F75562"/>
    <w:rsid w:val="00F779C8"/>
    <w:rsid w:val="00F80475"/>
    <w:rsid w:val="00F80C85"/>
    <w:rsid w:val="00F80F3E"/>
    <w:rsid w:val="00F8155D"/>
    <w:rsid w:val="00F840FE"/>
    <w:rsid w:val="00F85532"/>
    <w:rsid w:val="00F857EA"/>
    <w:rsid w:val="00F90019"/>
    <w:rsid w:val="00F91575"/>
    <w:rsid w:val="00F9273F"/>
    <w:rsid w:val="00F93105"/>
    <w:rsid w:val="00F9614F"/>
    <w:rsid w:val="00FA02F3"/>
    <w:rsid w:val="00FA1FB8"/>
    <w:rsid w:val="00FA6A94"/>
    <w:rsid w:val="00FA6FD7"/>
    <w:rsid w:val="00FA7269"/>
    <w:rsid w:val="00FB266B"/>
    <w:rsid w:val="00FB3873"/>
    <w:rsid w:val="00FB59DA"/>
    <w:rsid w:val="00FB5F4E"/>
    <w:rsid w:val="00FC013D"/>
    <w:rsid w:val="00FC0A57"/>
    <w:rsid w:val="00FC0CE9"/>
    <w:rsid w:val="00FC14F2"/>
    <w:rsid w:val="00FC6BEB"/>
    <w:rsid w:val="00FD0D6A"/>
    <w:rsid w:val="00FD11B5"/>
    <w:rsid w:val="00FD1C6E"/>
    <w:rsid w:val="00FD762D"/>
    <w:rsid w:val="00FD7F13"/>
    <w:rsid w:val="00FE01C0"/>
    <w:rsid w:val="00FE0401"/>
    <w:rsid w:val="00FE0E24"/>
    <w:rsid w:val="00FE2D29"/>
    <w:rsid w:val="00FE2DFF"/>
    <w:rsid w:val="00FE5713"/>
    <w:rsid w:val="00FE7A6A"/>
    <w:rsid w:val="00FE7BD0"/>
    <w:rsid w:val="00FF29FB"/>
    <w:rsid w:val="00FF45EA"/>
    <w:rsid w:val="00FF4908"/>
    <w:rsid w:val="00FF5763"/>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E8C0"/>
  <w15:docId w15:val="{65A7E948-DED5-4364-AFA8-72EEE1CE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ttes">
    <w:name w:val="annette's"/>
    <w:basedOn w:val="Normal"/>
    <w:qFormat/>
    <w:rsid w:val="00A96E53"/>
    <w:pPr>
      <w:spacing w:line="360" w:lineRule="auto"/>
      <w:jc w:val="both"/>
    </w:pPr>
    <w:rPr>
      <w:rFonts w:ascii="Times New Roman" w:hAnsi="Times New Roman"/>
      <w:sz w:val="24"/>
    </w:rPr>
  </w:style>
  <w:style w:type="paragraph" w:styleId="ListParagraph">
    <w:name w:val="List Paragraph"/>
    <w:basedOn w:val="Normal"/>
    <w:uiPriority w:val="34"/>
    <w:qFormat/>
    <w:rsid w:val="00E13A27"/>
    <w:pPr>
      <w:spacing w:after="0" w:line="480" w:lineRule="auto"/>
      <w:ind w:left="720"/>
      <w:contextualSpacing/>
    </w:pPr>
  </w:style>
  <w:style w:type="paragraph" w:styleId="FootnoteText">
    <w:name w:val="footnote text"/>
    <w:basedOn w:val="Normal"/>
    <w:link w:val="FootnoteTextChar"/>
    <w:uiPriority w:val="99"/>
    <w:unhideWhenUsed/>
    <w:rsid w:val="009C18AA"/>
    <w:pPr>
      <w:spacing w:after="120" w:line="240" w:lineRule="auto"/>
      <w:ind w:firstLine="720"/>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9C18AA"/>
    <w:rPr>
      <w:rFonts w:ascii="Times New Roman" w:hAnsi="Times New Roman"/>
      <w:sz w:val="20"/>
      <w:szCs w:val="20"/>
    </w:rPr>
  </w:style>
  <w:style w:type="character" w:styleId="FootnoteReference">
    <w:name w:val="footnote reference"/>
    <w:basedOn w:val="DefaultParagraphFont"/>
    <w:uiPriority w:val="99"/>
    <w:unhideWhenUsed/>
    <w:rsid w:val="00F75562"/>
    <w:rPr>
      <w:vertAlign w:val="superscript"/>
    </w:rPr>
  </w:style>
  <w:style w:type="table" w:styleId="TableGrid">
    <w:name w:val="Table Grid"/>
    <w:basedOn w:val="TableNormal"/>
    <w:uiPriority w:val="59"/>
    <w:rsid w:val="00FA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A1C"/>
  </w:style>
  <w:style w:type="paragraph" w:styleId="Footer">
    <w:name w:val="footer"/>
    <w:basedOn w:val="Normal"/>
    <w:link w:val="FooterChar"/>
    <w:uiPriority w:val="99"/>
    <w:unhideWhenUsed/>
    <w:rsid w:val="00DE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A1C"/>
  </w:style>
  <w:style w:type="paragraph" w:styleId="BalloonText">
    <w:name w:val="Balloon Text"/>
    <w:basedOn w:val="Normal"/>
    <w:link w:val="BalloonTextChar"/>
    <w:uiPriority w:val="99"/>
    <w:semiHidden/>
    <w:unhideWhenUsed/>
    <w:rsid w:val="0085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57"/>
    <w:rPr>
      <w:rFonts w:ascii="Tahoma" w:hAnsi="Tahoma" w:cs="Tahoma"/>
      <w:sz w:val="16"/>
      <w:szCs w:val="16"/>
    </w:rPr>
  </w:style>
  <w:style w:type="character" w:styleId="Hyperlink">
    <w:name w:val="Hyperlink"/>
    <w:basedOn w:val="DefaultParagraphFont"/>
    <w:uiPriority w:val="99"/>
    <w:unhideWhenUsed/>
    <w:rsid w:val="00DA407F"/>
    <w:rPr>
      <w:color w:val="0000FF" w:themeColor="hyperlink"/>
      <w:u w:val="single"/>
    </w:rPr>
  </w:style>
  <w:style w:type="character" w:styleId="CommentReference">
    <w:name w:val="annotation reference"/>
    <w:basedOn w:val="DefaultParagraphFont"/>
    <w:uiPriority w:val="99"/>
    <w:semiHidden/>
    <w:unhideWhenUsed/>
    <w:rsid w:val="009B571F"/>
    <w:rPr>
      <w:sz w:val="16"/>
      <w:szCs w:val="16"/>
    </w:rPr>
  </w:style>
  <w:style w:type="paragraph" w:styleId="CommentText">
    <w:name w:val="annotation text"/>
    <w:basedOn w:val="Normal"/>
    <w:link w:val="CommentTextChar"/>
    <w:uiPriority w:val="99"/>
    <w:unhideWhenUsed/>
    <w:rsid w:val="009B571F"/>
    <w:pPr>
      <w:spacing w:line="240" w:lineRule="auto"/>
    </w:pPr>
    <w:rPr>
      <w:sz w:val="20"/>
      <w:szCs w:val="20"/>
    </w:rPr>
  </w:style>
  <w:style w:type="character" w:customStyle="1" w:styleId="CommentTextChar">
    <w:name w:val="Comment Text Char"/>
    <w:basedOn w:val="DefaultParagraphFont"/>
    <w:link w:val="CommentText"/>
    <w:uiPriority w:val="99"/>
    <w:rsid w:val="009B571F"/>
    <w:rPr>
      <w:sz w:val="20"/>
      <w:szCs w:val="20"/>
    </w:rPr>
  </w:style>
  <w:style w:type="paragraph" w:styleId="CommentSubject">
    <w:name w:val="annotation subject"/>
    <w:basedOn w:val="CommentText"/>
    <w:next w:val="CommentText"/>
    <w:link w:val="CommentSubjectChar"/>
    <w:uiPriority w:val="99"/>
    <w:semiHidden/>
    <w:unhideWhenUsed/>
    <w:rsid w:val="009B571F"/>
    <w:rPr>
      <w:b/>
      <w:bCs/>
    </w:rPr>
  </w:style>
  <w:style w:type="character" w:customStyle="1" w:styleId="CommentSubjectChar">
    <w:name w:val="Comment Subject Char"/>
    <w:basedOn w:val="CommentTextChar"/>
    <w:link w:val="CommentSubject"/>
    <w:uiPriority w:val="99"/>
    <w:semiHidden/>
    <w:rsid w:val="009B571F"/>
    <w:rPr>
      <w:b/>
      <w:bCs/>
      <w:sz w:val="20"/>
      <w:szCs w:val="20"/>
    </w:rPr>
  </w:style>
  <w:style w:type="paragraph" w:styleId="EndnoteText">
    <w:name w:val="endnote text"/>
    <w:basedOn w:val="Normal"/>
    <w:link w:val="EndnoteTextChar"/>
    <w:uiPriority w:val="99"/>
    <w:semiHidden/>
    <w:unhideWhenUsed/>
    <w:rsid w:val="00906C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6CBB"/>
    <w:rPr>
      <w:sz w:val="20"/>
      <w:szCs w:val="20"/>
    </w:rPr>
  </w:style>
  <w:style w:type="character" w:styleId="EndnoteReference">
    <w:name w:val="endnote reference"/>
    <w:basedOn w:val="DefaultParagraphFont"/>
    <w:uiPriority w:val="99"/>
    <w:semiHidden/>
    <w:unhideWhenUsed/>
    <w:rsid w:val="00906CBB"/>
    <w:rPr>
      <w:vertAlign w:val="superscript"/>
    </w:rPr>
  </w:style>
  <w:style w:type="character" w:customStyle="1" w:styleId="label1">
    <w:name w:val="label1"/>
    <w:basedOn w:val="DefaultParagraphFont"/>
    <w:rsid w:val="006B4FB1"/>
    <w:rPr>
      <w:sz w:val="20"/>
      <w:szCs w:val="20"/>
    </w:rPr>
  </w:style>
  <w:style w:type="paragraph" w:customStyle="1" w:styleId="bullet4level1">
    <w:name w:val="bullet4 level1"/>
    <w:basedOn w:val="Normal"/>
    <w:rsid w:val="00192C6E"/>
    <w:pPr>
      <w:numPr>
        <w:numId w:val="9"/>
      </w:numPr>
      <w:tabs>
        <w:tab w:val="left" w:pos="3060"/>
      </w:tabs>
      <w:spacing w:after="120" w:line="260" w:lineRule="exact"/>
    </w:pPr>
    <w:rPr>
      <w:rFonts w:ascii="Arial" w:eastAsia="Times New Roman" w:hAnsi="Arial" w:cs="Times New Roman"/>
      <w:color w:val="1F497D" w:themeColor="text2"/>
      <w:sz w:val="21"/>
      <w:szCs w:val="24"/>
    </w:rPr>
  </w:style>
  <w:style w:type="paragraph" w:customStyle="1" w:styleId="m-8885962025766907527msolistparagraph">
    <w:name w:val="m_-8885962025766907527msolistparagraph"/>
    <w:basedOn w:val="Normal"/>
    <w:rsid w:val="00190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190776"/>
  </w:style>
  <w:style w:type="character" w:customStyle="1" w:styleId="UnresolvedMention1">
    <w:name w:val="Unresolved Mention1"/>
    <w:basedOn w:val="DefaultParagraphFont"/>
    <w:uiPriority w:val="99"/>
    <w:semiHidden/>
    <w:unhideWhenUsed/>
    <w:rsid w:val="00476493"/>
    <w:rPr>
      <w:color w:val="605E5C"/>
      <w:shd w:val="clear" w:color="auto" w:fill="E1DFDD"/>
    </w:rPr>
  </w:style>
  <w:style w:type="character" w:styleId="FollowedHyperlink">
    <w:name w:val="FollowedHyperlink"/>
    <w:basedOn w:val="DefaultParagraphFont"/>
    <w:uiPriority w:val="99"/>
    <w:semiHidden/>
    <w:unhideWhenUsed/>
    <w:rsid w:val="00D44601"/>
    <w:rPr>
      <w:color w:val="800080" w:themeColor="followedHyperlink"/>
      <w:u w:val="single"/>
    </w:rPr>
  </w:style>
  <w:style w:type="character" w:customStyle="1" w:styleId="UnresolvedMention2">
    <w:name w:val="Unresolved Mention2"/>
    <w:basedOn w:val="DefaultParagraphFont"/>
    <w:uiPriority w:val="99"/>
    <w:semiHidden/>
    <w:unhideWhenUsed/>
    <w:rsid w:val="00FE2DFF"/>
    <w:rPr>
      <w:color w:val="808080"/>
      <w:shd w:val="clear" w:color="auto" w:fill="E6E6E6"/>
    </w:rPr>
  </w:style>
  <w:style w:type="paragraph" w:styleId="Revision">
    <w:name w:val="Revision"/>
    <w:hidden/>
    <w:uiPriority w:val="99"/>
    <w:semiHidden/>
    <w:rsid w:val="00FE2D29"/>
    <w:pPr>
      <w:spacing w:after="0" w:line="240" w:lineRule="auto"/>
    </w:pPr>
  </w:style>
  <w:style w:type="paragraph" w:customStyle="1" w:styleId="Default">
    <w:name w:val="Default"/>
    <w:rsid w:val="00337FAE"/>
    <w:pPr>
      <w:autoSpaceDE w:val="0"/>
      <w:autoSpaceDN w:val="0"/>
      <w:adjustRightInd w:val="0"/>
      <w:spacing w:after="0" w:line="240" w:lineRule="auto"/>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C32FD5"/>
    <w:rPr>
      <w:color w:val="605E5C"/>
      <w:shd w:val="clear" w:color="auto" w:fill="E1DFDD"/>
    </w:rPr>
  </w:style>
  <w:style w:type="paragraph" w:customStyle="1" w:styleId="m-5891451319331576464msocommenttext">
    <w:name w:val="m_-5891451319331576464msocommenttext"/>
    <w:basedOn w:val="Normal"/>
    <w:rsid w:val="00652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580D73"/>
    <w:rPr>
      <w:color w:val="808080"/>
      <w:shd w:val="clear" w:color="auto" w:fill="E6E6E6"/>
    </w:rPr>
  </w:style>
  <w:style w:type="paragraph" w:styleId="NormalWeb">
    <w:name w:val="Normal (Web)"/>
    <w:basedOn w:val="Normal"/>
    <w:uiPriority w:val="99"/>
    <w:semiHidden/>
    <w:unhideWhenUsed/>
    <w:rsid w:val="00DD7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5">
    <w:name w:val="Unresolved Mention5"/>
    <w:basedOn w:val="DefaultParagraphFont"/>
    <w:uiPriority w:val="99"/>
    <w:semiHidden/>
    <w:unhideWhenUsed/>
    <w:rsid w:val="00A54566"/>
    <w:rPr>
      <w:color w:val="808080"/>
      <w:shd w:val="clear" w:color="auto" w:fill="E6E6E6"/>
    </w:rPr>
  </w:style>
  <w:style w:type="character" w:customStyle="1" w:styleId="UnresolvedMention6">
    <w:name w:val="Unresolved Mention6"/>
    <w:basedOn w:val="DefaultParagraphFont"/>
    <w:uiPriority w:val="99"/>
    <w:semiHidden/>
    <w:unhideWhenUsed/>
    <w:rsid w:val="0078095B"/>
    <w:rPr>
      <w:color w:val="808080"/>
      <w:shd w:val="clear" w:color="auto" w:fill="E6E6E6"/>
    </w:rPr>
  </w:style>
  <w:style w:type="character" w:customStyle="1" w:styleId="UnresolvedMention7">
    <w:name w:val="Unresolved Mention7"/>
    <w:basedOn w:val="DefaultParagraphFont"/>
    <w:uiPriority w:val="99"/>
    <w:semiHidden/>
    <w:unhideWhenUsed/>
    <w:rsid w:val="002A61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301">
      <w:bodyDiv w:val="1"/>
      <w:marLeft w:val="75"/>
      <w:marRight w:val="75"/>
      <w:marTop w:val="0"/>
      <w:marBottom w:val="0"/>
      <w:divBdr>
        <w:top w:val="none" w:sz="0" w:space="0" w:color="auto"/>
        <w:left w:val="none" w:sz="0" w:space="0" w:color="auto"/>
        <w:bottom w:val="none" w:sz="0" w:space="0" w:color="auto"/>
        <w:right w:val="none" w:sz="0" w:space="0" w:color="auto"/>
      </w:divBdr>
    </w:div>
    <w:div w:id="105973432">
      <w:bodyDiv w:val="1"/>
      <w:marLeft w:val="0"/>
      <w:marRight w:val="0"/>
      <w:marTop w:val="0"/>
      <w:marBottom w:val="0"/>
      <w:divBdr>
        <w:top w:val="none" w:sz="0" w:space="0" w:color="auto"/>
        <w:left w:val="none" w:sz="0" w:space="0" w:color="auto"/>
        <w:bottom w:val="none" w:sz="0" w:space="0" w:color="auto"/>
        <w:right w:val="none" w:sz="0" w:space="0" w:color="auto"/>
      </w:divBdr>
    </w:div>
    <w:div w:id="312609157">
      <w:bodyDiv w:val="1"/>
      <w:marLeft w:val="0"/>
      <w:marRight w:val="0"/>
      <w:marTop w:val="0"/>
      <w:marBottom w:val="0"/>
      <w:divBdr>
        <w:top w:val="none" w:sz="0" w:space="0" w:color="auto"/>
        <w:left w:val="none" w:sz="0" w:space="0" w:color="auto"/>
        <w:bottom w:val="none" w:sz="0" w:space="0" w:color="auto"/>
        <w:right w:val="none" w:sz="0" w:space="0" w:color="auto"/>
      </w:divBdr>
    </w:div>
    <w:div w:id="717900606">
      <w:bodyDiv w:val="1"/>
      <w:marLeft w:val="0"/>
      <w:marRight w:val="0"/>
      <w:marTop w:val="0"/>
      <w:marBottom w:val="0"/>
      <w:divBdr>
        <w:top w:val="none" w:sz="0" w:space="0" w:color="auto"/>
        <w:left w:val="none" w:sz="0" w:space="0" w:color="auto"/>
        <w:bottom w:val="none" w:sz="0" w:space="0" w:color="auto"/>
        <w:right w:val="none" w:sz="0" w:space="0" w:color="auto"/>
      </w:divBdr>
    </w:div>
    <w:div w:id="744109102">
      <w:bodyDiv w:val="1"/>
      <w:marLeft w:val="0"/>
      <w:marRight w:val="0"/>
      <w:marTop w:val="0"/>
      <w:marBottom w:val="0"/>
      <w:divBdr>
        <w:top w:val="none" w:sz="0" w:space="0" w:color="auto"/>
        <w:left w:val="none" w:sz="0" w:space="0" w:color="auto"/>
        <w:bottom w:val="none" w:sz="0" w:space="0" w:color="auto"/>
        <w:right w:val="none" w:sz="0" w:space="0" w:color="auto"/>
      </w:divBdr>
    </w:div>
    <w:div w:id="976453460">
      <w:bodyDiv w:val="1"/>
      <w:marLeft w:val="0"/>
      <w:marRight w:val="0"/>
      <w:marTop w:val="0"/>
      <w:marBottom w:val="0"/>
      <w:divBdr>
        <w:top w:val="none" w:sz="0" w:space="0" w:color="auto"/>
        <w:left w:val="none" w:sz="0" w:space="0" w:color="auto"/>
        <w:bottom w:val="none" w:sz="0" w:space="0" w:color="auto"/>
        <w:right w:val="none" w:sz="0" w:space="0" w:color="auto"/>
      </w:divBdr>
    </w:div>
    <w:div w:id="1166167299">
      <w:bodyDiv w:val="1"/>
      <w:marLeft w:val="0"/>
      <w:marRight w:val="0"/>
      <w:marTop w:val="0"/>
      <w:marBottom w:val="0"/>
      <w:divBdr>
        <w:top w:val="none" w:sz="0" w:space="0" w:color="auto"/>
        <w:left w:val="none" w:sz="0" w:space="0" w:color="auto"/>
        <w:bottom w:val="none" w:sz="0" w:space="0" w:color="auto"/>
        <w:right w:val="none" w:sz="0" w:space="0" w:color="auto"/>
      </w:divBdr>
    </w:div>
    <w:div w:id="126723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competitivepow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wcm/key_documents_lists/118092/RT_Co-Opt_Coordination_of_VOLL_SWOC_PBPC.pptx" TargetMode="External"/><Relationship Id="rId3" Type="http://schemas.openxmlformats.org/officeDocument/2006/relationships/hyperlink" Target="http://interchange.puc.texas.gov/Search/Documents?controlNumber=48551&amp;itemNumber=54" TargetMode="External"/><Relationship Id="rId7" Type="http://schemas.openxmlformats.org/officeDocument/2006/relationships/hyperlink" Target="http://www.ercot.com/calendar/2019/3/6/175558" TargetMode="External"/><Relationship Id="rId2" Type="http://schemas.openxmlformats.org/officeDocument/2006/relationships/hyperlink" Target="http://www.ercot.com/content/wcm/key_documents_lists/131797/RT_Co-optimization_Scope_UPDATED_09292017.docx" TargetMode="External"/><Relationship Id="rId1" Type="http://schemas.openxmlformats.org/officeDocument/2006/relationships/hyperlink" Target="http://www.ercot.com/content/wcm/lists/167023/CapacityDemandandReservesReport-Dec2018.pdf" TargetMode="External"/><Relationship Id="rId6" Type="http://schemas.openxmlformats.org/officeDocument/2006/relationships/hyperlink" Target="http://www.ercot.com/content/wcm/lists/167023/CapacityDemandandReservesReport-Dec2018.pdf" TargetMode="External"/><Relationship Id="rId5" Type="http://schemas.openxmlformats.org/officeDocument/2006/relationships/hyperlink" Target="http://www.ercot.com/content/wcm/lists/167022/SARA-PreliminarySummer2019.pdf" TargetMode="External"/><Relationship Id="rId10" Type="http://schemas.openxmlformats.org/officeDocument/2006/relationships/hyperlink" Target="http://www.ercot.com/content/wcm/key_documents_lists/178832/4._Approaching_the_RTC_Elements.pptx" TargetMode="External"/><Relationship Id="rId4" Type="http://schemas.openxmlformats.org/officeDocument/2006/relationships/hyperlink" Target="http://www.ercot.com/content/wcm/lists/167026/2018_12_20_ERCOT_MERM_Report_Final.pdf" TargetMode="External"/><Relationship Id="rId9" Type="http://schemas.openxmlformats.org/officeDocument/2006/relationships/hyperlink" Target="http://www.ercot.com/mktrules/obd/obd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4617A-F9FB-4231-9E6D-7E3482F8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5214</Words>
  <Characters>29724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Whittle</dc:creator>
  <cp:lastModifiedBy>Michele Gregg</cp:lastModifiedBy>
  <cp:revision>2</cp:revision>
  <cp:lastPrinted>2019-04-11T20:39:00Z</cp:lastPrinted>
  <dcterms:created xsi:type="dcterms:W3CDTF">2019-04-12T21:25:00Z</dcterms:created>
  <dcterms:modified xsi:type="dcterms:W3CDTF">2019-04-12T21:25:00Z</dcterms:modified>
</cp:coreProperties>
</file>