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0C2F" w14:textId="50C2A032" w:rsidR="009A62BF" w:rsidRPr="00C36738" w:rsidRDefault="000A46BE" w:rsidP="00E47D33">
      <w:pPr>
        <w:jc w:val="center"/>
        <w:rPr>
          <w:rFonts w:ascii="Times New Roman" w:hAnsi="Times New Roman" w:cs="Times New Roman"/>
        </w:rPr>
      </w:pPr>
      <w:r w:rsidRPr="00C36738">
        <w:rPr>
          <w:rFonts w:ascii="Times New Roman" w:hAnsi="Times New Roman" w:cs="Times New Roman"/>
          <w:b/>
          <w:bCs/>
        </w:rPr>
        <w:t>PROJECT NO. 5184</w:t>
      </w:r>
      <w:r w:rsidR="00D30ED9">
        <w:rPr>
          <w:rFonts w:ascii="Times New Roman" w:hAnsi="Times New Roman" w:cs="Times New Roman"/>
          <w:b/>
          <w:bCs/>
        </w:rPr>
        <w:t>1</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720"/>
        <w:gridCol w:w="4950"/>
      </w:tblGrid>
      <w:tr w:rsidR="000A46BE" w:rsidRPr="00C36738" w14:paraId="2DA35ED6" w14:textId="77777777" w:rsidTr="001C5A5D">
        <w:trPr>
          <w:trHeight w:val="1341"/>
        </w:trPr>
        <w:tc>
          <w:tcPr>
            <w:tcW w:w="4230" w:type="dxa"/>
            <w:vAlign w:val="center"/>
          </w:tcPr>
          <w:p w14:paraId="65985F7B" w14:textId="19DA549B" w:rsidR="000A46BE" w:rsidRPr="00C36738" w:rsidRDefault="00D30ED9" w:rsidP="001C5A5D">
            <w:pPr>
              <w:rPr>
                <w:rFonts w:ascii="Times New Roman" w:hAnsi="Times New Roman" w:cs="Times New Roman"/>
                <w:b/>
                <w:bCs/>
              </w:rPr>
            </w:pPr>
            <w:r w:rsidRPr="00D30ED9">
              <w:rPr>
                <w:rFonts w:ascii="Times New Roman" w:hAnsi="Times New Roman" w:cs="Times New Roman"/>
                <w:b/>
                <w:bCs/>
              </w:rPr>
              <w:t>REVIEW OF 16 TAC § 25.53 RELATING TO ELECTRIC SERVICE EMERGENCY OPERATIONS PLANS</w:t>
            </w:r>
          </w:p>
        </w:tc>
        <w:tc>
          <w:tcPr>
            <w:tcW w:w="720" w:type="dxa"/>
            <w:vAlign w:val="center"/>
          </w:tcPr>
          <w:p w14:paraId="6C106138" w14:textId="77777777" w:rsidR="000A46BE"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p w14:paraId="5F1E91B9" w14:textId="77777777" w:rsidR="001C5A5D"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p w14:paraId="0D33AC7C" w14:textId="32C95AB9" w:rsidR="001C5A5D"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tc>
        <w:tc>
          <w:tcPr>
            <w:tcW w:w="4950" w:type="dxa"/>
            <w:vAlign w:val="center"/>
          </w:tcPr>
          <w:p w14:paraId="431DE9DD" w14:textId="1D45B606"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BEFORE THE</w:t>
            </w:r>
          </w:p>
          <w:p w14:paraId="6DA18CCA" w14:textId="77777777"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PUBLIC UTILITY COMMISSION</w:t>
            </w:r>
          </w:p>
          <w:p w14:paraId="69A3027D" w14:textId="77777777"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OF TEXAS</w:t>
            </w:r>
          </w:p>
        </w:tc>
      </w:tr>
    </w:tbl>
    <w:p w14:paraId="6F7A0105" w14:textId="77777777" w:rsidR="00AF1446" w:rsidRPr="00C36738" w:rsidRDefault="009A62BF" w:rsidP="009A62BF">
      <w:pPr>
        <w:ind w:hanging="450"/>
        <w:rPr>
          <w:rFonts w:ascii="Times New Roman" w:hAnsi="Times New Roman" w:cs="Times New Roman"/>
        </w:rPr>
      </w:pPr>
      <w:r w:rsidRPr="00C36738">
        <w:rPr>
          <w:rFonts w:ascii="Times New Roman" w:hAnsi="Times New Roman" w:cs="Times New Roman"/>
          <w:b/>
          <w:bCs/>
        </w:rPr>
        <w:tab/>
      </w:r>
    </w:p>
    <w:p w14:paraId="12A61059" w14:textId="048509F5" w:rsidR="003D4730" w:rsidRPr="00C36738" w:rsidRDefault="003D4730" w:rsidP="002C7B5A">
      <w:pPr>
        <w:rPr>
          <w:rFonts w:ascii="Times New Roman" w:hAnsi="Times New Roman" w:cs="Times New Roman"/>
          <w:u w:val="single"/>
        </w:rPr>
      </w:pPr>
    </w:p>
    <w:p w14:paraId="36860F62" w14:textId="478C4922" w:rsidR="00AF1446" w:rsidRPr="00C36738" w:rsidRDefault="00DF5762" w:rsidP="00AF1446">
      <w:pPr>
        <w:jc w:val="center"/>
        <w:rPr>
          <w:rFonts w:ascii="Times New Roman" w:hAnsi="Times New Roman" w:cs="Times New Roman"/>
          <w:b/>
          <w:bCs/>
          <w:u w:val="single"/>
        </w:rPr>
      </w:pPr>
      <w:r w:rsidRPr="00C36738">
        <w:rPr>
          <w:rFonts w:ascii="Times New Roman" w:hAnsi="Times New Roman" w:cs="Times New Roman"/>
          <w:b/>
          <w:bCs/>
          <w:u w:val="single"/>
        </w:rPr>
        <w:t xml:space="preserve">COMMENTS OF </w:t>
      </w:r>
      <w:r w:rsidR="006141FF">
        <w:rPr>
          <w:rFonts w:ascii="Times New Roman" w:hAnsi="Times New Roman" w:cs="Times New Roman"/>
          <w:b/>
          <w:bCs/>
          <w:u w:val="single"/>
        </w:rPr>
        <w:t>T</w:t>
      </w:r>
      <w:r w:rsidR="00792B92">
        <w:rPr>
          <w:rFonts w:ascii="Times New Roman" w:hAnsi="Times New Roman" w:cs="Times New Roman"/>
          <w:b/>
          <w:bCs/>
          <w:u w:val="single"/>
        </w:rPr>
        <w:t>EXAS</w:t>
      </w:r>
      <w:r w:rsidR="00EB3AC7">
        <w:rPr>
          <w:rFonts w:ascii="Times New Roman" w:hAnsi="Times New Roman" w:cs="Times New Roman"/>
          <w:b/>
          <w:bCs/>
          <w:u w:val="single"/>
        </w:rPr>
        <w:t xml:space="preserve"> </w:t>
      </w:r>
      <w:r w:rsidR="006141FF">
        <w:rPr>
          <w:rFonts w:ascii="Times New Roman" w:hAnsi="Times New Roman" w:cs="Times New Roman"/>
          <w:b/>
          <w:bCs/>
          <w:u w:val="single"/>
        </w:rPr>
        <w:t>C</w:t>
      </w:r>
      <w:r w:rsidR="00792B92">
        <w:rPr>
          <w:rFonts w:ascii="Times New Roman" w:hAnsi="Times New Roman" w:cs="Times New Roman"/>
          <w:b/>
          <w:bCs/>
          <w:u w:val="single"/>
        </w:rPr>
        <w:t>OMPETITIVE</w:t>
      </w:r>
      <w:r w:rsidR="00EB3AC7">
        <w:rPr>
          <w:rFonts w:ascii="Times New Roman" w:hAnsi="Times New Roman" w:cs="Times New Roman"/>
          <w:b/>
          <w:bCs/>
          <w:u w:val="single"/>
        </w:rPr>
        <w:t xml:space="preserve"> </w:t>
      </w:r>
      <w:r w:rsidR="006141FF">
        <w:rPr>
          <w:rFonts w:ascii="Times New Roman" w:hAnsi="Times New Roman" w:cs="Times New Roman"/>
          <w:b/>
          <w:bCs/>
          <w:u w:val="single"/>
        </w:rPr>
        <w:t>P</w:t>
      </w:r>
      <w:r w:rsidR="00792B92">
        <w:rPr>
          <w:rFonts w:ascii="Times New Roman" w:hAnsi="Times New Roman" w:cs="Times New Roman"/>
          <w:b/>
          <w:bCs/>
          <w:u w:val="single"/>
        </w:rPr>
        <w:t>OWER</w:t>
      </w:r>
      <w:r w:rsidR="00EB3AC7">
        <w:rPr>
          <w:rFonts w:ascii="Times New Roman" w:hAnsi="Times New Roman" w:cs="Times New Roman"/>
          <w:b/>
          <w:bCs/>
          <w:u w:val="single"/>
        </w:rPr>
        <w:t xml:space="preserve"> </w:t>
      </w:r>
      <w:r w:rsidR="006141FF">
        <w:rPr>
          <w:rFonts w:ascii="Times New Roman" w:hAnsi="Times New Roman" w:cs="Times New Roman"/>
          <w:b/>
          <w:bCs/>
          <w:u w:val="single"/>
        </w:rPr>
        <w:t>A</w:t>
      </w:r>
      <w:r w:rsidR="00792B92">
        <w:rPr>
          <w:rFonts w:ascii="Times New Roman" w:hAnsi="Times New Roman" w:cs="Times New Roman"/>
          <w:b/>
          <w:bCs/>
          <w:u w:val="single"/>
        </w:rPr>
        <w:t>DVOCATES</w:t>
      </w:r>
    </w:p>
    <w:p w14:paraId="6F8CE8E1" w14:textId="77777777" w:rsidR="00460079" w:rsidRPr="00C36738" w:rsidRDefault="00460079" w:rsidP="00AF1446">
      <w:pPr>
        <w:jc w:val="center"/>
        <w:rPr>
          <w:rFonts w:ascii="Times New Roman" w:hAnsi="Times New Roman" w:cs="Times New Roman"/>
          <w:u w:val="single"/>
        </w:rPr>
      </w:pPr>
    </w:p>
    <w:p w14:paraId="5008F21A" w14:textId="0BCEF754" w:rsidR="00AF1446" w:rsidRPr="00C36738" w:rsidRDefault="00AF1446" w:rsidP="00AF1446">
      <w:pPr>
        <w:jc w:val="both"/>
        <w:rPr>
          <w:rFonts w:ascii="Times New Roman" w:hAnsi="Times New Roman" w:cs="Times New Roman"/>
        </w:rPr>
      </w:pPr>
      <w:r w:rsidRPr="00C36738">
        <w:rPr>
          <w:rFonts w:ascii="Times New Roman" w:hAnsi="Times New Roman" w:cs="Times New Roman"/>
        </w:rPr>
        <w:t>TO THE PUBLIC UTILITY COMMISSION OF TEXAS:</w:t>
      </w:r>
    </w:p>
    <w:p w14:paraId="1DF30119" w14:textId="77777777" w:rsidR="00460079" w:rsidRPr="00C36738" w:rsidRDefault="00460079" w:rsidP="00AF1446">
      <w:pPr>
        <w:jc w:val="both"/>
        <w:rPr>
          <w:rFonts w:ascii="Times New Roman" w:hAnsi="Times New Roman" w:cs="Times New Roman"/>
        </w:rPr>
      </w:pPr>
    </w:p>
    <w:p w14:paraId="023C9E93" w14:textId="626F7DE6" w:rsidR="00AF1446" w:rsidRDefault="00AF1446" w:rsidP="00E51397">
      <w:pPr>
        <w:spacing w:line="480" w:lineRule="auto"/>
        <w:jc w:val="both"/>
        <w:rPr>
          <w:rFonts w:ascii="Times New Roman" w:hAnsi="Times New Roman" w:cs="Times New Roman"/>
        </w:rPr>
      </w:pPr>
      <w:r w:rsidRPr="00C36738">
        <w:rPr>
          <w:rFonts w:ascii="Times New Roman" w:hAnsi="Times New Roman" w:cs="Times New Roman"/>
        </w:rPr>
        <w:tab/>
      </w:r>
      <w:r w:rsidR="006141FF">
        <w:rPr>
          <w:rFonts w:ascii="Times New Roman" w:hAnsi="Times New Roman" w:cs="Times New Roman"/>
        </w:rPr>
        <w:t>Texas Competitive Power Advocates</w:t>
      </w:r>
      <w:r w:rsidR="00D30ED9">
        <w:rPr>
          <w:rFonts w:ascii="Times New Roman" w:hAnsi="Times New Roman" w:cs="Times New Roman"/>
        </w:rPr>
        <w:t xml:space="preserve"> (</w:t>
      </w:r>
      <w:r w:rsidR="006141FF">
        <w:rPr>
          <w:rFonts w:ascii="Times New Roman" w:hAnsi="Times New Roman" w:cs="Times New Roman"/>
        </w:rPr>
        <w:t>TCPA</w:t>
      </w:r>
      <w:r w:rsidR="00D30ED9">
        <w:rPr>
          <w:rFonts w:ascii="Times New Roman" w:hAnsi="Times New Roman" w:cs="Times New Roman"/>
        </w:rPr>
        <w:t>)</w:t>
      </w:r>
      <w:r w:rsidRPr="00C36738">
        <w:rPr>
          <w:rFonts w:ascii="Times New Roman" w:hAnsi="Times New Roman" w:cs="Times New Roman"/>
        </w:rPr>
        <w:t xml:space="preserve"> </w:t>
      </w:r>
      <w:r w:rsidR="00F30BE0" w:rsidRPr="00C36738">
        <w:rPr>
          <w:rFonts w:ascii="Times New Roman" w:hAnsi="Times New Roman" w:cs="Times New Roman"/>
        </w:rPr>
        <w:t xml:space="preserve">submits </w:t>
      </w:r>
      <w:r w:rsidRPr="00C36738">
        <w:rPr>
          <w:rFonts w:ascii="Times New Roman" w:hAnsi="Times New Roman" w:cs="Times New Roman"/>
        </w:rPr>
        <w:t xml:space="preserve">the following comments concerning </w:t>
      </w:r>
      <w:r w:rsidR="006B6B0B" w:rsidRPr="00C36738">
        <w:rPr>
          <w:rFonts w:ascii="Times New Roman" w:hAnsi="Times New Roman" w:cs="Times New Roman"/>
        </w:rPr>
        <w:t xml:space="preserve">proposed </w:t>
      </w:r>
      <w:r w:rsidRPr="00C36738">
        <w:rPr>
          <w:rFonts w:ascii="Times New Roman" w:hAnsi="Times New Roman" w:cs="Times New Roman"/>
        </w:rPr>
        <w:t xml:space="preserve">new 16 </w:t>
      </w:r>
      <w:r w:rsidR="00DF5762" w:rsidRPr="00C36738">
        <w:rPr>
          <w:rFonts w:ascii="Times New Roman" w:hAnsi="Times New Roman" w:cs="Times New Roman"/>
        </w:rPr>
        <w:t>Tex</w:t>
      </w:r>
      <w:r w:rsidR="00923F22" w:rsidRPr="00C36738">
        <w:rPr>
          <w:rFonts w:ascii="Times New Roman" w:hAnsi="Times New Roman" w:cs="Times New Roman"/>
        </w:rPr>
        <w:t>.</w:t>
      </w:r>
      <w:r w:rsidR="00DF5762" w:rsidRPr="00C36738">
        <w:rPr>
          <w:rFonts w:ascii="Times New Roman" w:hAnsi="Times New Roman" w:cs="Times New Roman"/>
        </w:rPr>
        <w:t xml:space="preserve"> Admin</w:t>
      </w:r>
      <w:r w:rsidR="00923F22" w:rsidRPr="00C36738">
        <w:rPr>
          <w:rFonts w:ascii="Times New Roman" w:hAnsi="Times New Roman" w:cs="Times New Roman"/>
        </w:rPr>
        <w:t>.</w:t>
      </w:r>
      <w:r w:rsidR="00DF5762" w:rsidRPr="00C36738">
        <w:rPr>
          <w:rFonts w:ascii="Times New Roman" w:hAnsi="Times New Roman" w:cs="Times New Roman"/>
        </w:rPr>
        <w:t xml:space="preserve"> Code (</w:t>
      </w:r>
      <w:r w:rsidRPr="00C36738">
        <w:rPr>
          <w:rFonts w:ascii="Times New Roman" w:hAnsi="Times New Roman" w:cs="Times New Roman"/>
        </w:rPr>
        <w:t>TAC</w:t>
      </w:r>
      <w:r w:rsidR="00DF5762" w:rsidRPr="00C36738">
        <w:rPr>
          <w:rFonts w:ascii="Times New Roman" w:hAnsi="Times New Roman" w:cs="Times New Roman"/>
        </w:rPr>
        <w:t>)</w:t>
      </w:r>
      <w:r w:rsidRPr="00C36738">
        <w:rPr>
          <w:rFonts w:ascii="Times New Roman" w:hAnsi="Times New Roman" w:cs="Times New Roman"/>
        </w:rPr>
        <w:t xml:space="preserve"> § 25</w:t>
      </w:r>
      <w:r w:rsidR="00DF5762" w:rsidRPr="00C36738">
        <w:rPr>
          <w:rFonts w:ascii="Times New Roman" w:hAnsi="Times New Roman" w:cs="Times New Roman"/>
        </w:rPr>
        <w:t>.5</w:t>
      </w:r>
      <w:r w:rsidR="00D30ED9">
        <w:rPr>
          <w:rFonts w:ascii="Times New Roman" w:hAnsi="Times New Roman" w:cs="Times New Roman"/>
        </w:rPr>
        <w:t>3</w:t>
      </w:r>
      <w:r w:rsidR="00DF5762" w:rsidRPr="00C36738">
        <w:rPr>
          <w:rFonts w:ascii="Times New Roman" w:hAnsi="Times New Roman" w:cs="Times New Roman"/>
        </w:rPr>
        <w:t xml:space="preserve"> relating to </w:t>
      </w:r>
      <w:r w:rsidR="00D30ED9">
        <w:rPr>
          <w:rFonts w:ascii="Times New Roman" w:hAnsi="Times New Roman" w:cs="Times New Roman"/>
        </w:rPr>
        <w:t xml:space="preserve">electric service </w:t>
      </w:r>
      <w:r w:rsidR="00DF5762" w:rsidRPr="00C36738">
        <w:rPr>
          <w:rFonts w:ascii="Times New Roman" w:hAnsi="Times New Roman" w:cs="Times New Roman"/>
        </w:rPr>
        <w:t>emergen</w:t>
      </w:r>
      <w:r w:rsidRPr="00C36738">
        <w:rPr>
          <w:rFonts w:ascii="Times New Roman" w:hAnsi="Times New Roman" w:cs="Times New Roman"/>
        </w:rPr>
        <w:t xml:space="preserve">cy </w:t>
      </w:r>
      <w:r w:rsidR="00D30ED9">
        <w:rPr>
          <w:rFonts w:ascii="Times New Roman" w:hAnsi="Times New Roman" w:cs="Times New Roman"/>
        </w:rPr>
        <w:t>operations plans</w:t>
      </w:r>
      <w:r w:rsidR="002D756B">
        <w:rPr>
          <w:rFonts w:ascii="Times New Roman" w:hAnsi="Times New Roman" w:cs="Times New Roman"/>
        </w:rPr>
        <w:t xml:space="preserve"> (EOPs)</w:t>
      </w:r>
      <w:r w:rsidR="00DF5762" w:rsidRPr="00C36738">
        <w:rPr>
          <w:rFonts w:ascii="Times New Roman" w:hAnsi="Times New Roman" w:cs="Times New Roman"/>
        </w:rPr>
        <w:t xml:space="preserve">, </w:t>
      </w:r>
      <w:r w:rsidRPr="00C36738">
        <w:rPr>
          <w:rFonts w:ascii="Times New Roman" w:hAnsi="Times New Roman" w:cs="Times New Roman"/>
        </w:rPr>
        <w:t xml:space="preserve">as approved </w:t>
      </w:r>
      <w:r w:rsidR="006B6B0B" w:rsidRPr="00C36738">
        <w:rPr>
          <w:rFonts w:ascii="Times New Roman" w:hAnsi="Times New Roman" w:cs="Times New Roman"/>
        </w:rPr>
        <w:t xml:space="preserve">for publication </w:t>
      </w:r>
      <w:r w:rsidRPr="00C36738">
        <w:rPr>
          <w:rFonts w:ascii="Times New Roman" w:hAnsi="Times New Roman" w:cs="Times New Roman"/>
        </w:rPr>
        <w:t xml:space="preserve">by the </w:t>
      </w:r>
      <w:r w:rsidR="0048030D">
        <w:rPr>
          <w:rFonts w:ascii="Times New Roman" w:hAnsi="Times New Roman" w:cs="Times New Roman"/>
        </w:rPr>
        <w:t>Public Utility Commission of Texas (</w:t>
      </w:r>
      <w:r w:rsidR="00923F22" w:rsidRPr="00C36738">
        <w:rPr>
          <w:rFonts w:ascii="Times New Roman" w:hAnsi="Times New Roman" w:cs="Times New Roman"/>
        </w:rPr>
        <w:t>Commission</w:t>
      </w:r>
      <w:r w:rsidR="0048030D">
        <w:rPr>
          <w:rFonts w:ascii="Times New Roman" w:hAnsi="Times New Roman" w:cs="Times New Roman"/>
        </w:rPr>
        <w:t>)</w:t>
      </w:r>
      <w:r w:rsidR="00923F22" w:rsidRPr="00C36738">
        <w:rPr>
          <w:rFonts w:ascii="Times New Roman" w:hAnsi="Times New Roman" w:cs="Times New Roman"/>
        </w:rPr>
        <w:t xml:space="preserve"> at its</w:t>
      </w:r>
      <w:r w:rsidRPr="00C36738">
        <w:rPr>
          <w:rFonts w:ascii="Times New Roman" w:hAnsi="Times New Roman" w:cs="Times New Roman"/>
        </w:rPr>
        <w:t xml:space="preserve"> </w:t>
      </w:r>
      <w:r w:rsidR="00D30ED9">
        <w:rPr>
          <w:rFonts w:ascii="Times New Roman" w:hAnsi="Times New Roman" w:cs="Times New Roman"/>
        </w:rPr>
        <w:t>November 30</w:t>
      </w:r>
      <w:r w:rsidR="00DF5762" w:rsidRPr="00C36738">
        <w:rPr>
          <w:rFonts w:ascii="Times New Roman" w:hAnsi="Times New Roman" w:cs="Times New Roman"/>
        </w:rPr>
        <w:t xml:space="preserve">, 2021 </w:t>
      </w:r>
      <w:r w:rsidR="00D30ED9">
        <w:rPr>
          <w:rFonts w:ascii="Times New Roman" w:hAnsi="Times New Roman" w:cs="Times New Roman"/>
        </w:rPr>
        <w:t>open meeting</w:t>
      </w:r>
      <w:r w:rsidR="00DF5762" w:rsidRPr="00C36738">
        <w:rPr>
          <w:rFonts w:ascii="Times New Roman" w:hAnsi="Times New Roman" w:cs="Times New Roman"/>
        </w:rPr>
        <w:t xml:space="preserve"> and as published in the </w:t>
      </w:r>
      <w:r w:rsidR="00DF5762" w:rsidRPr="00C36738">
        <w:rPr>
          <w:rFonts w:ascii="Times New Roman" w:hAnsi="Times New Roman" w:cs="Times New Roman"/>
          <w:i/>
        </w:rPr>
        <w:t>Texas Register</w:t>
      </w:r>
      <w:r w:rsidR="00DF5762" w:rsidRPr="00C36738">
        <w:rPr>
          <w:rFonts w:ascii="Times New Roman" w:hAnsi="Times New Roman" w:cs="Times New Roman"/>
        </w:rPr>
        <w:t xml:space="preserve"> on </w:t>
      </w:r>
      <w:r w:rsidR="00D30ED9">
        <w:rPr>
          <w:rFonts w:ascii="Times New Roman" w:hAnsi="Times New Roman" w:cs="Times New Roman"/>
        </w:rPr>
        <w:t>December 17</w:t>
      </w:r>
      <w:r w:rsidR="00DF5762" w:rsidRPr="00C36738">
        <w:rPr>
          <w:rFonts w:ascii="Times New Roman" w:hAnsi="Times New Roman" w:cs="Times New Roman"/>
        </w:rPr>
        <w:t>, 2021.</w:t>
      </w:r>
      <w:r w:rsidR="00D712D7">
        <w:rPr>
          <w:rStyle w:val="FootnoteReference"/>
          <w:rFonts w:ascii="Times New Roman" w:hAnsi="Times New Roman" w:cs="Times New Roman"/>
        </w:rPr>
        <w:footnoteReference w:id="2"/>
      </w:r>
    </w:p>
    <w:p w14:paraId="372F4996" w14:textId="4637DB09" w:rsidR="000C0B1A" w:rsidRDefault="000C0B1A" w:rsidP="000C0B1A">
      <w:pPr>
        <w:spacing w:line="480" w:lineRule="auto"/>
        <w:ind w:firstLine="720"/>
        <w:jc w:val="both"/>
        <w:rPr>
          <w:rFonts w:ascii="Times New Roman" w:hAnsi="Times New Roman" w:cs="Times New Roman"/>
        </w:rPr>
      </w:pPr>
      <w:r w:rsidRPr="002F0AC0">
        <w:rPr>
          <w:rFonts w:ascii="Times New Roman" w:hAnsi="Times New Roman" w:cs="Times New Roman"/>
        </w:rPr>
        <w:t>Texas Competitive Power Advocates (TCPA) is a trade association representing power generation companies and wholesale power marketers with investments in Texas and the Electric Reliability Council of Texas (ERCOT) wholesale electric market. TCPA members</w:t>
      </w:r>
      <w:r w:rsidRPr="002F0AC0">
        <w:rPr>
          <w:rStyle w:val="FootnoteReference"/>
          <w:rFonts w:ascii="Times New Roman" w:hAnsi="Times New Roman" w:cs="Times New Roman"/>
        </w:rPr>
        <w:footnoteReference w:id="3"/>
      </w:r>
      <w:r w:rsidRPr="002F0AC0">
        <w:rPr>
          <w:rFonts w:ascii="Times New Roman" w:hAnsi="Times New Roman" w:cs="Times New Roman"/>
        </w:rPr>
        <w:t xml:space="preserve"> and </w:t>
      </w:r>
      <w:bookmarkStart w:id="0" w:name="_Hlk83381078"/>
      <w:r w:rsidRPr="002F0AC0">
        <w:rPr>
          <w:rFonts w:ascii="Times New Roman" w:hAnsi="Times New Roman" w:cs="Times New Roman"/>
        </w:rPr>
        <w:t>their affiliates provide a wide range of important market functions and services in ERCOT, including development, operation, and management of power generation assets, power scheduling and marketing, energy management services and sales of competitive electric service to consumers. TCPA members participating in this filing provide nearly ninety percent (90%) of the non-wind electric generating capacity in ERCOT, representing billions of dollars of investment in the state, and employing thousands of Texans.</w:t>
      </w:r>
      <w:bookmarkEnd w:id="0"/>
    </w:p>
    <w:p w14:paraId="67DAD4B0" w14:textId="77777777" w:rsidR="00792B92" w:rsidRPr="00792B92" w:rsidRDefault="00792B92" w:rsidP="000C0B1A">
      <w:pPr>
        <w:spacing w:line="480" w:lineRule="auto"/>
        <w:ind w:firstLine="720"/>
        <w:jc w:val="both"/>
        <w:rPr>
          <w:rFonts w:ascii="Times New Roman" w:hAnsi="Times New Roman" w:cs="Times New Roman"/>
        </w:rPr>
      </w:pPr>
    </w:p>
    <w:p w14:paraId="03DD8EF3" w14:textId="6BC46D9C" w:rsidR="007851D7" w:rsidRPr="00C36738" w:rsidRDefault="007851D7" w:rsidP="00E51397">
      <w:pPr>
        <w:spacing w:line="480" w:lineRule="auto"/>
        <w:jc w:val="center"/>
        <w:rPr>
          <w:rFonts w:ascii="Times New Roman" w:hAnsi="Times New Roman" w:cs="Times New Roman"/>
          <w:b/>
        </w:rPr>
      </w:pPr>
      <w:r w:rsidRPr="00C36738">
        <w:rPr>
          <w:rFonts w:ascii="Times New Roman" w:hAnsi="Times New Roman" w:cs="Times New Roman"/>
          <w:b/>
        </w:rPr>
        <w:lastRenderedPageBreak/>
        <w:t>I.</w:t>
      </w:r>
      <w:r w:rsidR="00B0163A" w:rsidRPr="00C36738">
        <w:rPr>
          <w:rFonts w:ascii="Times New Roman" w:hAnsi="Times New Roman" w:cs="Times New Roman"/>
          <w:b/>
        </w:rPr>
        <w:t xml:space="preserve"> </w:t>
      </w:r>
      <w:r w:rsidR="0048030D">
        <w:rPr>
          <w:rFonts w:ascii="Times New Roman" w:hAnsi="Times New Roman" w:cs="Times New Roman"/>
          <w:b/>
        </w:rPr>
        <w:t xml:space="preserve">General </w:t>
      </w:r>
      <w:r w:rsidR="00E14B1C" w:rsidRPr="00C36738">
        <w:rPr>
          <w:rFonts w:ascii="Times New Roman" w:hAnsi="Times New Roman" w:cs="Times New Roman"/>
          <w:b/>
        </w:rPr>
        <w:t>Comments</w:t>
      </w:r>
    </w:p>
    <w:p w14:paraId="25A79EA5" w14:textId="37C16C15" w:rsidR="00047366" w:rsidRDefault="0048030D" w:rsidP="00E51397">
      <w:pPr>
        <w:spacing w:line="480" w:lineRule="auto"/>
        <w:jc w:val="both"/>
        <w:rPr>
          <w:rFonts w:ascii="Times New Roman" w:hAnsi="Times New Roman" w:cs="Times New Roman"/>
          <w:bCs/>
        </w:rPr>
      </w:pPr>
      <w:r>
        <w:rPr>
          <w:rFonts w:ascii="Times New Roman" w:hAnsi="Times New Roman" w:cs="Times New Roman"/>
          <w:bCs/>
        </w:rPr>
        <w:tab/>
      </w:r>
      <w:r w:rsidR="006141FF">
        <w:rPr>
          <w:rFonts w:ascii="Times New Roman" w:hAnsi="Times New Roman" w:cs="Times New Roman"/>
          <w:bCs/>
        </w:rPr>
        <w:t>TCPA</w:t>
      </w:r>
      <w:r w:rsidR="00047366">
        <w:rPr>
          <w:rFonts w:ascii="Times New Roman" w:hAnsi="Times New Roman" w:cs="Times New Roman"/>
          <w:bCs/>
        </w:rPr>
        <w:t xml:space="preserve"> appreciates the Commission’s continued focus on ensuring the public’s confidence in the reliability of the electric system following Winter Storm Uri. </w:t>
      </w:r>
      <w:r w:rsidR="00843D73">
        <w:rPr>
          <w:rFonts w:ascii="Times New Roman" w:hAnsi="Times New Roman" w:cs="Times New Roman"/>
          <w:bCs/>
        </w:rPr>
        <w:t xml:space="preserve">One lesson from Winter Storm Uri was that </w:t>
      </w:r>
      <w:r w:rsidR="00C864F2">
        <w:rPr>
          <w:rFonts w:ascii="Times New Roman" w:hAnsi="Times New Roman" w:cs="Times New Roman"/>
          <w:bCs/>
        </w:rPr>
        <w:t xml:space="preserve">the Commission would benefit from greater visibility into the emergency planning and operations of the entities it oversees. </w:t>
      </w:r>
      <w:r w:rsidR="006141FF">
        <w:rPr>
          <w:rFonts w:ascii="Times New Roman" w:hAnsi="Times New Roman" w:cs="Times New Roman"/>
          <w:bCs/>
        </w:rPr>
        <w:t>TCPA</w:t>
      </w:r>
      <w:r w:rsidR="00C864F2">
        <w:rPr>
          <w:rFonts w:ascii="Times New Roman" w:hAnsi="Times New Roman" w:cs="Times New Roman"/>
          <w:bCs/>
        </w:rPr>
        <w:t xml:space="preserve"> recognizes the reporting requirements regarding EOPs established by </w:t>
      </w:r>
      <w:r w:rsidR="002F750C">
        <w:rPr>
          <w:rFonts w:ascii="Times New Roman" w:hAnsi="Times New Roman" w:cs="Times New Roman"/>
          <w:bCs/>
        </w:rPr>
        <w:t>Senate Bill 3 (</w:t>
      </w:r>
      <w:r w:rsidR="00C864F2">
        <w:rPr>
          <w:rFonts w:ascii="Times New Roman" w:hAnsi="Times New Roman" w:cs="Times New Roman"/>
          <w:bCs/>
        </w:rPr>
        <w:t>SB 3</w:t>
      </w:r>
      <w:r w:rsidR="002F750C">
        <w:rPr>
          <w:rFonts w:ascii="Times New Roman" w:hAnsi="Times New Roman" w:cs="Times New Roman"/>
          <w:bCs/>
        </w:rPr>
        <w:t>)</w:t>
      </w:r>
      <w:r w:rsidR="00C864F2">
        <w:rPr>
          <w:rFonts w:ascii="Times New Roman" w:hAnsi="Times New Roman" w:cs="Times New Roman"/>
          <w:bCs/>
        </w:rPr>
        <w:t xml:space="preserve"> and supports the objective of ensuring the Commission has adequate access to the information needed to fulfill that directive in an efficient and secure manner. </w:t>
      </w:r>
    </w:p>
    <w:p w14:paraId="4D615149" w14:textId="09191E13" w:rsidR="0048030D" w:rsidRDefault="0048030D" w:rsidP="00E51397">
      <w:pPr>
        <w:spacing w:line="480" w:lineRule="auto"/>
        <w:ind w:firstLine="720"/>
        <w:jc w:val="both"/>
        <w:rPr>
          <w:rFonts w:ascii="Times New Roman" w:hAnsi="Times New Roman" w:cs="Times New Roman"/>
        </w:rPr>
      </w:pPr>
      <w:r w:rsidRPr="0048030D">
        <w:rPr>
          <w:rFonts w:ascii="Times New Roman" w:hAnsi="Times New Roman" w:cs="Times New Roman"/>
        </w:rPr>
        <w:t>The Commission should seek to strike a balance in this rule that improves access for the Commission to information that has a practical value in supporting continuity of adequate electric service during an emergency while not burdening entities</w:t>
      </w:r>
      <w:r w:rsidR="00B82446">
        <w:rPr>
          <w:rFonts w:ascii="Times New Roman" w:hAnsi="Times New Roman" w:cs="Times New Roman"/>
        </w:rPr>
        <w:t>, ERCOT or Commission Staff</w:t>
      </w:r>
      <w:r w:rsidRPr="0048030D">
        <w:rPr>
          <w:rFonts w:ascii="Times New Roman" w:hAnsi="Times New Roman" w:cs="Times New Roman"/>
        </w:rPr>
        <w:t xml:space="preserve"> with </w:t>
      </w:r>
      <w:r w:rsidR="000C0948">
        <w:rPr>
          <w:rFonts w:ascii="Times New Roman" w:hAnsi="Times New Roman" w:cs="Times New Roman"/>
        </w:rPr>
        <w:t xml:space="preserve">over-specified compliance </w:t>
      </w:r>
      <w:r w:rsidR="00B82446">
        <w:rPr>
          <w:rFonts w:ascii="Times New Roman" w:hAnsi="Times New Roman" w:cs="Times New Roman"/>
        </w:rPr>
        <w:t xml:space="preserve">and oversight </w:t>
      </w:r>
      <w:r w:rsidR="000C0948">
        <w:rPr>
          <w:rFonts w:ascii="Times New Roman" w:hAnsi="Times New Roman" w:cs="Times New Roman"/>
        </w:rPr>
        <w:t>obligations that will not be useful to the entities in preparing for an emergency themselves</w:t>
      </w:r>
      <w:r w:rsidR="00FD0915">
        <w:rPr>
          <w:rFonts w:ascii="Times New Roman" w:hAnsi="Times New Roman" w:cs="Times New Roman"/>
        </w:rPr>
        <w:t>, and not requiring disclosure of details that could harm the market and/or grid if ultimately subject to release in a public information request</w:t>
      </w:r>
      <w:r w:rsidR="000C0948">
        <w:rPr>
          <w:rFonts w:ascii="Times New Roman" w:hAnsi="Times New Roman" w:cs="Times New Roman"/>
        </w:rPr>
        <w:t xml:space="preserve">. </w:t>
      </w:r>
      <w:r w:rsidR="003E261E">
        <w:rPr>
          <w:rFonts w:ascii="Times New Roman" w:hAnsi="Times New Roman" w:cs="Times New Roman"/>
        </w:rPr>
        <w:t xml:space="preserve">Notably, the entities within ERCOT have spent years developing and refining their procedures, including implementing best practices, in ways that make operational sense.  </w:t>
      </w:r>
      <w:r w:rsidR="000C0948">
        <w:rPr>
          <w:rFonts w:ascii="Times New Roman" w:hAnsi="Times New Roman" w:cs="Times New Roman"/>
        </w:rPr>
        <w:t xml:space="preserve">The </w:t>
      </w:r>
      <w:r w:rsidR="00BA515B">
        <w:rPr>
          <w:rFonts w:ascii="Times New Roman" w:hAnsi="Times New Roman" w:cs="Times New Roman"/>
        </w:rPr>
        <w:t xml:space="preserve">proposal for publication (PFP) </w:t>
      </w:r>
      <w:r w:rsidR="00FC077A">
        <w:rPr>
          <w:rFonts w:ascii="Times New Roman" w:hAnsi="Times New Roman" w:cs="Times New Roman"/>
        </w:rPr>
        <w:t>c</w:t>
      </w:r>
      <w:r w:rsidR="00485239">
        <w:rPr>
          <w:rFonts w:ascii="Times New Roman" w:hAnsi="Times New Roman" w:cs="Times New Roman"/>
        </w:rPr>
        <w:t xml:space="preserve">ould require material changes if not wholesale rewrites of existing EOPs into a rigidly defined and voluminous singular document that would be overwhelming to the functional teams tasked with implementing the procedures, while imposing a significant compliance burden to re-write and manage changes under the proposed prescriptive processes, reducing resources available to support other compliance </w:t>
      </w:r>
      <w:r w:rsidR="00047366">
        <w:rPr>
          <w:rFonts w:ascii="Times New Roman" w:hAnsi="Times New Roman" w:cs="Times New Roman"/>
        </w:rPr>
        <w:t>activities that have a more meaningful impact on reliability (both in and out of an emergency)</w:t>
      </w:r>
      <w:r w:rsidR="000C0948">
        <w:rPr>
          <w:rFonts w:ascii="Times New Roman" w:hAnsi="Times New Roman" w:cs="Times New Roman"/>
        </w:rPr>
        <w:t xml:space="preserve">. </w:t>
      </w:r>
      <w:r w:rsidR="00FD0915">
        <w:rPr>
          <w:rFonts w:ascii="Times New Roman" w:hAnsi="Times New Roman" w:cs="Times New Roman"/>
        </w:rPr>
        <w:t xml:space="preserve"> </w:t>
      </w:r>
    </w:p>
    <w:p w14:paraId="1E590A4F" w14:textId="6A68BDB1" w:rsidR="00792B92" w:rsidRDefault="002D756B" w:rsidP="00E51397">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As a threshold matter, the Commission should note that an EOP is not </w:t>
      </w:r>
      <w:r w:rsidR="00C864F2">
        <w:rPr>
          <w:rFonts w:ascii="Times New Roman" w:hAnsi="Times New Roman" w:cs="Times New Roman"/>
        </w:rPr>
        <w:t xml:space="preserve">necessarily </w:t>
      </w:r>
      <w:r>
        <w:rPr>
          <w:rFonts w:ascii="Times New Roman" w:hAnsi="Times New Roman" w:cs="Times New Roman"/>
        </w:rPr>
        <w:t xml:space="preserve">a singular document distributed widely across an organization, but rather a compendium of procedures that are implemented by various teams across an organization in response to certain emergency conditions. </w:t>
      </w:r>
      <w:r w:rsidR="00577B92">
        <w:rPr>
          <w:rFonts w:ascii="Times New Roman" w:hAnsi="Times New Roman" w:cs="Times New Roman"/>
        </w:rPr>
        <w:t xml:space="preserve">The proposed requirement to formally consolidate the EOP into a single document with rigid change management and distribution documentation requirements </w:t>
      </w:r>
      <w:r w:rsidR="00624B4C">
        <w:rPr>
          <w:rFonts w:ascii="Times New Roman" w:hAnsi="Times New Roman" w:cs="Times New Roman"/>
        </w:rPr>
        <w:t>c</w:t>
      </w:r>
      <w:r w:rsidR="00577B92">
        <w:rPr>
          <w:rFonts w:ascii="Times New Roman" w:hAnsi="Times New Roman" w:cs="Times New Roman"/>
        </w:rPr>
        <w:t xml:space="preserve">ould require a substantial undertaking, both for the initial production and for the ongoing maintenance requirements. The resulting product would be less useful for the implementing teams as well since the relevant information for each team would be buried </w:t>
      </w:r>
      <w:r w:rsidR="002152F6">
        <w:rPr>
          <w:rFonts w:ascii="Times New Roman" w:hAnsi="Times New Roman" w:cs="Times New Roman"/>
        </w:rPr>
        <w:t xml:space="preserve">in the much more voluminous consolidated EOP document. </w:t>
      </w:r>
      <w:r w:rsidR="00792B92">
        <w:rPr>
          <w:rFonts w:ascii="Times New Roman" w:hAnsi="Times New Roman" w:cs="Times New Roman"/>
        </w:rPr>
        <w:t>T</w:t>
      </w:r>
      <w:r w:rsidR="002152F6">
        <w:rPr>
          <w:rFonts w:ascii="Times New Roman" w:hAnsi="Times New Roman" w:cs="Times New Roman"/>
        </w:rPr>
        <w:t>he Commission should take into account the time required to undertake such an effort as well as opportunities to make the process more efficient, such as defining “entity” broadly to include affiliates to eliminate duplication of effort.</w:t>
      </w:r>
      <w:r w:rsidR="003E261E">
        <w:rPr>
          <w:rFonts w:ascii="Times New Roman" w:hAnsi="Times New Roman" w:cs="Times New Roman"/>
        </w:rPr>
        <w:t xml:space="preserve">  </w:t>
      </w:r>
    </w:p>
    <w:p w14:paraId="550EE3D2" w14:textId="3021DE47" w:rsidR="002D756B" w:rsidRDefault="003E261E" w:rsidP="00E51397">
      <w:pPr>
        <w:spacing w:line="480" w:lineRule="auto"/>
        <w:ind w:firstLine="720"/>
        <w:jc w:val="both"/>
        <w:rPr>
          <w:rFonts w:ascii="Times New Roman" w:hAnsi="Times New Roman" w:cs="Times New Roman"/>
        </w:rPr>
      </w:pPr>
      <w:r>
        <w:rPr>
          <w:rFonts w:ascii="Times New Roman" w:hAnsi="Times New Roman" w:cs="Times New Roman"/>
        </w:rPr>
        <w:t xml:space="preserve">Additionally, </w:t>
      </w:r>
      <w:r w:rsidR="00530DBF">
        <w:rPr>
          <w:rFonts w:ascii="Times New Roman" w:hAnsi="Times New Roman" w:cs="Times New Roman"/>
        </w:rPr>
        <w:t>the requirement to provide an EOP “in its entirety” raises questions about the level of detail expected to be provided in the plans.  It is crucial that entities only be required to provide the amount of information necessary for the Commission and ERCOT to be able</w:t>
      </w:r>
      <w:r w:rsidR="009725DA">
        <w:rPr>
          <w:rFonts w:ascii="Times New Roman" w:hAnsi="Times New Roman" w:cs="Times New Roman"/>
        </w:rPr>
        <w:t xml:space="preserve"> to</w:t>
      </w:r>
      <w:r w:rsidR="00530DBF">
        <w:rPr>
          <w:rFonts w:ascii="Times New Roman" w:hAnsi="Times New Roman" w:cs="Times New Roman"/>
        </w:rPr>
        <w:t xml:space="preserve"> </w:t>
      </w:r>
      <w:r w:rsidR="00DD12BF">
        <w:rPr>
          <w:rFonts w:ascii="Times New Roman" w:hAnsi="Times New Roman" w:cs="Times New Roman"/>
        </w:rPr>
        <w:t>have assurance that emergencies will be handled appropriately</w:t>
      </w:r>
      <w:r w:rsidR="008F4952">
        <w:rPr>
          <w:rFonts w:ascii="Times New Roman" w:hAnsi="Times New Roman" w:cs="Times New Roman"/>
        </w:rPr>
        <w:t xml:space="preserve"> and to meet the high level requirements of the rule</w:t>
      </w:r>
      <w:r w:rsidR="00DD12BF">
        <w:rPr>
          <w:rFonts w:ascii="Times New Roman" w:hAnsi="Times New Roman" w:cs="Times New Roman"/>
        </w:rPr>
        <w:t>.  It should not be necessary and would not be appropriate for every detail behind every plan to be provided.  Certain plans may be subject to other regulations that restrict their disclosure.  Disclosure to any other entity and housed on any other network increases the risk that t</w:t>
      </w:r>
      <w:r w:rsidR="008F4952">
        <w:rPr>
          <w:rFonts w:ascii="Times New Roman" w:hAnsi="Times New Roman" w:cs="Times New Roman"/>
        </w:rPr>
        <w:t xml:space="preserve">hat plans can be found by those that intend harm to the market and system.  The volume of the documents could also increase the administrative burden on the specific entity, ERCOT and the Commission.  </w:t>
      </w:r>
      <w:r w:rsidR="0032018B">
        <w:rPr>
          <w:rFonts w:ascii="Times New Roman" w:hAnsi="Times New Roman" w:cs="Times New Roman"/>
        </w:rPr>
        <w:t>Further, any entity that goes above and beyond the stated requirements should not be penalized by being required to disclose additional information.</w:t>
      </w:r>
    </w:p>
    <w:p w14:paraId="51D335FA" w14:textId="67D93C0D" w:rsidR="00BA0869" w:rsidRDefault="00BA0869" w:rsidP="00E51397">
      <w:pPr>
        <w:spacing w:line="480" w:lineRule="auto"/>
        <w:ind w:firstLine="720"/>
        <w:jc w:val="both"/>
        <w:rPr>
          <w:rFonts w:ascii="Times New Roman" w:hAnsi="Times New Roman" w:cs="Times New Roman"/>
        </w:rPr>
      </w:pPr>
      <w:bookmarkStart w:id="1" w:name="_Hlk92092611"/>
    </w:p>
    <w:bookmarkEnd w:id="1"/>
    <w:p w14:paraId="4FAC88F7" w14:textId="2AEDD36B" w:rsidR="00BD1F97" w:rsidRDefault="00BD1F97" w:rsidP="00E51397">
      <w:pPr>
        <w:spacing w:line="480" w:lineRule="auto"/>
        <w:ind w:firstLine="720"/>
        <w:jc w:val="both"/>
        <w:rPr>
          <w:rFonts w:ascii="Times New Roman" w:hAnsi="Times New Roman" w:cs="Times New Roman"/>
        </w:rPr>
      </w:pPr>
      <w:r>
        <w:rPr>
          <w:rFonts w:ascii="Times New Roman" w:hAnsi="Times New Roman" w:cs="Times New Roman"/>
        </w:rPr>
        <w:lastRenderedPageBreak/>
        <w:t>Furthermore</w:t>
      </w:r>
      <w:r w:rsidR="00BA0869">
        <w:rPr>
          <w:rFonts w:ascii="Times New Roman" w:hAnsi="Times New Roman" w:cs="Times New Roman"/>
        </w:rPr>
        <w:t xml:space="preserve">, a material concern with the PFP requirement to file full, unredacted EOPs with the Commission is </w:t>
      </w:r>
      <w:r w:rsidR="009725DA">
        <w:rPr>
          <w:rFonts w:ascii="Times New Roman" w:hAnsi="Times New Roman" w:cs="Times New Roman"/>
        </w:rPr>
        <w:t xml:space="preserve">a </w:t>
      </w:r>
      <w:r w:rsidR="002152F6">
        <w:rPr>
          <w:rFonts w:ascii="Times New Roman" w:hAnsi="Times New Roman" w:cs="Times New Roman"/>
        </w:rPr>
        <w:t xml:space="preserve">public disclosure risk. EOPs by their nature contain </w:t>
      </w:r>
      <w:r w:rsidR="00BA0869">
        <w:rPr>
          <w:rFonts w:ascii="Times New Roman" w:hAnsi="Times New Roman" w:cs="Times New Roman"/>
        </w:rPr>
        <w:t>sensitive and detailed information regarding critical infrastructure.</w:t>
      </w:r>
      <w:r w:rsidR="0045682A">
        <w:rPr>
          <w:rFonts w:ascii="Times New Roman" w:hAnsi="Times New Roman" w:cs="Times New Roman"/>
        </w:rPr>
        <w:t xml:space="preserve"> </w:t>
      </w:r>
      <w:r w:rsidR="00D74CC8">
        <w:rPr>
          <w:rFonts w:ascii="Times New Roman" w:hAnsi="Times New Roman" w:cs="Times New Roman"/>
        </w:rPr>
        <w:t xml:space="preserve">The Commission should be thoughtful in how it receives information from affected entities and the resulting public disclosure risks associated with each. SB 3 explicitly contemplated that certain EOP content be redacted from EOPs submitted to the Commission and that full, unredacted EOPs be submitted to ERCOT. The PFP already contemplates that ERCOT’s EOP be “available for review” by the Commission or its designee, and </w:t>
      </w:r>
      <w:r w:rsidR="006141FF">
        <w:rPr>
          <w:rFonts w:ascii="Times New Roman" w:hAnsi="Times New Roman" w:cs="Times New Roman"/>
        </w:rPr>
        <w:t>TCPA</w:t>
      </w:r>
      <w:r w:rsidR="00D74CC8">
        <w:rPr>
          <w:rFonts w:ascii="Times New Roman" w:hAnsi="Times New Roman" w:cs="Times New Roman"/>
        </w:rPr>
        <w:t xml:space="preserve"> suggests that the Commission extend this same treatment to the unredacted EOPs submitted to ERCOT while designating them as Protected Information under 16 TAC § 25.362 and the ERCOT Protocols. </w:t>
      </w:r>
    </w:p>
    <w:p w14:paraId="056B3E49" w14:textId="31665374" w:rsidR="002152F6" w:rsidRPr="00BD1F97" w:rsidRDefault="00C5691A" w:rsidP="00E51397">
      <w:pPr>
        <w:spacing w:line="480" w:lineRule="auto"/>
        <w:ind w:firstLine="720"/>
        <w:jc w:val="both"/>
        <w:rPr>
          <w:rFonts w:ascii="Times New Roman" w:hAnsi="Times New Roman" w:cs="Times New Roman"/>
        </w:rPr>
      </w:pPr>
      <w:r w:rsidRPr="002F0AC0">
        <w:rPr>
          <w:rFonts w:ascii="Times New Roman" w:hAnsi="Times New Roman" w:cs="Times New Roman"/>
        </w:rPr>
        <w:t>The Commission should cont</w:t>
      </w:r>
      <w:r w:rsidR="00F84B65" w:rsidRPr="002F0AC0">
        <w:rPr>
          <w:rFonts w:ascii="Times New Roman" w:hAnsi="Times New Roman" w:cs="Times New Roman"/>
        </w:rPr>
        <w:t>inue its precedent of</w:t>
      </w:r>
      <w:r w:rsidRPr="002F0AC0">
        <w:rPr>
          <w:rFonts w:ascii="Times New Roman" w:hAnsi="Times New Roman" w:cs="Times New Roman"/>
        </w:rPr>
        <w:t xml:space="preserve"> keeping EOPs confidential from public disclosure pursuant to § 552.101 of the Texas Public Information Act, which excepts from disclosure information considered to be confidential by law.  The EOPs should continue to be protected as part of Texas Homeland Security Act §§ 418.176 through 418.182.  Section 418.181 makes clear that documents shall remain confidential if they identify the technical details of particular vulnerabilities of critical infrastructure to an act of terrorism.  Release of EOPs may show vulnerabilities in the ERCOT system and at specific facilities that </w:t>
      </w:r>
      <w:r w:rsidR="00BD1F97">
        <w:rPr>
          <w:rFonts w:ascii="Times New Roman" w:hAnsi="Times New Roman" w:cs="Times New Roman"/>
        </w:rPr>
        <w:t>could</w:t>
      </w:r>
      <w:r w:rsidR="00BD1F97" w:rsidRPr="002F0AC0">
        <w:rPr>
          <w:rFonts w:ascii="Times New Roman" w:hAnsi="Times New Roman" w:cs="Times New Roman"/>
        </w:rPr>
        <w:t xml:space="preserve"> </w:t>
      </w:r>
      <w:r w:rsidRPr="002F0AC0">
        <w:rPr>
          <w:rFonts w:ascii="Times New Roman" w:hAnsi="Times New Roman" w:cs="Times New Roman"/>
        </w:rPr>
        <w:t xml:space="preserve">be used in an attack on the ERCOT grid.  The Commission should </w:t>
      </w:r>
      <w:r w:rsidR="00BD1F97">
        <w:rPr>
          <w:rFonts w:ascii="Times New Roman" w:hAnsi="Times New Roman" w:cs="Times New Roman"/>
        </w:rPr>
        <w:t xml:space="preserve">give significant weight to </w:t>
      </w:r>
      <w:r w:rsidRPr="002F0AC0">
        <w:rPr>
          <w:rFonts w:ascii="Times New Roman" w:hAnsi="Times New Roman" w:cs="Times New Roman"/>
        </w:rPr>
        <w:t>this concern when updating this rule to provide</w:t>
      </w:r>
      <w:r w:rsidR="001279D6" w:rsidRPr="00BD1F97">
        <w:rPr>
          <w:rFonts w:ascii="Times New Roman" w:hAnsi="Times New Roman" w:cs="Times New Roman"/>
        </w:rPr>
        <w:t xml:space="preserve"> transparency to the Commission and ERCOT while mitigating the risks of publicly disclosing sensitive information. </w:t>
      </w:r>
    </w:p>
    <w:p w14:paraId="18327841" w14:textId="2ADBC8E3" w:rsidR="00047366" w:rsidRDefault="00047366" w:rsidP="00E51397">
      <w:pPr>
        <w:spacing w:line="480" w:lineRule="auto"/>
        <w:ind w:firstLine="720"/>
        <w:jc w:val="both"/>
        <w:rPr>
          <w:rFonts w:ascii="Times New Roman" w:hAnsi="Times New Roman" w:cs="Times New Roman"/>
        </w:rPr>
      </w:pPr>
      <w:r>
        <w:rPr>
          <w:rFonts w:ascii="Times New Roman" w:hAnsi="Times New Roman" w:cs="Times New Roman"/>
        </w:rPr>
        <w:t xml:space="preserve">The specific </w:t>
      </w:r>
      <w:r w:rsidR="006C175A">
        <w:rPr>
          <w:rFonts w:ascii="Times New Roman" w:hAnsi="Times New Roman" w:cs="Times New Roman"/>
        </w:rPr>
        <w:t>recommendations</w:t>
      </w:r>
      <w:r>
        <w:rPr>
          <w:rFonts w:ascii="Times New Roman" w:hAnsi="Times New Roman" w:cs="Times New Roman"/>
        </w:rPr>
        <w:t xml:space="preserve"> that follow are intended to strike a meaningful balance that helps to further the Commission’s commendable actions to ensure the reliability of the electric system</w:t>
      </w:r>
      <w:r w:rsidR="002D756B">
        <w:rPr>
          <w:rFonts w:ascii="Times New Roman" w:hAnsi="Times New Roman" w:cs="Times New Roman"/>
        </w:rPr>
        <w:t xml:space="preserve"> while managing the compliance burden on covered entities, streamlining requirements or </w:t>
      </w:r>
      <w:r w:rsidR="002D756B">
        <w:rPr>
          <w:rFonts w:ascii="Times New Roman" w:hAnsi="Times New Roman" w:cs="Times New Roman"/>
        </w:rPr>
        <w:lastRenderedPageBreak/>
        <w:t xml:space="preserve">avoiding duplication of effort, and focusing efforts on issues that truly reflect risks to electric service without creating new risks. </w:t>
      </w:r>
    </w:p>
    <w:p w14:paraId="4CB6687B" w14:textId="77777777" w:rsidR="000E3D45" w:rsidRPr="0048030D" w:rsidRDefault="000E3D45" w:rsidP="00E51397">
      <w:pPr>
        <w:spacing w:line="480" w:lineRule="auto"/>
        <w:ind w:firstLine="720"/>
        <w:jc w:val="both"/>
        <w:rPr>
          <w:rFonts w:ascii="Times New Roman" w:hAnsi="Times New Roman" w:cs="Times New Roman"/>
        </w:rPr>
      </w:pPr>
    </w:p>
    <w:p w14:paraId="01EE0D3F" w14:textId="604E1F18" w:rsidR="0048030D" w:rsidRDefault="0046186E" w:rsidP="00E51397">
      <w:pPr>
        <w:spacing w:line="480" w:lineRule="auto"/>
        <w:jc w:val="center"/>
        <w:rPr>
          <w:rFonts w:ascii="Times New Roman" w:hAnsi="Times New Roman" w:cs="Times New Roman"/>
          <w:b/>
        </w:rPr>
      </w:pPr>
      <w:r w:rsidRPr="00C36738">
        <w:rPr>
          <w:rFonts w:ascii="Times New Roman" w:hAnsi="Times New Roman" w:cs="Times New Roman"/>
          <w:b/>
        </w:rPr>
        <w:t>I</w:t>
      </w:r>
      <w:r>
        <w:rPr>
          <w:rFonts w:ascii="Times New Roman" w:hAnsi="Times New Roman" w:cs="Times New Roman"/>
          <w:b/>
        </w:rPr>
        <w:t>I</w:t>
      </w:r>
      <w:r w:rsidRPr="00C36738">
        <w:rPr>
          <w:rFonts w:ascii="Times New Roman" w:hAnsi="Times New Roman" w:cs="Times New Roman"/>
          <w:b/>
        </w:rPr>
        <w:t xml:space="preserve">. </w:t>
      </w:r>
      <w:r>
        <w:rPr>
          <w:rFonts w:ascii="Times New Roman" w:hAnsi="Times New Roman" w:cs="Times New Roman"/>
          <w:b/>
        </w:rPr>
        <w:t xml:space="preserve">Specific </w:t>
      </w:r>
      <w:r w:rsidR="006C175A">
        <w:rPr>
          <w:rFonts w:ascii="Times New Roman" w:hAnsi="Times New Roman" w:cs="Times New Roman"/>
          <w:b/>
        </w:rPr>
        <w:t>Recommendations</w:t>
      </w:r>
    </w:p>
    <w:p w14:paraId="624C4658" w14:textId="38A828CA" w:rsidR="00AA68C6" w:rsidRPr="00FD23E8" w:rsidRDefault="00114DD9" w:rsidP="00E51397">
      <w:pPr>
        <w:pStyle w:val="ListParagraph"/>
        <w:numPr>
          <w:ilvl w:val="0"/>
          <w:numId w:val="6"/>
        </w:numPr>
        <w:spacing w:after="240"/>
        <w:jc w:val="both"/>
        <w:rPr>
          <w:rFonts w:ascii="Times New Roman" w:hAnsi="Times New Roman" w:cs="Times New Roman"/>
          <w:bCs/>
        </w:rPr>
      </w:pPr>
      <w:r w:rsidRPr="00FD23E8">
        <w:rPr>
          <w:rFonts w:ascii="Times New Roman" w:hAnsi="Times New Roman" w:cs="Times New Roman"/>
          <w:b/>
        </w:rPr>
        <w:t xml:space="preserve">Definition of “entity” should be </w:t>
      </w:r>
      <w:r w:rsidR="00751AA5" w:rsidRPr="00FD23E8">
        <w:rPr>
          <w:rFonts w:ascii="Times New Roman" w:hAnsi="Times New Roman" w:cs="Times New Roman"/>
          <w:b/>
        </w:rPr>
        <w:t xml:space="preserve">included in subsection (b) and be </w:t>
      </w:r>
      <w:r w:rsidRPr="00FD23E8">
        <w:rPr>
          <w:rFonts w:ascii="Times New Roman" w:hAnsi="Times New Roman" w:cs="Times New Roman"/>
          <w:b/>
        </w:rPr>
        <w:t>broad enough to</w:t>
      </w:r>
      <w:r w:rsidR="00751AA5" w:rsidRPr="00FD23E8">
        <w:rPr>
          <w:rFonts w:ascii="Times New Roman" w:hAnsi="Times New Roman" w:cs="Times New Roman"/>
          <w:b/>
        </w:rPr>
        <w:t xml:space="preserve"> minimize duplication of efforts</w:t>
      </w:r>
      <w:r w:rsidRPr="00FD23E8">
        <w:rPr>
          <w:rFonts w:ascii="Times New Roman" w:hAnsi="Times New Roman" w:cs="Times New Roman"/>
          <w:bCs/>
        </w:rPr>
        <w:t xml:space="preserve"> </w:t>
      </w:r>
    </w:p>
    <w:p w14:paraId="483ECA8B" w14:textId="51A6EF19" w:rsidR="006D0B47" w:rsidRDefault="00751AA5" w:rsidP="00E51397">
      <w:pPr>
        <w:spacing w:line="480" w:lineRule="auto"/>
        <w:ind w:firstLine="720"/>
        <w:jc w:val="both"/>
        <w:rPr>
          <w:rFonts w:ascii="Times New Roman" w:hAnsi="Times New Roman" w:cs="Times New Roman"/>
        </w:rPr>
      </w:pPr>
      <w:r w:rsidRPr="00974130">
        <w:rPr>
          <w:rFonts w:ascii="Times New Roman" w:hAnsi="Times New Roman" w:cs="Times New Roman"/>
        </w:rPr>
        <w:tab/>
        <w:t xml:space="preserve">The PFP defines “entity” in subsection (a), which specifies applicability. To promote clarity, </w:t>
      </w:r>
      <w:r w:rsidR="006141FF">
        <w:rPr>
          <w:rFonts w:ascii="Times New Roman" w:hAnsi="Times New Roman" w:cs="Times New Roman"/>
        </w:rPr>
        <w:t>TCPA</w:t>
      </w:r>
      <w:r w:rsidRPr="00974130">
        <w:rPr>
          <w:rFonts w:ascii="Times New Roman" w:hAnsi="Times New Roman" w:cs="Times New Roman"/>
        </w:rPr>
        <w:t xml:space="preserve"> recommends that a definition of “Entity” be moved to subsection (b). Additionally, regardless of where that definition sits in the final rule, it should be clear that “entity” can be </w:t>
      </w:r>
      <w:r w:rsidR="009C5528">
        <w:rPr>
          <w:rFonts w:ascii="Times New Roman" w:hAnsi="Times New Roman" w:cs="Times New Roman"/>
        </w:rPr>
        <w:t xml:space="preserve">read to cover </w:t>
      </w:r>
      <w:r w:rsidRPr="00974130">
        <w:rPr>
          <w:rFonts w:ascii="Times New Roman" w:hAnsi="Times New Roman" w:cs="Times New Roman"/>
        </w:rPr>
        <w:t xml:space="preserve">a group of affiliated entities such that the individual affiliated entities do not need to replicate the administrative efforts for </w:t>
      </w:r>
      <w:r w:rsidR="00974130" w:rsidRPr="00974130">
        <w:rPr>
          <w:rFonts w:ascii="Times New Roman" w:hAnsi="Times New Roman" w:cs="Times New Roman"/>
        </w:rPr>
        <w:t xml:space="preserve">documents that will largely be very similar if not exactly the same in some instances. </w:t>
      </w:r>
    </w:p>
    <w:p w14:paraId="4D13C499" w14:textId="3967C0DA" w:rsidR="00974130" w:rsidRPr="00974130" w:rsidRDefault="00974130" w:rsidP="00E51397">
      <w:pPr>
        <w:pStyle w:val="ListParagraph"/>
        <w:numPr>
          <w:ilvl w:val="0"/>
          <w:numId w:val="3"/>
        </w:numPr>
        <w:rPr>
          <w:rFonts w:ascii="Times New Roman" w:hAnsi="Times New Roman" w:cs="Times New Roman"/>
          <w:b/>
          <w:bCs/>
          <w:u w:val="single"/>
        </w:rPr>
      </w:pPr>
      <w:bookmarkStart w:id="2" w:name="_Hlk91923640"/>
      <w:r>
        <w:rPr>
          <w:rFonts w:ascii="Times New Roman" w:hAnsi="Times New Roman" w:cs="Times New Roman"/>
          <w:b/>
          <w:bCs/>
        </w:rPr>
        <w:t xml:space="preserve">Application. </w:t>
      </w:r>
      <w:r w:rsidRPr="00974130">
        <w:rPr>
          <w:rFonts w:ascii="Times New Roman" w:hAnsi="Times New Roman" w:cs="Times New Roman"/>
        </w:rPr>
        <w:t xml:space="preserve">This section applies to each electric utility, transmission and distribution utility, power generation company (PGC), municipally owned utility, electric cooperative, and retail electric provider (REP), and to the Electric Reliability Council of Texas (ERCOT). </w:t>
      </w:r>
      <w:r w:rsidRPr="00974130">
        <w:rPr>
          <w:rFonts w:ascii="Times New Roman" w:hAnsi="Times New Roman" w:cs="Times New Roman"/>
          <w:strike/>
          <w:color w:val="FF0000"/>
        </w:rPr>
        <w:t>The term “entity” as used in this section refers to the above-listed entities.</w:t>
      </w:r>
      <w:bookmarkEnd w:id="2"/>
    </w:p>
    <w:p w14:paraId="5C5E36F2" w14:textId="1D9C02F1" w:rsidR="00974130" w:rsidRDefault="00974130" w:rsidP="00E51397">
      <w:pPr>
        <w:pStyle w:val="ListParagraph"/>
        <w:numPr>
          <w:ilvl w:val="0"/>
          <w:numId w:val="3"/>
        </w:numPr>
        <w:rPr>
          <w:rFonts w:ascii="Times New Roman" w:hAnsi="Times New Roman" w:cs="Times New Roman"/>
          <w:b/>
          <w:bCs/>
          <w:u w:val="single"/>
        </w:rPr>
      </w:pPr>
      <w:r>
        <w:rPr>
          <w:rFonts w:ascii="Times New Roman" w:hAnsi="Times New Roman" w:cs="Times New Roman"/>
          <w:b/>
          <w:bCs/>
        </w:rPr>
        <w:t>Definitions.</w:t>
      </w:r>
    </w:p>
    <w:p w14:paraId="06BE04EF" w14:textId="66607F72" w:rsidR="00974130" w:rsidRPr="006D0B47" w:rsidRDefault="00974130" w:rsidP="00E51397">
      <w:pPr>
        <w:ind w:left="2160" w:hanging="720"/>
        <w:rPr>
          <w:rFonts w:ascii="Times New Roman" w:hAnsi="Times New Roman" w:cs="Times New Roman"/>
          <w:color w:val="FF0000"/>
          <w:u w:val="single"/>
        </w:rPr>
      </w:pPr>
      <w:r w:rsidRPr="006D0B47">
        <w:rPr>
          <w:rFonts w:ascii="Times New Roman" w:hAnsi="Times New Roman" w:cs="Times New Roman"/>
          <w:b/>
          <w:bCs/>
          <w:color w:val="FF0000"/>
          <w:u w:val="single"/>
        </w:rPr>
        <w:t>(#)</w:t>
      </w:r>
      <w:r w:rsidR="006D0B47" w:rsidRPr="006D0B47">
        <w:rPr>
          <w:rFonts w:ascii="Times New Roman" w:hAnsi="Times New Roman" w:cs="Times New Roman"/>
          <w:b/>
          <w:bCs/>
          <w:color w:val="FF0000"/>
          <w:u w:val="single"/>
        </w:rPr>
        <w:tab/>
      </w:r>
      <w:r w:rsidRPr="006D0B47">
        <w:rPr>
          <w:rFonts w:ascii="Times New Roman" w:hAnsi="Times New Roman" w:cs="Times New Roman"/>
          <w:b/>
          <w:bCs/>
          <w:color w:val="FF0000"/>
          <w:u w:val="single"/>
        </w:rPr>
        <w:t>Entity</w:t>
      </w:r>
      <w:r w:rsidRPr="006D0B47">
        <w:rPr>
          <w:rFonts w:ascii="Times New Roman" w:hAnsi="Times New Roman" w:cs="Times New Roman"/>
          <w:color w:val="FF0000"/>
          <w:u w:val="single"/>
        </w:rPr>
        <w:t xml:space="preserve"> – an </w:t>
      </w:r>
      <w:bookmarkStart w:id="3" w:name="_Hlk91923758"/>
      <w:r w:rsidRPr="006D0B47">
        <w:rPr>
          <w:rFonts w:ascii="Times New Roman" w:hAnsi="Times New Roman" w:cs="Times New Roman"/>
          <w:color w:val="FF0000"/>
          <w:u w:val="single"/>
        </w:rPr>
        <w:t xml:space="preserve">electric utility, transmission and distribution utility, PGC, municipally owned utility, electric cooperative, REP, </w:t>
      </w:r>
      <w:r w:rsidR="006D0B47" w:rsidRPr="006D0B47">
        <w:rPr>
          <w:rFonts w:ascii="Times New Roman" w:hAnsi="Times New Roman" w:cs="Times New Roman"/>
          <w:color w:val="FF0000"/>
          <w:u w:val="single"/>
        </w:rPr>
        <w:t xml:space="preserve">or </w:t>
      </w:r>
      <w:r w:rsidRPr="006D0B47">
        <w:rPr>
          <w:rFonts w:ascii="Times New Roman" w:hAnsi="Times New Roman" w:cs="Times New Roman"/>
          <w:color w:val="FF0000"/>
          <w:u w:val="single"/>
        </w:rPr>
        <w:t>ERCOT</w:t>
      </w:r>
      <w:r w:rsidR="006D0B47" w:rsidRPr="006D0B47">
        <w:rPr>
          <w:rFonts w:ascii="Times New Roman" w:hAnsi="Times New Roman" w:cs="Times New Roman"/>
          <w:color w:val="FF0000"/>
          <w:u w:val="single"/>
        </w:rPr>
        <w:t>. The singular term “entity” as used in this section may also include a grouping of affiliates of the above-listed entities.</w:t>
      </w:r>
      <w:bookmarkEnd w:id="3"/>
    </w:p>
    <w:p w14:paraId="7BDED216" w14:textId="77777777" w:rsidR="00974130" w:rsidRPr="00974130" w:rsidRDefault="00974130" w:rsidP="00E51397">
      <w:pPr>
        <w:spacing w:line="480" w:lineRule="auto"/>
        <w:ind w:firstLine="720"/>
        <w:jc w:val="both"/>
        <w:rPr>
          <w:rFonts w:ascii="Times New Roman" w:hAnsi="Times New Roman" w:cs="Times New Roman"/>
        </w:rPr>
      </w:pPr>
    </w:p>
    <w:p w14:paraId="08AE449D" w14:textId="66780E6C" w:rsidR="00114DD9" w:rsidRPr="00FD23E8" w:rsidRDefault="00114DD9" w:rsidP="00E51397">
      <w:pPr>
        <w:pStyle w:val="ListParagraph"/>
        <w:numPr>
          <w:ilvl w:val="0"/>
          <w:numId w:val="6"/>
        </w:numPr>
        <w:spacing w:after="240"/>
        <w:jc w:val="both"/>
        <w:rPr>
          <w:rFonts w:ascii="Times New Roman" w:hAnsi="Times New Roman" w:cs="Times New Roman"/>
          <w:b/>
        </w:rPr>
      </w:pPr>
      <w:r w:rsidRPr="00FD23E8">
        <w:rPr>
          <w:rFonts w:ascii="Times New Roman" w:hAnsi="Times New Roman" w:cs="Times New Roman"/>
          <w:b/>
        </w:rPr>
        <w:t>Clarifications to the definition of “Emergency”</w:t>
      </w:r>
      <w:r w:rsidR="008E2C7A" w:rsidRPr="00FD23E8">
        <w:rPr>
          <w:rFonts w:ascii="Times New Roman" w:hAnsi="Times New Roman" w:cs="Times New Roman"/>
          <w:b/>
        </w:rPr>
        <w:t xml:space="preserve"> and “emergency operations plan”</w:t>
      </w:r>
    </w:p>
    <w:p w14:paraId="208AE346" w14:textId="24B0638B" w:rsidR="00114DD9" w:rsidRPr="00C36738" w:rsidRDefault="00114DD9" w:rsidP="00E51397">
      <w:pPr>
        <w:spacing w:line="480" w:lineRule="auto"/>
        <w:jc w:val="both"/>
        <w:rPr>
          <w:rFonts w:ascii="Times New Roman" w:hAnsi="Times New Roman" w:cs="Times New Roman"/>
          <w:b/>
        </w:rPr>
      </w:pPr>
      <w:r>
        <w:rPr>
          <w:rFonts w:ascii="Times New Roman" w:hAnsi="Times New Roman" w:cs="Times New Roman"/>
          <w:bCs/>
        </w:rPr>
        <w:tab/>
        <w:t>The PFP’s proposed new definition for what constitutes an “emergency</w:t>
      </w:r>
      <w:r w:rsidR="00281E7B">
        <w:rPr>
          <w:rFonts w:ascii="Times New Roman" w:hAnsi="Times New Roman" w:cs="Times New Roman"/>
          <w:bCs/>
        </w:rPr>
        <w:t>,</w:t>
      </w:r>
      <w:r>
        <w:rPr>
          <w:rFonts w:ascii="Times New Roman" w:hAnsi="Times New Roman" w:cs="Times New Roman"/>
          <w:bCs/>
        </w:rPr>
        <w:t xml:space="preserve">” </w:t>
      </w:r>
      <w:r w:rsidR="00281E7B">
        <w:rPr>
          <w:rFonts w:ascii="Times New Roman" w:hAnsi="Times New Roman" w:cs="Times New Roman"/>
          <w:bCs/>
        </w:rPr>
        <w:t xml:space="preserve">must strike a difficult balance between being inclusive but not defining everything as an emergency. The definition’s </w:t>
      </w:r>
      <w:r>
        <w:rPr>
          <w:rFonts w:ascii="Times New Roman" w:hAnsi="Times New Roman" w:cs="Times New Roman"/>
          <w:bCs/>
        </w:rPr>
        <w:t>catch-all provision</w:t>
      </w:r>
      <w:r w:rsidR="00281E7B">
        <w:rPr>
          <w:rFonts w:ascii="Times New Roman" w:hAnsi="Times New Roman" w:cs="Times New Roman"/>
          <w:bCs/>
        </w:rPr>
        <w:t>s</w:t>
      </w:r>
      <w:r>
        <w:rPr>
          <w:rFonts w:ascii="Times New Roman" w:hAnsi="Times New Roman" w:cs="Times New Roman"/>
          <w:bCs/>
        </w:rPr>
        <w:t xml:space="preserve"> that </w:t>
      </w:r>
      <w:r w:rsidR="00281E7B">
        <w:rPr>
          <w:rFonts w:ascii="Times New Roman" w:hAnsi="Times New Roman" w:cs="Times New Roman"/>
          <w:bCs/>
        </w:rPr>
        <w:t xml:space="preserve">government-declared </w:t>
      </w:r>
      <w:r w:rsidR="00897D2B">
        <w:rPr>
          <w:rFonts w:ascii="Times New Roman" w:hAnsi="Times New Roman" w:cs="Times New Roman"/>
          <w:bCs/>
        </w:rPr>
        <w:t>“</w:t>
      </w:r>
      <w:r w:rsidR="00281E7B">
        <w:rPr>
          <w:rFonts w:ascii="Times New Roman" w:hAnsi="Times New Roman" w:cs="Times New Roman"/>
          <w:bCs/>
        </w:rPr>
        <w:t>emergencies</w:t>
      </w:r>
      <w:r w:rsidR="00897D2B">
        <w:rPr>
          <w:rFonts w:ascii="Times New Roman" w:hAnsi="Times New Roman" w:cs="Times New Roman"/>
          <w:bCs/>
        </w:rPr>
        <w:t>”</w:t>
      </w:r>
      <w:r w:rsidR="00281E7B">
        <w:rPr>
          <w:rFonts w:ascii="Times New Roman" w:hAnsi="Times New Roman" w:cs="Times New Roman"/>
          <w:bCs/>
        </w:rPr>
        <w:t xml:space="preserve"> constitute an emergency </w:t>
      </w:r>
      <w:r w:rsidR="00897D2B">
        <w:rPr>
          <w:rFonts w:ascii="Times New Roman" w:hAnsi="Times New Roman" w:cs="Times New Roman"/>
          <w:bCs/>
        </w:rPr>
        <w:t>under the rule should (1) be rephrased to reference a disaster declaration; and (2) be phrased such that the declaration may, but will not always, constitute an emergency. F</w:t>
      </w:r>
      <w:r w:rsidR="00281E7B">
        <w:rPr>
          <w:rFonts w:ascii="Times New Roman" w:hAnsi="Times New Roman" w:cs="Times New Roman"/>
          <w:bCs/>
        </w:rPr>
        <w:t xml:space="preserve">or example, a hurricane </w:t>
      </w:r>
      <w:r w:rsidR="00281E7B">
        <w:rPr>
          <w:rFonts w:ascii="Times New Roman" w:hAnsi="Times New Roman" w:cs="Times New Roman"/>
          <w:bCs/>
        </w:rPr>
        <w:lastRenderedPageBreak/>
        <w:t xml:space="preserve">may </w:t>
      </w:r>
      <w:r w:rsidR="00897D2B">
        <w:rPr>
          <w:rFonts w:ascii="Times New Roman" w:hAnsi="Times New Roman" w:cs="Times New Roman"/>
          <w:bCs/>
        </w:rPr>
        <w:t xml:space="preserve">properly </w:t>
      </w:r>
      <w:r w:rsidR="00281E7B">
        <w:rPr>
          <w:rFonts w:ascii="Times New Roman" w:hAnsi="Times New Roman" w:cs="Times New Roman"/>
          <w:bCs/>
        </w:rPr>
        <w:t>prompt the declaration of a</w:t>
      </w:r>
      <w:r w:rsidR="00116907">
        <w:rPr>
          <w:rFonts w:ascii="Times New Roman" w:hAnsi="Times New Roman" w:cs="Times New Roman"/>
          <w:bCs/>
        </w:rPr>
        <w:t xml:space="preserve"> disaster </w:t>
      </w:r>
      <w:r w:rsidR="00281E7B">
        <w:rPr>
          <w:rFonts w:ascii="Times New Roman" w:hAnsi="Times New Roman" w:cs="Times New Roman"/>
          <w:bCs/>
        </w:rPr>
        <w:t xml:space="preserve">by </w:t>
      </w:r>
      <w:r w:rsidR="00897D2B">
        <w:rPr>
          <w:rFonts w:ascii="Times New Roman" w:hAnsi="Times New Roman" w:cs="Times New Roman"/>
          <w:bCs/>
        </w:rPr>
        <w:t xml:space="preserve">the Governor, but the hazard presented would have no bearing on a generator </w:t>
      </w:r>
      <w:r w:rsidR="008E2C7A">
        <w:rPr>
          <w:rFonts w:ascii="Times New Roman" w:hAnsi="Times New Roman" w:cs="Times New Roman"/>
          <w:bCs/>
        </w:rPr>
        <w:t>operating in West Texas. S</w:t>
      </w:r>
      <w:r w:rsidR="00281E7B">
        <w:rPr>
          <w:rFonts w:ascii="Times New Roman" w:hAnsi="Times New Roman" w:cs="Times New Roman"/>
          <w:bCs/>
        </w:rPr>
        <w:t xml:space="preserve">imilarly </w:t>
      </w:r>
      <w:r w:rsidR="008E2C7A">
        <w:rPr>
          <w:rFonts w:ascii="Times New Roman" w:hAnsi="Times New Roman" w:cs="Times New Roman"/>
          <w:bCs/>
        </w:rPr>
        <w:t xml:space="preserve">the definition </w:t>
      </w:r>
      <w:r>
        <w:rPr>
          <w:rFonts w:ascii="Times New Roman" w:hAnsi="Times New Roman" w:cs="Times New Roman"/>
          <w:bCs/>
        </w:rPr>
        <w:t xml:space="preserve">uses the </w:t>
      </w:r>
      <w:r w:rsidR="008E2C7A">
        <w:rPr>
          <w:rFonts w:ascii="Times New Roman" w:hAnsi="Times New Roman" w:cs="Times New Roman"/>
          <w:bCs/>
        </w:rPr>
        <w:t xml:space="preserve">catch-all </w:t>
      </w:r>
      <w:r>
        <w:rPr>
          <w:rFonts w:ascii="Times New Roman" w:hAnsi="Times New Roman" w:cs="Times New Roman"/>
          <w:bCs/>
        </w:rPr>
        <w:t>phrase “presents credible risk to the continuity of electric service</w:t>
      </w:r>
      <w:r w:rsidR="008E2C7A">
        <w:rPr>
          <w:rFonts w:ascii="Times New Roman" w:hAnsi="Times New Roman" w:cs="Times New Roman"/>
          <w:bCs/>
        </w:rPr>
        <w:t>,</w:t>
      </w:r>
      <w:r>
        <w:rPr>
          <w:rFonts w:ascii="Times New Roman" w:hAnsi="Times New Roman" w:cs="Times New Roman"/>
          <w:bCs/>
        </w:rPr>
        <w:t xml:space="preserve">” </w:t>
      </w:r>
      <w:r w:rsidR="008E2C7A">
        <w:rPr>
          <w:rFonts w:ascii="Times New Roman" w:hAnsi="Times New Roman" w:cs="Times New Roman"/>
          <w:bCs/>
        </w:rPr>
        <w:t>which places an ambiguous and expansive regulatory requirement on entities to predict all potential risks.</w:t>
      </w:r>
      <w:r w:rsidR="00072FB6">
        <w:rPr>
          <w:rFonts w:ascii="Times New Roman" w:hAnsi="Times New Roman" w:cs="Times New Roman"/>
          <w:bCs/>
        </w:rPr>
        <w:t xml:space="preserve"> Clarifying that this requirement extends only to “reasonably foreseeable and credible risks” would help to set appropriate expectations.</w:t>
      </w:r>
    </w:p>
    <w:p w14:paraId="6EFA100A" w14:textId="2FC8B3B7" w:rsidR="005E490E" w:rsidRDefault="00CA397A" w:rsidP="00E51397">
      <w:pPr>
        <w:spacing w:line="480" w:lineRule="auto"/>
        <w:jc w:val="both"/>
        <w:rPr>
          <w:rFonts w:ascii="Times New Roman" w:hAnsi="Times New Roman" w:cs="Times New Roman"/>
          <w:bCs/>
        </w:rPr>
      </w:pPr>
      <w:r w:rsidRPr="003222A6">
        <w:rPr>
          <w:rFonts w:ascii="Times New Roman" w:hAnsi="Times New Roman" w:cs="Times New Roman"/>
          <w:bCs/>
        </w:rPr>
        <w:tab/>
      </w:r>
      <w:r w:rsidR="009C6279" w:rsidRPr="003222A6">
        <w:rPr>
          <w:rFonts w:ascii="Times New Roman" w:hAnsi="Times New Roman" w:cs="Times New Roman"/>
          <w:bCs/>
        </w:rPr>
        <w:t xml:space="preserve">Similarly, the definition of “emergency operations plan” uses the definitive phrase “ensure continuity of adequate electric service in response to an emergency.” </w:t>
      </w:r>
      <w:r w:rsidR="006141FF">
        <w:rPr>
          <w:rFonts w:ascii="Times New Roman" w:hAnsi="Times New Roman" w:cs="Times New Roman"/>
          <w:bCs/>
        </w:rPr>
        <w:t>TCPA</w:t>
      </w:r>
      <w:r w:rsidR="009C6279" w:rsidRPr="003222A6">
        <w:rPr>
          <w:rFonts w:ascii="Times New Roman" w:hAnsi="Times New Roman" w:cs="Times New Roman"/>
          <w:bCs/>
        </w:rPr>
        <w:t xml:space="preserve"> agrees with that objective in principle, but notes that each entity has limited control over the broader electric system and none can individually “ensure” continuity of electric service during an emergency.</w:t>
      </w:r>
      <w:r w:rsidR="00B945A3">
        <w:rPr>
          <w:rFonts w:ascii="Times New Roman" w:hAnsi="Times New Roman" w:cs="Times New Roman"/>
          <w:bCs/>
        </w:rPr>
        <w:t xml:space="preserve">  </w:t>
      </w:r>
    </w:p>
    <w:p w14:paraId="6AAE8057" w14:textId="2EA85B85" w:rsidR="00656E6B" w:rsidRPr="003222A6" w:rsidRDefault="00B945A3" w:rsidP="002F0AC0">
      <w:pPr>
        <w:spacing w:line="480" w:lineRule="auto"/>
        <w:ind w:firstLine="720"/>
        <w:jc w:val="both"/>
        <w:rPr>
          <w:rFonts w:ascii="Times New Roman" w:hAnsi="Times New Roman" w:cs="Times New Roman"/>
          <w:bCs/>
        </w:rPr>
      </w:pPr>
      <w:r>
        <w:rPr>
          <w:rFonts w:ascii="Times New Roman" w:hAnsi="Times New Roman" w:cs="Times New Roman"/>
          <w:bCs/>
        </w:rPr>
        <w:t xml:space="preserve">Additionally, as discussed above, </w:t>
      </w:r>
      <w:r>
        <w:rPr>
          <w:rFonts w:ascii="Times New Roman" w:hAnsi="Times New Roman" w:cs="Times New Roman"/>
        </w:rPr>
        <w:t xml:space="preserve">EOPs are </w:t>
      </w:r>
      <w:r w:rsidR="005E490E">
        <w:rPr>
          <w:rFonts w:ascii="Times New Roman" w:hAnsi="Times New Roman" w:cs="Times New Roman"/>
        </w:rPr>
        <w:t xml:space="preserve">in practice </w:t>
      </w:r>
      <w:r>
        <w:rPr>
          <w:rFonts w:ascii="Times New Roman" w:hAnsi="Times New Roman" w:cs="Times New Roman"/>
        </w:rPr>
        <w:t>not necessarily just singular documents, but rather compilations of procedures that apply to different groups across the organization in different scenarios.  They may include levels of detail that go beyond those required in the rule and</w:t>
      </w:r>
      <w:r w:rsidR="00072FB6">
        <w:rPr>
          <w:rFonts w:ascii="Times New Roman" w:hAnsi="Times New Roman" w:cs="Times New Roman"/>
        </w:rPr>
        <w:t>/or</w:t>
      </w:r>
      <w:r>
        <w:rPr>
          <w:rFonts w:ascii="Times New Roman" w:hAnsi="Times New Roman" w:cs="Times New Roman"/>
        </w:rPr>
        <w:t xml:space="preserve"> that are subject to the rules and disclosure requirements of other entities or governing bodies.  The EOP submitted under this rule should be permitted to be a compilation</w:t>
      </w:r>
      <w:r w:rsidR="00C5691A">
        <w:rPr>
          <w:rFonts w:ascii="Times New Roman" w:hAnsi="Times New Roman" w:cs="Times New Roman"/>
        </w:rPr>
        <w:t xml:space="preserve"> or summary</w:t>
      </w:r>
      <w:r>
        <w:rPr>
          <w:rFonts w:ascii="Times New Roman" w:hAnsi="Times New Roman" w:cs="Times New Roman"/>
        </w:rPr>
        <w:t xml:space="preserve"> of the relevant parts of documents meeting the requirements of the rule</w:t>
      </w:r>
      <w:r w:rsidR="00A260A9">
        <w:rPr>
          <w:rFonts w:ascii="Times New Roman" w:hAnsi="Times New Roman" w:cs="Times New Roman"/>
        </w:rPr>
        <w:t>.  Entities should not be required to provide details that go above and beyond requirements of the rule, pose additional risk through disclosure, or risk violating requirements of other entities or governing bodies.</w:t>
      </w:r>
    </w:p>
    <w:p w14:paraId="782DDD73" w14:textId="4DDD0A5B" w:rsidR="009C6279" w:rsidRDefault="009C6279" w:rsidP="002F0AC0">
      <w:pPr>
        <w:spacing w:after="240"/>
        <w:ind w:firstLine="720"/>
        <w:jc w:val="both"/>
        <w:rPr>
          <w:rFonts w:ascii="Times New Roman" w:hAnsi="Times New Roman" w:cs="Times New Roman"/>
        </w:rPr>
      </w:pPr>
      <w:r>
        <w:rPr>
          <w:rFonts w:ascii="Times New Roman" w:hAnsi="Times New Roman" w:cs="Times New Roman"/>
        </w:rPr>
        <w:t xml:space="preserve">Accordingly, </w:t>
      </w:r>
      <w:r w:rsidR="006141FF">
        <w:rPr>
          <w:rFonts w:ascii="Times New Roman" w:hAnsi="Times New Roman" w:cs="Times New Roman"/>
        </w:rPr>
        <w:t>TCPA</w:t>
      </w:r>
      <w:r>
        <w:rPr>
          <w:rFonts w:ascii="Times New Roman" w:hAnsi="Times New Roman" w:cs="Times New Roman"/>
        </w:rPr>
        <w:t xml:space="preserve"> recommends that the Commission modify the</w:t>
      </w:r>
      <w:r w:rsidR="00203BF9">
        <w:rPr>
          <w:rFonts w:ascii="Times New Roman" w:hAnsi="Times New Roman" w:cs="Times New Roman"/>
        </w:rPr>
        <w:t>se definitions as follows:</w:t>
      </w:r>
    </w:p>
    <w:p w14:paraId="09499C33" w14:textId="2713EA9A" w:rsidR="00203BF9" w:rsidRDefault="00203BF9" w:rsidP="00E51397">
      <w:pPr>
        <w:pStyle w:val="ListParagraph"/>
        <w:numPr>
          <w:ilvl w:val="6"/>
          <w:numId w:val="4"/>
        </w:numPr>
        <w:spacing w:after="240"/>
        <w:jc w:val="both"/>
        <w:rPr>
          <w:rFonts w:ascii="Times New Roman" w:hAnsi="Times New Roman" w:cs="Times New Roman"/>
        </w:rPr>
      </w:pPr>
      <w:r>
        <w:rPr>
          <w:rFonts w:ascii="Times New Roman" w:hAnsi="Times New Roman" w:cs="Times New Roman"/>
        </w:rPr>
        <w:t xml:space="preserve">(3) </w:t>
      </w:r>
      <w:r w:rsidRPr="00203BF9">
        <w:rPr>
          <w:rFonts w:ascii="Times New Roman" w:hAnsi="Times New Roman" w:cs="Times New Roman"/>
          <w:b/>
          <w:bCs/>
        </w:rPr>
        <w:t>Emergency</w:t>
      </w:r>
      <w:r w:rsidRPr="00203BF9">
        <w:rPr>
          <w:rFonts w:ascii="Times New Roman" w:hAnsi="Times New Roman" w:cs="Times New Roman"/>
        </w:rPr>
        <w:t xml:space="preserve"> -- any incident resulting from an imminent hazard or threat that endangers life or property or presents </w:t>
      </w:r>
      <w:r w:rsidRPr="00203BF9">
        <w:rPr>
          <w:rFonts w:ascii="Times New Roman" w:hAnsi="Times New Roman" w:cs="Times New Roman"/>
          <w:color w:val="FF0000"/>
          <w:u w:val="single"/>
        </w:rPr>
        <w:t>reasonably foreseeable</w:t>
      </w:r>
      <w:r>
        <w:rPr>
          <w:rFonts w:ascii="Times New Roman" w:hAnsi="Times New Roman" w:cs="Times New Roman"/>
          <w:color w:val="FF0000"/>
          <w:u w:val="single"/>
        </w:rPr>
        <w:t xml:space="preserve"> and</w:t>
      </w:r>
      <w:r>
        <w:rPr>
          <w:rFonts w:ascii="Times New Roman" w:hAnsi="Times New Roman" w:cs="Times New Roman"/>
          <w:color w:val="FF0000"/>
        </w:rPr>
        <w:t xml:space="preserve"> </w:t>
      </w:r>
      <w:r w:rsidRPr="00203BF9">
        <w:rPr>
          <w:rFonts w:ascii="Times New Roman" w:hAnsi="Times New Roman" w:cs="Times New Roman"/>
        </w:rPr>
        <w:t xml:space="preserve">credible risk to the continuity of electric service. The term </w:t>
      </w:r>
      <w:r w:rsidRPr="00203BF9">
        <w:rPr>
          <w:rFonts w:ascii="Times New Roman" w:hAnsi="Times New Roman" w:cs="Times New Roman"/>
          <w:strike/>
          <w:color w:val="FF0000"/>
        </w:rPr>
        <w:t>includes</w:t>
      </w:r>
      <w:r w:rsidRPr="00203BF9">
        <w:rPr>
          <w:rFonts w:ascii="Times New Roman" w:hAnsi="Times New Roman" w:cs="Times New Roman"/>
          <w:color w:val="FF0000"/>
        </w:rPr>
        <w:t xml:space="preserve"> </w:t>
      </w:r>
      <w:r>
        <w:rPr>
          <w:rFonts w:ascii="Times New Roman" w:hAnsi="Times New Roman" w:cs="Times New Roman"/>
          <w:color w:val="FF0000"/>
          <w:u w:val="single"/>
        </w:rPr>
        <w:t>may include</w:t>
      </w:r>
      <w:r w:rsidRPr="00203BF9">
        <w:rPr>
          <w:rFonts w:ascii="Times New Roman" w:hAnsi="Times New Roman" w:cs="Times New Roman"/>
        </w:rPr>
        <w:t xml:space="preserve"> an emergency </w:t>
      </w:r>
      <w:r w:rsidR="0075638D">
        <w:rPr>
          <w:rFonts w:ascii="Times New Roman" w:hAnsi="Times New Roman" w:cs="Times New Roman"/>
          <w:color w:val="FF0000"/>
          <w:u w:val="single"/>
        </w:rPr>
        <w:t xml:space="preserve">or disaster </w:t>
      </w:r>
      <w:r w:rsidRPr="00203BF9">
        <w:rPr>
          <w:rFonts w:ascii="Times New Roman" w:hAnsi="Times New Roman" w:cs="Times New Roman"/>
        </w:rPr>
        <w:t>declared by local, state, or federal government; ERCOT; or a Reliability Coordinator that is applicable to the entity.</w:t>
      </w:r>
    </w:p>
    <w:p w14:paraId="7B36A607" w14:textId="77777777" w:rsidR="00203BF9" w:rsidRDefault="00203BF9" w:rsidP="00E51397">
      <w:pPr>
        <w:pStyle w:val="ListParagraph"/>
        <w:numPr>
          <w:ilvl w:val="6"/>
          <w:numId w:val="4"/>
        </w:numPr>
        <w:spacing w:after="240"/>
        <w:jc w:val="both"/>
        <w:rPr>
          <w:rFonts w:ascii="Times New Roman" w:hAnsi="Times New Roman" w:cs="Times New Roman"/>
        </w:rPr>
      </w:pPr>
    </w:p>
    <w:p w14:paraId="43BB7F44" w14:textId="088AD578" w:rsidR="00203BF9" w:rsidRPr="002F0AC0" w:rsidRDefault="00203BF9" w:rsidP="00E51397">
      <w:pPr>
        <w:pStyle w:val="ListParagraph"/>
        <w:numPr>
          <w:ilvl w:val="6"/>
          <w:numId w:val="4"/>
        </w:numPr>
        <w:spacing w:after="240"/>
        <w:jc w:val="both"/>
        <w:rPr>
          <w:rFonts w:ascii="Times New Roman" w:hAnsi="Times New Roman" w:cs="Times New Roman"/>
          <w:color w:val="FF0000"/>
          <w:u w:val="single"/>
        </w:rPr>
      </w:pPr>
      <w:r>
        <w:rPr>
          <w:rFonts w:ascii="Times New Roman" w:hAnsi="Times New Roman" w:cs="Times New Roman"/>
        </w:rPr>
        <w:lastRenderedPageBreak/>
        <w:t xml:space="preserve">(4) </w:t>
      </w:r>
      <w:r w:rsidRPr="00203BF9">
        <w:rPr>
          <w:rFonts w:ascii="Times New Roman" w:hAnsi="Times New Roman" w:cs="Times New Roman"/>
          <w:b/>
          <w:bCs/>
        </w:rPr>
        <w:t>Emergency operations plan</w:t>
      </w:r>
      <w:r w:rsidRPr="00203BF9">
        <w:rPr>
          <w:rFonts w:ascii="Times New Roman" w:hAnsi="Times New Roman" w:cs="Times New Roman"/>
        </w:rPr>
        <w:t xml:space="preserve"> -- the plan and attached annexes, maintained on a continuous basis by an entity, intended to protect life</w:t>
      </w:r>
      <w:r>
        <w:rPr>
          <w:rFonts w:ascii="Times New Roman" w:hAnsi="Times New Roman" w:cs="Times New Roman"/>
          <w:color w:val="FF0000"/>
          <w:u w:val="single"/>
        </w:rPr>
        <w:t>,</w:t>
      </w:r>
      <w:r w:rsidRPr="00203BF9">
        <w:rPr>
          <w:rFonts w:ascii="Times New Roman" w:hAnsi="Times New Roman" w:cs="Times New Roman"/>
        </w:rPr>
        <w:t xml:space="preserve"> </w:t>
      </w:r>
      <w:r w:rsidRPr="00203BF9">
        <w:rPr>
          <w:rFonts w:ascii="Times New Roman" w:hAnsi="Times New Roman" w:cs="Times New Roman"/>
          <w:strike/>
          <w:color w:val="FF0000"/>
        </w:rPr>
        <w:t>and</w:t>
      </w:r>
      <w:r w:rsidRPr="00203BF9">
        <w:rPr>
          <w:rFonts w:ascii="Times New Roman" w:hAnsi="Times New Roman" w:cs="Times New Roman"/>
          <w:color w:val="FF0000"/>
        </w:rPr>
        <w:t xml:space="preserve"> </w:t>
      </w:r>
      <w:r w:rsidRPr="00203BF9">
        <w:rPr>
          <w:rFonts w:ascii="Times New Roman" w:hAnsi="Times New Roman" w:cs="Times New Roman"/>
        </w:rPr>
        <w:t>property</w:t>
      </w:r>
      <w:r>
        <w:rPr>
          <w:rFonts w:ascii="Times New Roman" w:hAnsi="Times New Roman" w:cs="Times New Roman"/>
          <w:color w:val="FF0000"/>
          <w:u w:val="single"/>
        </w:rPr>
        <w:t>,</w:t>
      </w:r>
      <w:r w:rsidRPr="00203BF9">
        <w:rPr>
          <w:rFonts w:ascii="Times New Roman" w:hAnsi="Times New Roman" w:cs="Times New Roman"/>
        </w:rPr>
        <w:t xml:space="preserve"> and </w:t>
      </w:r>
      <w:r w:rsidRPr="00203BF9">
        <w:rPr>
          <w:rFonts w:ascii="Times New Roman" w:hAnsi="Times New Roman" w:cs="Times New Roman"/>
          <w:strike/>
          <w:color w:val="FF0000"/>
        </w:rPr>
        <w:t>ensure</w:t>
      </w:r>
      <w:r w:rsidRPr="00203BF9">
        <w:rPr>
          <w:rFonts w:ascii="Times New Roman" w:hAnsi="Times New Roman" w:cs="Times New Roman"/>
          <w:color w:val="FF0000"/>
        </w:rPr>
        <w:t xml:space="preserve"> </w:t>
      </w:r>
      <w:r w:rsidRPr="00203BF9">
        <w:rPr>
          <w:rFonts w:ascii="Times New Roman" w:hAnsi="Times New Roman" w:cs="Times New Roman"/>
        </w:rPr>
        <w:t>continuity of adequate electric service in response to an emergency.</w:t>
      </w:r>
      <w:r w:rsidR="002C4F86">
        <w:rPr>
          <w:rFonts w:ascii="Times New Roman" w:hAnsi="Times New Roman" w:cs="Times New Roman"/>
        </w:rPr>
        <w:t xml:space="preserve">  </w:t>
      </w:r>
      <w:r w:rsidR="002C4F86" w:rsidRPr="002F0AC0">
        <w:rPr>
          <w:rFonts w:ascii="Times New Roman" w:hAnsi="Times New Roman" w:cs="Times New Roman"/>
          <w:color w:val="FF0000"/>
          <w:u w:val="single"/>
        </w:rPr>
        <w:t>For purposes of this rule, the plan may be a compilation</w:t>
      </w:r>
      <w:r w:rsidR="00C5691A" w:rsidRPr="002F0AC0">
        <w:rPr>
          <w:rFonts w:ascii="Times New Roman" w:hAnsi="Times New Roman" w:cs="Times New Roman"/>
          <w:color w:val="FF0000"/>
          <w:u w:val="single"/>
        </w:rPr>
        <w:t xml:space="preserve"> or summary</w:t>
      </w:r>
      <w:r w:rsidR="002C4F86" w:rsidRPr="002F0AC0">
        <w:rPr>
          <w:rFonts w:ascii="Times New Roman" w:hAnsi="Times New Roman" w:cs="Times New Roman"/>
          <w:color w:val="FF0000"/>
          <w:u w:val="single"/>
        </w:rPr>
        <w:t xml:space="preserve"> of the relevant parts of documents meeting the requirements of the rule, with a clear table of content</w:t>
      </w:r>
      <w:r w:rsidR="00F84B65" w:rsidRPr="002F0AC0">
        <w:rPr>
          <w:rFonts w:ascii="Times New Roman" w:hAnsi="Times New Roman" w:cs="Times New Roman"/>
          <w:color w:val="FF0000"/>
          <w:u w:val="single"/>
        </w:rPr>
        <w:t>s</w:t>
      </w:r>
      <w:r w:rsidR="002C4F86" w:rsidRPr="002F0AC0">
        <w:rPr>
          <w:rFonts w:ascii="Times New Roman" w:hAnsi="Times New Roman" w:cs="Times New Roman"/>
          <w:color w:val="FF0000"/>
          <w:u w:val="single"/>
        </w:rPr>
        <w:t>.</w:t>
      </w:r>
    </w:p>
    <w:p w14:paraId="47FAA4F2" w14:textId="77777777" w:rsidR="00B0163A" w:rsidRPr="00C36738" w:rsidRDefault="00B0163A" w:rsidP="00E51397">
      <w:pPr>
        <w:spacing w:line="480" w:lineRule="auto"/>
        <w:jc w:val="both"/>
        <w:rPr>
          <w:rFonts w:ascii="Times New Roman" w:hAnsi="Times New Roman" w:cs="Times New Roman"/>
          <w:b/>
          <w:bCs/>
          <w:u w:val="single"/>
        </w:rPr>
      </w:pPr>
    </w:p>
    <w:p w14:paraId="487872F4" w14:textId="06FA193C" w:rsidR="00126DA7" w:rsidRPr="00FD23E8" w:rsidRDefault="00FF3BEA" w:rsidP="00E51397">
      <w:pPr>
        <w:pStyle w:val="ListParagraph"/>
        <w:numPr>
          <w:ilvl w:val="0"/>
          <w:numId w:val="6"/>
        </w:numPr>
        <w:jc w:val="both"/>
        <w:rPr>
          <w:rFonts w:ascii="Times New Roman" w:hAnsi="Times New Roman" w:cs="Times New Roman"/>
          <w:b/>
          <w:bCs/>
        </w:rPr>
      </w:pPr>
      <w:r w:rsidRPr="00FD23E8">
        <w:rPr>
          <w:rFonts w:ascii="Times New Roman" w:hAnsi="Times New Roman" w:cs="Times New Roman"/>
          <w:b/>
          <w:bCs/>
        </w:rPr>
        <w:t>D</w:t>
      </w:r>
      <w:r w:rsidR="00586AD2" w:rsidRPr="00FD23E8">
        <w:rPr>
          <w:rFonts w:ascii="Times New Roman" w:hAnsi="Times New Roman" w:cs="Times New Roman"/>
          <w:b/>
          <w:bCs/>
        </w:rPr>
        <w:t xml:space="preserve">efinitions of “Hazard” and “Threat” </w:t>
      </w:r>
      <w:r w:rsidRPr="00FD23E8">
        <w:rPr>
          <w:rFonts w:ascii="Times New Roman" w:hAnsi="Times New Roman" w:cs="Times New Roman"/>
          <w:b/>
          <w:bCs/>
        </w:rPr>
        <w:t xml:space="preserve">should </w:t>
      </w:r>
      <w:r w:rsidR="003D4E7D" w:rsidRPr="00FD23E8">
        <w:rPr>
          <w:rFonts w:ascii="Times New Roman" w:hAnsi="Times New Roman" w:cs="Times New Roman"/>
          <w:b/>
          <w:bCs/>
        </w:rPr>
        <w:t xml:space="preserve">either be stricken or revised to </w:t>
      </w:r>
      <w:r w:rsidRPr="00FD23E8">
        <w:rPr>
          <w:rFonts w:ascii="Times New Roman" w:hAnsi="Times New Roman" w:cs="Times New Roman"/>
          <w:b/>
          <w:bCs/>
        </w:rPr>
        <w:t>conform with the definition of “emergency”</w:t>
      </w:r>
    </w:p>
    <w:p w14:paraId="75B2F439" w14:textId="77777777" w:rsidR="00126DA7" w:rsidRPr="00C36738" w:rsidRDefault="00126DA7" w:rsidP="00E51397">
      <w:pPr>
        <w:jc w:val="both"/>
        <w:rPr>
          <w:rFonts w:ascii="Times New Roman" w:hAnsi="Times New Roman" w:cs="Times New Roman"/>
          <w:b/>
          <w:bCs/>
        </w:rPr>
      </w:pPr>
    </w:p>
    <w:p w14:paraId="3589F204" w14:textId="125C7B12" w:rsidR="00595A68" w:rsidRDefault="00FF3BEA" w:rsidP="00E51397">
      <w:pPr>
        <w:spacing w:line="480" w:lineRule="auto"/>
        <w:ind w:firstLine="720"/>
        <w:jc w:val="both"/>
        <w:rPr>
          <w:rFonts w:ascii="Times New Roman" w:hAnsi="Times New Roman" w:cs="Times New Roman"/>
        </w:rPr>
      </w:pPr>
      <w:r>
        <w:rPr>
          <w:rFonts w:ascii="Times New Roman" w:hAnsi="Times New Roman" w:cs="Times New Roman"/>
        </w:rPr>
        <w:t xml:space="preserve">The definition of “emergency” rightly focuses the rule on risks that endanger life, property, or continuity of electric service. However, the proposed definitions of “hazard” and “threat” also include references to </w:t>
      </w:r>
      <w:r w:rsidR="00586AD2">
        <w:rPr>
          <w:rFonts w:ascii="Times New Roman" w:hAnsi="Times New Roman" w:cs="Times New Roman"/>
        </w:rPr>
        <w:t>“information</w:t>
      </w:r>
      <w:r>
        <w:rPr>
          <w:rFonts w:ascii="Times New Roman" w:hAnsi="Times New Roman" w:cs="Times New Roman"/>
        </w:rPr>
        <w:t>,</w:t>
      </w:r>
      <w:r w:rsidR="00586AD2">
        <w:rPr>
          <w:rFonts w:ascii="Times New Roman" w:hAnsi="Times New Roman" w:cs="Times New Roman"/>
        </w:rPr>
        <w:t xml:space="preserve">” </w:t>
      </w:r>
      <w:r>
        <w:rPr>
          <w:rFonts w:ascii="Times New Roman" w:hAnsi="Times New Roman" w:cs="Times New Roman"/>
        </w:rPr>
        <w:t xml:space="preserve">“operations,” and “the environment” without reference to continuity of electric service. </w:t>
      </w:r>
      <w:r w:rsidR="003D4E7D">
        <w:rPr>
          <w:rFonts w:ascii="Times New Roman" w:hAnsi="Times New Roman" w:cs="Times New Roman"/>
        </w:rPr>
        <w:t xml:space="preserve">These </w:t>
      </w:r>
      <w:r w:rsidR="00595A68">
        <w:rPr>
          <w:rFonts w:ascii="Times New Roman" w:hAnsi="Times New Roman" w:cs="Times New Roman"/>
        </w:rPr>
        <w:t>additions</w:t>
      </w:r>
      <w:r w:rsidR="003D4E7D">
        <w:rPr>
          <w:rFonts w:ascii="Times New Roman" w:hAnsi="Times New Roman" w:cs="Times New Roman"/>
        </w:rPr>
        <w:t xml:space="preserve"> expand the definitions in ways that move beyond the focus of the rule</w:t>
      </w:r>
      <w:r w:rsidR="00294C11">
        <w:rPr>
          <w:rFonts w:ascii="Times New Roman" w:hAnsi="Times New Roman" w:cs="Times New Roman"/>
        </w:rPr>
        <w:t xml:space="preserve"> while simultaneously constraining their effectiveness when the plain meaning of each term should suffice. </w:t>
      </w:r>
    </w:p>
    <w:p w14:paraId="39CE636D" w14:textId="18628E5C" w:rsidR="00EA4E02" w:rsidRDefault="00294C11" w:rsidP="00E51397">
      <w:pPr>
        <w:spacing w:line="480" w:lineRule="auto"/>
        <w:ind w:firstLine="720"/>
        <w:jc w:val="both"/>
        <w:rPr>
          <w:rFonts w:ascii="Times New Roman" w:hAnsi="Times New Roman" w:cs="Times New Roman"/>
        </w:rPr>
      </w:pPr>
      <w:r>
        <w:rPr>
          <w:rFonts w:ascii="Times New Roman" w:hAnsi="Times New Roman" w:cs="Times New Roman"/>
        </w:rPr>
        <w:t>For example the M</w:t>
      </w:r>
      <w:r w:rsidR="009725DA">
        <w:rPr>
          <w:rFonts w:ascii="Times New Roman" w:hAnsi="Times New Roman" w:cs="Times New Roman"/>
        </w:rPr>
        <w:t>e</w:t>
      </w:r>
      <w:r>
        <w:rPr>
          <w:rFonts w:ascii="Times New Roman" w:hAnsi="Times New Roman" w:cs="Times New Roman"/>
        </w:rPr>
        <w:t>rriam-Webster definition of “hazard” includes “a source of danger” and the definition for “threat” includes “an expression of intention to inflict evil, injury, or damage.”</w:t>
      </w:r>
      <w:r>
        <w:rPr>
          <w:rStyle w:val="FootnoteReference"/>
          <w:rFonts w:ascii="Times New Roman" w:hAnsi="Times New Roman" w:cs="Times New Roman"/>
        </w:rPr>
        <w:footnoteReference w:id="4"/>
      </w:r>
      <w:r w:rsidRPr="00294C11">
        <w:rPr>
          <w:rFonts w:ascii="Times New Roman" w:hAnsi="Times New Roman" w:cs="Times New Roman"/>
          <w:vertAlign w:val="superscript"/>
        </w:rPr>
        <w:t>,</w:t>
      </w:r>
      <w:r>
        <w:rPr>
          <w:rStyle w:val="FootnoteReference"/>
          <w:rFonts w:ascii="Times New Roman" w:hAnsi="Times New Roman" w:cs="Times New Roman"/>
        </w:rPr>
        <w:footnoteReference w:id="5"/>
      </w:r>
      <w:r>
        <w:rPr>
          <w:rFonts w:ascii="Times New Roman" w:hAnsi="Times New Roman" w:cs="Times New Roman"/>
        </w:rPr>
        <w:t xml:space="preserve"> These common definitions are reasonably applied to the definition of “emergency” in the PFP and arguably achieve the same function as the PFP’s proposed definitions, in that a hazard is a more general source of risk and a threat is a </w:t>
      </w:r>
      <w:r w:rsidR="00595A68">
        <w:rPr>
          <w:rFonts w:ascii="Times New Roman" w:hAnsi="Times New Roman" w:cs="Times New Roman"/>
        </w:rPr>
        <w:t>subset of hazards that reflect willful action and intent. As such, the Commission could delete the definitions of “hazard” and “threat” from the PFP and not lose any effect.</w:t>
      </w:r>
    </w:p>
    <w:p w14:paraId="5BAFC74E" w14:textId="71831C9B" w:rsidR="00595A68" w:rsidRPr="00C36738" w:rsidRDefault="00595A68" w:rsidP="00E51397">
      <w:pPr>
        <w:spacing w:line="480" w:lineRule="auto"/>
        <w:ind w:firstLine="720"/>
        <w:jc w:val="both"/>
        <w:rPr>
          <w:rFonts w:ascii="Times New Roman" w:hAnsi="Times New Roman" w:cs="Times New Roman"/>
        </w:rPr>
      </w:pPr>
      <w:r>
        <w:rPr>
          <w:rFonts w:ascii="Times New Roman" w:hAnsi="Times New Roman" w:cs="Times New Roman"/>
        </w:rPr>
        <w:t>Should the Commission choose to retain these definitions</w:t>
      </w:r>
      <w:r w:rsidR="00D712D7">
        <w:rPr>
          <w:rFonts w:ascii="Times New Roman" w:hAnsi="Times New Roman" w:cs="Times New Roman"/>
        </w:rPr>
        <w:t xml:space="preserve"> in the rule</w:t>
      </w:r>
      <w:r>
        <w:rPr>
          <w:rFonts w:ascii="Times New Roman" w:hAnsi="Times New Roman" w:cs="Times New Roman"/>
        </w:rPr>
        <w:t xml:space="preserve">, however, </w:t>
      </w:r>
      <w:r w:rsidR="006141FF">
        <w:rPr>
          <w:rFonts w:ascii="Times New Roman" w:hAnsi="Times New Roman" w:cs="Times New Roman"/>
        </w:rPr>
        <w:t>TCPA</w:t>
      </w:r>
      <w:r>
        <w:rPr>
          <w:rFonts w:ascii="Times New Roman" w:hAnsi="Times New Roman" w:cs="Times New Roman"/>
        </w:rPr>
        <w:t xml:space="preserve"> recommends that the definitions be modified to </w:t>
      </w:r>
      <w:r w:rsidR="00D712D7">
        <w:rPr>
          <w:rFonts w:ascii="Times New Roman" w:hAnsi="Times New Roman" w:cs="Times New Roman"/>
        </w:rPr>
        <w:t xml:space="preserve">better align with </w:t>
      </w:r>
      <w:r>
        <w:rPr>
          <w:rFonts w:ascii="Times New Roman" w:hAnsi="Times New Roman" w:cs="Times New Roman"/>
        </w:rPr>
        <w:t xml:space="preserve">the scope </w:t>
      </w:r>
      <w:r w:rsidR="00D712D7">
        <w:rPr>
          <w:rFonts w:ascii="Times New Roman" w:hAnsi="Times New Roman" w:cs="Times New Roman"/>
        </w:rPr>
        <w:t xml:space="preserve">and intent </w:t>
      </w:r>
      <w:r>
        <w:rPr>
          <w:rFonts w:ascii="Times New Roman" w:hAnsi="Times New Roman" w:cs="Times New Roman"/>
        </w:rPr>
        <w:t>of the rule:</w:t>
      </w:r>
    </w:p>
    <w:p w14:paraId="0419415E" w14:textId="38342F83" w:rsidR="00595A68" w:rsidRDefault="00595A68" w:rsidP="00E51397">
      <w:pPr>
        <w:pStyle w:val="ListParagraph"/>
        <w:numPr>
          <w:ilvl w:val="6"/>
          <w:numId w:val="4"/>
        </w:numPr>
        <w:spacing w:after="240"/>
        <w:jc w:val="both"/>
        <w:rPr>
          <w:rFonts w:ascii="Times New Roman" w:hAnsi="Times New Roman" w:cs="Times New Roman"/>
        </w:rPr>
      </w:pPr>
      <w:bookmarkStart w:id="4" w:name="_Hlk91925645"/>
      <w:r>
        <w:rPr>
          <w:rFonts w:ascii="Times New Roman" w:hAnsi="Times New Roman" w:cs="Times New Roman"/>
        </w:rPr>
        <w:t xml:space="preserve">(5) </w:t>
      </w:r>
      <w:r>
        <w:rPr>
          <w:rFonts w:ascii="Times New Roman" w:hAnsi="Times New Roman" w:cs="Times New Roman"/>
          <w:b/>
          <w:bCs/>
        </w:rPr>
        <w:t>Hazard</w:t>
      </w:r>
      <w:r w:rsidRPr="00203BF9">
        <w:rPr>
          <w:rFonts w:ascii="Times New Roman" w:hAnsi="Times New Roman" w:cs="Times New Roman"/>
        </w:rPr>
        <w:t xml:space="preserve"> -- </w:t>
      </w:r>
      <w:r w:rsidRPr="00595A68">
        <w:rPr>
          <w:rFonts w:ascii="Times New Roman" w:hAnsi="Times New Roman" w:cs="Times New Roman"/>
        </w:rPr>
        <w:t>a natural, technological, or human-caused condition that is potentially</w:t>
      </w:r>
      <w:r w:rsidRPr="00595A68">
        <w:rPr>
          <w:rFonts w:ascii="Times New Roman" w:hAnsi="Times New Roman" w:cs="Times New Roman"/>
          <w:u w:val="single"/>
        </w:rPr>
        <w:t xml:space="preserve"> </w:t>
      </w:r>
      <w:r w:rsidRPr="00595A68">
        <w:rPr>
          <w:rFonts w:ascii="Times New Roman" w:hAnsi="Times New Roman" w:cs="Times New Roman"/>
        </w:rPr>
        <w:t xml:space="preserve">dangerous or harmful to life, </w:t>
      </w:r>
      <w:r w:rsidRPr="00595A68">
        <w:rPr>
          <w:rFonts w:ascii="Times New Roman" w:hAnsi="Times New Roman" w:cs="Times New Roman"/>
          <w:strike/>
          <w:color w:val="FF0000"/>
        </w:rPr>
        <w:t>information, operations, the environment, or</w:t>
      </w:r>
      <w:r w:rsidRPr="00595A68">
        <w:rPr>
          <w:rFonts w:ascii="Times New Roman" w:hAnsi="Times New Roman" w:cs="Times New Roman"/>
          <w:color w:val="FF0000"/>
        </w:rPr>
        <w:t xml:space="preserve"> </w:t>
      </w:r>
      <w:r w:rsidRPr="00595A68">
        <w:rPr>
          <w:rFonts w:ascii="Times New Roman" w:hAnsi="Times New Roman" w:cs="Times New Roman"/>
        </w:rPr>
        <w:t>property</w:t>
      </w:r>
      <w:r>
        <w:rPr>
          <w:rFonts w:ascii="Times New Roman" w:hAnsi="Times New Roman" w:cs="Times New Roman"/>
          <w:color w:val="FF0000"/>
          <w:u w:val="single"/>
        </w:rPr>
        <w:t>, or the continuity of electric service</w:t>
      </w:r>
      <w:r w:rsidRPr="00595A68">
        <w:rPr>
          <w:rFonts w:ascii="Times New Roman" w:hAnsi="Times New Roman" w:cs="Times New Roman"/>
        </w:rPr>
        <w:t>.</w:t>
      </w:r>
    </w:p>
    <w:p w14:paraId="57ED5F35" w14:textId="77777777" w:rsidR="00595A68" w:rsidRDefault="00595A68" w:rsidP="00E51397">
      <w:pPr>
        <w:pStyle w:val="ListParagraph"/>
        <w:numPr>
          <w:ilvl w:val="6"/>
          <w:numId w:val="4"/>
        </w:numPr>
        <w:spacing w:after="240"/>
        <w:jc w:val="both"/>
        <w:rPr>
          <w:rFonts w:ascii="Times New Roman" w:hAnsi="Times New Roman" w:cs="Times New Roman"/>
        </w:rPr>
      </w:pPr>
    </w:p>
    <w:p w14:paraId="486A469A" w14:textId="6A6F3282" w:rsidR="00595A68" w:rsidRDefault="00595A68" w:rsidP="00E51397">
      <w:pPr>
        <w:pStyle w:val="ListParagraph"/>
        <w:numPr>
          <w:ilvl w:val="6"/>
          <w:numId w:val="4"/>
        </w:numPr>
        <w:spacing w:after="240"/>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b/>
          <w:bCs/>
        </w:rPr>
        <w:t xml:space="preserve">Threat </w:t>
      </w:r>
      <w:r w:rsidRPr="00203BF9">
        <w:rPr>
          <w:rFonts w:ascii="Times New Roman" w:hAnsi="Times New Roman" w:cs="Times New Roman"/>
        </w:rPr>
        <w:t xml:space="preserve">-- </w:t>
      </w:r>
      <w:r w:rsidRPr="00595A68">
        <w:rPr>
          <w:rFonts w:ascii="Times New Roman" w:hAnsi="Times New Roman" w:cs="Times New Roman"/>
        </w:rPr>
        <w:t>the intention and capability of an individual or organization to harm life,</w:t>
      </w:r>
      <w:r w:rsidRPr="00595A68">
        <w:rPr>
          <w:rFonts w:ascii="Times New Roman" w:hAnsi="Times New Roman" w:cs="Times New Roman"/>
          <w:u w:val="single"/>
        </w:rPr>
        <w:t xml:space="preserve"> </w:t>
      </w:r>
      <w:r w:rsidRPr="00595A68">
        <w:rPr>
          <w:rFonts w:ascii="Times New Roman" w:hAnsi="Times New Roman" w:cs="Times New Roman"/>
          <w:strike/>
          <w:color w:val="FF0000"/>
        </w:rPr>
        <w:t>information, operations, the environment, or</w:t>
      </w:r>
      <w:r w:rsidRPr="00595A68">
        <w:rPr>
          <w:rFonts w:ascii="Times New Roman" w:hAnsi="Times New Roman" w:cs="Times New Roman"/>
          <w:color w:val="FF0000"/>
        </w:rPr>
        <w:t xml:space="preserve"> </w:t>
      </w:r>
      <w:r w:rsidRPr="00595A68">
        <w:rPr>
          <w:rFonts w:ascii="Times New Roman" w:hAnsi="Times New Roman" w:cs="Times New Roman"/>
        </w:rPr>
        <w:t>property</w:t>
      </w:r>
      <w:r>
        <w:rPr>
          <w:rFonts w:ascii="Times New Roman" w:hAnsi="Times New Roman" w:cs="Times New Roman"/>
          <w:color w:val="FF0000"/>
          <w:u w:val="single"/>
        </w:rPr>
        <w:t>, or the continuity of electric service</w:t>
      </w:r>
      <w:r w:rsidRPr="00203BF9">
        <w:rPr>
          <w:rFonts w:ascii="Times New Roman" w:hAnsi="Times New Roman" w:cs="Times New Roman"/>
        </w:rPr>
        <w:t>.</w:t>
      </w:r>
      <w:bookmarkEnd w:id="4"/>
    </w:p>
    <w:p w14:paraId="3BC33DCB" w14:textId="77777777" w:rsidR="00E51397" w:rsidRPr="00E51397" w:rsidRDefault="00E51397" w:rsidP="00E51397">
      <w:pPr>
        <w:pStyle w:val="ListParagraph"/>
        <w:rPr>
          <w:rFonts w:ascii="Times New Roman" w:hAnsi="Times New Roman" w:cs="Times New Roman"/>
        </w:rPr>
      </w:pPr>
    </w:p>
    <w:p w14:paraId="46F1A1D5" w14:textId="77777777" w:rsidR="00E51397" w:rsidRPr="00203BF9" w:rsidRDefault="00E51397" w:rsidP="00E51397">
      <w:pPr>
        <w:pStyle w:val="ListParagraph"/>
        <w:numPr>
          <w:ilvl w:val="6"/>
          <w:numId w:val="4"/>
        </w:numPr>
        <w:spacing w:after="240"/>
        <w:jc w:val="both"/>
        <w:rPr>
          <w:rFonts w:ascii="Times New Roman" w:hAnsi="Times New Roman" w:cs="Times New Roman"/>
        </w:rPr>
      </w:pPr>
    </w:p>
    <w:p w14:paraId="4A7ADAC7" w14:textId="0F7923C4" w:rsidR="008566AF" w:rsidRDefault="008566AF" w:rsidP="00E51397">
      <w:pPr>
        <w:pStyle w:val="ListParagraph"/>
        <w:numPr>
          <w:ilvl w:val="0"/>
          <w:numId w:val="6"/>
        </w:numPr>
        <w:spacing w:after="240"/>
        <w:jc w:val="both"/>
        <w:rPr>
          <w:rFonts w:ascii="Times New Roman" w:hAnsi="Times New Roman" w:cs="Times New Roman"/>
          <w:b/>
          <w:bCs/>
        </w:rPr>
      </w:pPr>
      <w:r w:rsidRPr="008566AF">
        <w:rPr>
          <w:rFonts w:ascii="Times New Roman" w:hAnsi="Times New Roman" w:cs="Times New Roman"/>
          <w:b/>
          <w:bCs/>
        </w:rPr>
        <w:t>Filing requirements recommendations</w:t>
      </w:r>
    </w:p>
    <w:p w14:paraId="34495318" w14:textId="2BE430FC" w:rsidR="008566AF" w:rsidRPr="00C36738" w:rsidRDefault="008566AF" w:rsidP="00E51397">
      <w:pPr>
        <w:spacing w:after="240" w:line="480" w:lineRule="auto"/>
        <w:ind w:firstLine="720"/>
        <w:jc w:val="both"/>
        <w:rPr>
          <w:rFonts w:ascii="Times New Roman" w:hAnsi="Times New Roman" w:cs="Times New Roman"/>
          <w:b/>
          <w:bCs/>
          <w:color w:val="FF0000"/>
        </w:rPr>
      </w:pPr>
      <w:r>
        <w:rPr>
          <w:rFonts w:ascii="Times New Roman" w:hAnsi="Times New Roman" w:cs="Times New Roman"/>
        </w:rPr>
        <w:t xml:space="preserve">Because </w:t>
      </w:r>
      <w:r w:rsidR="006141FF">
        <w:rPr>
          <w:rFonts w:ascii="Times New Roman" w:hAnsi="Times New Roman" w:cs="Times New Roman"/>
        </w:rPr>
        <w:t>TCPA</w:t>
      </w:r>
      <w:r>
        <w:rPr>
          <w:rFonts w:ascii="Times New Roman" w:hAnsi="Times New Roman" w:cs="Times New Roman"/>
        </w:rPr>
        <w:t xml:space="preserve"> recommends several changes to subsection (c) from the PFP, the individual issues are discussed, followed by consolidated redlines below.</w:t>
      </w:r>
    </w:p>
    <w:p w14:paraId="3EAE8380" w14:textId="092423B7" w:rsidR="00912839" w:rsidRPr="00FD23E8" w:rsidRDefault="00912839" w:rsidP="00E51397">
      <w:pPr>
        <w:pStyle w:val="ListParagraph"/>
        <w:numPr>
          <w:ilvl w:val="1"/>
          <w:numId w:val="6"/>
        </w:numPr>
        <w:spacing w:after="240"/>
        <w:jc w:val="both"/>
        <w:rPr>
          <w:rFonts w:ascii="Times New Roman" w:hAnsi="Times New Roman" w:cs="Times New Roman"/>
        </w:rPr>
      </w:pPr>
      <w:r w:rsidRPr="00FD23E8">
        <w:rPr>
          <w:rFonts w:ascii="Times New Roman" w:hAnsi="Times New Roman" w:cs="Times New Roman"/>
          <w:b/>
          <w:bCs/>
        </w:rPr>
        <w:t>Any updated annual filing deadlines should fall on June 1, and any initial update filing deadline should fall on June 1 or 120 days from adoption of the final rule in this proceeding, whichever is later.</w:t>
      </w:r>
    </w:p>
    <w:p w14:paraId="66FFE71D" w14:textId="036C5464" w:rsidR="006A56EF" w:rsidRDefault="006A56EF" w:rsidP="00E51397">
      <w:pPr>
        <w:spacing w:after="240" w:line="480" w:lineRule="auto"/>
        <w:ind w:firstLine="720"/>
        <w:jc w:val="both"/>
        <w:rPr>
          <w:rFonts w:ascii="Times New Roman" w:hAnsi="Times New Roman" w:cs="Times New Roman"/>
        </w:rPr>
      </w:pPr>
      <w:r>
        <w:rPr>
          <w:rFonts w:ascii="Times New Roman" w:hAnsi="Times New Roman" w:cs="Times New Roman"/>
        </w:rPr>
        <w:t xml:space="preserve">The PFP contemplates </w:t>
      </w:r>
      <w:r w:rsidR="00D66971">
        <w:rPr>
          <w:rFonts w:ascii="Times New Roman" w:hAnsi="Times New Roman" w:cs="Times New Roman"/>
        </w:rPr>
        <w:t>requiring an annual EOP submission by February 15. However, the long-standing cadence for EOP updates has been to submit them on June 1 and December 1 – at the start of the respective peak load seasons. No rationale has been given for the proposed change in deadline, and for entities that have developed compliance calendars around a June 1 EOP update, continuing that deadline would be efficient and not interfere with other compliance activities that also fall in the early- to mid-February timeframe</w:t>
      </w:r>
      <w:r w:rsidR="006C28C9">
        <w:rPr>
          <w:rFonts w:ascii="Times New Roman" w:hAnsi="Times New Roman" w:cs="Times New Roman"/>
        </w:rPr>
        <w:t xml:space="preserve">, </w:t>
      </w:r>
      <w:r w:rsidR="002F750C">
        <w:rPr>
          <w:rFonts w:ascii="Times New Roman" w:hAnsi="Times New Roman" w:cs="Times New Roman"/>
        </w:rPr>
        <w:t xml:space="preserve">a timeframe that </w:t>
      </w:r>
      <w:r w:rsidR="006C28C9">
        <w:rPr>
          <w:rFonts w:ascii="Times New Roman" w:hAnsi="Times New Roman" w:cs="Times New Roman"/>
        </w:rPr>
        <w:t>may also still be subject to EOP activations</w:t>
      </w:r>
      <w:r w:rsidR="00D66971">
        <w:rPr>
          <w:rFonts w:ascii="Times New Roman" w:hAnsi="Times New Roman" w:cs="Times New Roman"/>
        </w:rPr>
        <w:t>.</w:t>
      </w:r>
      <w:r w:rsidR="00D66971">
        <w:rPr>
          <w:rStyle w:val="FootnoteReference"/>
          <w:rFonts w:ascii="Times New Roman" w:hAnsi="Times New Roman" w:cs="Times New Roman"/>
        </w:rPr>
        <w:footnoteReference w:id="6"/>
      </w:r>
      <w:r w:rsidR="00D66971">
        <w:rPr>
          <w:rFonts w:ascii="Times New Roman" w:hAnsi="Times New Roman" w:cs="Times New Roman"/>
        </w:rPr>
        <w:t xml:space="preserve"> </w:t>
      </w:r>
    </w:p>
    <w:p w14:paraId="68DA3B16" w14:textId="618BF7FF" w:rsidR="00912839" w:rsidRDefault="00D41F3B" w:rsidP="00E51397">
      <w:pPr>
        <w:spacing w:after="240" w:line="480" w:lineRule="auto"/>
        <w:ind w:firstLine="720"/>
        <w:jc w:val="both"/>
        <w:rPr>
          <w:rFonts w:ascii="Times New Roman" w:hAnsi="Times New Roman" w:cs="Times New Roman"/>
        </w:rPr>
      </w:pPr>
      <w:r>
        <w:rPr>
          <w:rFonts w:ascii="Times New Roman" w:hAnsi="Times New Roman" w:cs="Times New Roman"/>
        </w:rPr>
        <w:t xml:space="preserve">The PFP </w:t>
      </w:r>
      <w:r w:rsidR="001952A5">
        <w:rPr>
          <w:rFonts w:ascii="Times New Roman" w:hAnsi="Times New Roman" w:cs="Times New Roman"/>
        </w:rPr>
        <w:t xml:space="preserve">also </w:t>
      </w:r>
      <w:r>
        <w:rPr>
          <w:rFonts w:ascii="Times New Roman" w:hAnsi="Times New Roman" w:cs="Times New Roman"/>
        </w:rPr>
        <w:t xml:space="preserve">contemplates potentially material changes, additions, and reorganizations to EOPs compared to the status quo. Whereas EOPs currently represent a compilation of various emergency procedures, </w:t>
      </w:r>
      <w:r w:rsidR="006A56EF">
        <w:rPr>
          <w:rFonts w:ascii="Times New Roman" w:hAnsi="Times New Roman" w:cs="Times New Roman"/>
        </w:rPr>
        <w:t xml:space="preserve">the PFP </w:t>
      </w:r>
      <w:r w:rsidR="0039088D">
        <w:rPr>
          <w:rFonts w:ascii="Times New Roman" w:hAnsi="Times New Roman" w:cs="Times New Roman"/>
        </w:rPr>
        <w:t>c</w:t>
      </w:r>
      <w:r w:rsidR="006A56EF">
        <w:rPr>
          <w:rFonts w:ascii="Times New Roman" w:hAnsi="Times New Roman" w:cs="Times New Roman"/>
        </w:rPr>
        <w:t>ould require a wholesale review of – and in some instances rewriting of</w:t>
      </w:r>
      <w:r w:rsidR="00F155A8">
        <w:rPr>
          <w:rFonts w:ascii="Times New Roman" w:hAnsi="Times New Roman" w:cs="Times New Roman"/>
        </w:rPr>
        <w:t xml:space="preserve"> or complete reorganization of</w:t>
      </w:r>
      <w:r w:rsidR="006A56EF">
        <w:rPr>
          <w:rFonts w:ascii="Times New Roman" w:hAnsi="Times New Roman" w:cs="Times New Roman"/>
        </w:rPr>
        <w:t xml:space="preserve"> – EOP contents. With a final rule in this proceeding not likely completing until March 2022, an April 1, 2022 initial deadline is not practical for an initial compliance filing. </w:t>
      </w:r>
      <w:r w:rsidR="006141FF">
        <w:rPr>
          <w:rFonts w:ascii="Times New Roman" w:hAnsi="Times New Roman" w:cs="Times New Roman"/>
        </w:rPr>
        <w:t>TCPA</w:t>
      </w:r>
      <w:r w:rsidR="006A56EF">
        <w:rPr>
          <w:rFonts w:ascii="Times New Roman" w:hAnsi="Times New Roman" w:cs="Times New Roman"/>
        </w:rPr>
        <w:t xml:space="preserve"> respectfully requests that the Commission instead set the initial </w:t>
      </w:r>
      <w:r w:rsidR="006A56EF">
        <w:rPr>
          <w:rFonts w:ascii="Times New Roman" w:hAnsi="Times New Roman" w:cs="Times New Roman"/>
        </w:rPr>
        <w:lastRenderedPageBreak/>
        <w:t>compliance deadline at the later of June 1 or 120 days from the final order in this rulemaking to allow sufficient compliance time.</w:t>
      </w:r>
    </w:p>
    <w:p w14:paraId="3EA4FEFD" w14:textId="07D43CAA" w:rsidR="00140CC3" w:rsidRPr="00FD23E8" w:rsidRDefault="00140CC3" w:rsidP="00E51397">
      <w:pPr>
        <w:pStyle w:val="ListParagraph"/>
        <w:numPr>
          <w:ilvl w:val="1"/>
          <w:numId w:val="6"/>
        </w:numPr>
        <w:spacing w:after="240"/>
        <w:jc w:val="both"/>
        <w:rPr>
          <w:rFonts w:ascii="Times New Roman" w:hAnsi="Times New Roman" w:cs="Times New Roman"/>
        </w:rPr>
      </w:pPr>
      <w:r w:rsidRPr="00FD23E8">
        <w:rPr>
          <w:rFonts w:ascii="Times New Roman" w:hAnsi="Times New Roman" w:cs="Times New Roman"/>
          <w:b/>
          <w:bCs/>
        </w:rPr>
        <w:t>The summary after-action report requirement should not be required to be on a per-incident basis, and the rule should not presume that changes to the EOP were warranted.</w:t>
      </w:r>
    </w:p>
    <w:p w14:paraId="358BB1FE" w14:textId="77777777" w:rsidR="002F750C" w:rsidRDefault="001952A5" w:rsidP="00EB3AC7">
      <w:pPr>
        <w:spacing w:line="480" w:lineRule="auto"/>
        <w:ind w:firstLine="720"/>
        <w:jc w:val="both"/>
        <w:rPr>
          <w:rFonts w:ascii="Times New Roman" w:hAnsi="Times New Roman" w:cs="Times New Roman"/>
        </w:rPr>
      </w:pPr>
      <w:r>
        <w:rPr>
          <w:rFonts w:ascii="Times New Roman" w:hAnsi="Times New Roman" w:cs="Times New Roman"/>
        </w:rPr>
        <w:t xml:space="preserve">There are a large number of incidents each year that require a PGC or REP to utilize one or more component procedures of its EOP, most of which do not result in anything material to report (e.g., generator may go through its cold weather preparation activities in response to </w:t>
      </w:r>
      <w:r w:rsidR="004070DB">
        <w:rPr>
          <w:rFonts w:ascii="Times New Roman" w:hAnsi="Times New Roman" w:cs="Times New Roman"/>
        </w:rPr>
        <w:t>forecasted low temperatures but not experience any issues</w:t>
      </w:r>
      <w:r w:rsidR="00CF50C6">
        <w:rPr>
          <w:rFonts w:ascii="Times New Roman" w:hAnsi="Times New Roman" w:cs="Times New Roman"/>
        </w:rPr>
        <w:t xml:space="preserve"> or temperatures may not meet the forecast</w:t>
      </w:r>
      <w:r w:rsidR="00F155A8">
        <w:rPr>
          <w:rFonts w:ascii="Times New Roman" w:hAnsi="Times New Roman" w:cs="Times New Roman"/>
        </w:rPr>
        <w:t xml:space="preserve">, or entities </w:t>
      </w:r>
      <w:r w:rsidR="003D0E9C">
        <w:rPr>
          <w:rFonts w:ascii="Times New Roman" w:hAnsi="Times New Roman" w:cs="Times New Roman"/>
        </w:rPr>
        <w:t xml:space="preserve">may </w:t>
      </w:r>
      <w:r w:rsidR="00F155A8">
        <w:rPr>
          <w:rFonts w:ascii="Times New Roman" w:hAnsi="Times New Roman" w:cs="Times New Roman"/>
        </w:rPr>
        <w:t>go through tried and true hurricane procedures</w:t>
      </w:r>
      <w:r w:rsidR="003D0E9C">
        <w:rPr>
          <w:rFonts w:ascii="Times New Roman" w:hAnsi="Times New Roman" w:cs="Times New Roman"/>
        </w:rPr>
        <w:t xml:space="preserve"> multiple times within a year</w:t>
      </w:r>
      <w:r w:rsidR="004070DB">
        <w:rPr>
          <w:rFonts w:ascii="Times New Roman" w:hAnsi="Times New Roman" w:cs="Times New Roman"/>
        </w:rPr>
        <w:t xml:space="preserve">). </w:t>
      </w:r>
    </w:p>
    <w:p w14:paraId="1F0A0471" w14:textId="039B265F" w:rsidR="008B7546" w:rsidRDefault="00BB44D2" w:rsidP="00EB3AC7">
      <w:pPr>
        <w:spacing w:line="480" w:lineRule="auto"/>
        <w:ind w:firstLine="720"/>
        <w:jc w:val="both"/>
        <w:rPr>
          <w:rFonts w:ascii="Times New Roman" w:hAnsi="Times New Roman" w:cs="Times New Roman"/>
        </w:rPr>
      </w:pPr>
      <w:r w:rsidRPr="002F0AC0">
        <w:rPr>
          <w:rFonts w:ascii="Times New Roman" w:hAnsi="Times New Roman" w:cs="Times New Roman"/>
        </w:rPr>
        <w:t>SB 3 does not require the information described by the P</w:t>
      </w:r>
      <w:r w:rsidR="002F750C">
        <w:rPr>
          <w:rFonts w:ascii="Times New Roman" w:hAnsi="Times New Roman" w:cs="Times New Roman"/>
        </w:rPr>
        <w:t>F</w:t>
      </w:r>
      <w:r w:rsidRPr="002F0AC0">
        <w:rPr>
          <w:rFonts w:ascii="Times New Roman" w:hAnsi="Times New Roman" w:cs="Times New Roman"/>
        </w:rPr>
        <w:t xml:space="preserve">P’s subsection (c)(1)(C), </w:t>
      </w:r>
      <w:r w:rsidR="002F750C">
        <w:rPr>
          <w:rFonts w:ascii="Times New Roman" w:hAnsi="Times New Roman" w:cs="Times New Roman"/>
        </w:rPr>
        <w:t xml:space="preserve">and therefore </w:t>
      </w:r>
      <w:r w:rsidRPr="002F0AC0">
        <w:rPr>
          <w:rFonts w:ascii="Times New Roman" w:hAnsi="Times New Roman" w:cs="Times New Roman"/>
        </w:rPr>
        <w:t xml:space="preserve">this </w:t>
      </w:r>
      <w:r w:rsidR="002F750C">
        <w:rPr>
          <w:rFonts w:ascii="Times New Roman" w:hAnsi="Times New Roman" w:cs="Times New Roman"/>
        </w:rPr>
        <w:t xml:space="preserve">provision </w:t>
      </w:r>
      <w:r w:rsidRPr="002F0AC0">
        <w:rPr>
          <w:rFonts w:ascii="Times New Roman" w:hAnsi="Times New Roman" w:cs="Times New Roman"/>
        </w:rPr>
        <w:t>should be removed</w:t>
      </w:r>
      <w:r w:rsidR="008B7546">
        <w:rPr>
          <w:rFonts w:ascii="Times New Roman" w:hAnsi="Times New Roman" w:cs="Times New Roman"/>
        </w:rPr>
        <w:t xml:space="preserve"> from the final rule</w:t>
      </w:r>
      <w:r w:rsidRPr="002F0AC0">
        <w:rPr>
          <w:rFonts w:ascii="Times New Roman" w:hAnsi="Times New Roman" w:cs="Times New Roman"/>
        </w:rPr>
        <w:t xml:space="preserve">. TCPA proposes that the ongoing requirement to update EOPs to capture material changes will adequately address the issue that </w:t>
      </w:r>
      <w:r w:rsidR="008B7546">
        <w:rPr>
          <w:rFonts w:ascii="Times New Roman" w:hAnsi="Times New Roman" w:cs="Times New Roman"/>
        </w:rPr>
        <w:t>the PFP</w:t>
      </w:r>
      <w:r w:rsidR="008B7546" w:rsidRPr="002F0AC0">
        <w:rPr>
          <w:rFonts w:ascii="Times New Roman" w:hAnsi="Times New Roman" w:cs="Times New Roman"/>
        </w:rPr>
        <w:t xml:space="preserve"> </w:t>
      </w:r>
      <w:r w:rsidRPr="002F0AC0">
        <w:rPr>
          <w:rFonts w:ascii="Times New Roman" w:hAnsi="Times New Roman" w:cs="Times New Roman"/>
        </w:rPr>
        <w:t xml:space="preserve">is signaling </w:t>
      </w:r>
      <w:r w:rsidR="008B7546">
        <w:rPr>
          <w:rFonts w:ascii="Times New Roman" w:hAnsi="Times New Roman" w:cs="Times New Roman"/>
        </w:rPr>
        <w:t xml:space="preserve">in proposed </w:t>
      </w:r>
      <w:r w:rsidRPr="002F0AC0">
        <w:rPr>
          <w:rFonts w:ascii="Times New Roman" w:hAnsi="Times New Roman" w:cs="Times New Roman"/>
        </w:rPr>
        <w:t xml:space="preserve">(c)(1)(C), in that entities will necessarily update their EOPs after experiencing an event that requires material revision.  Requiring entities to annually provide a report stating when the entity had to activate its EOP, an after action report, including lessons learned, and an outline of changes the entity made to the EOP </w:t>
      </w:r>
      <w:r w:rsidR="008B7546">
        <w:rPr>
          <w:rFonts w:ascii="Times New Roman" w:hAnsi="Times New Roman" w:cs="Times New Roman"/>
        </w:rPr>
        <w:t>would be</w:t>
      </w:r>
      <w:r w:rsidR="008B7546" w:rsidRPr="002F0AC0">
        <w:rPr>
          <w:rFonts w:ascii="Times New Roman" w:hAnsi="Times New Roman" w:cs="Times New Roman"/>
        </w:rPr>
        <w:t xml:space="preserve"> </w:t>
      </w:r>
      <w:r w:rsidRPr="002F0AC0">
        <w:rPr>
          <w:rFonts w:ascii="Times New Roman" w:hAnsi="Times New Roman" w:cs="Times New Roman"/>
        </w:rPr>
        <w:t>burdensome, misinterpret the use of EOPs, and impl</w:t>
      </w:r>
      <w:r w:rsidR="008B7546">
        <w:rPr>
          <w:rFonts w:ascii="Times New Roman" w:hAnsi="Times New Roman" w:cs="Times New Roman"/>
        </w:rPr>
        <w:t>y</w:t>
      </w:r>
      <w:r w:rsidRPr="002F0AC0">
        <w:rPr>
          <w:rFonts w:ascii="Times New Roman" w:hAnsi="Times New Roman" w:cs="Times New Roman"/>
        </w:rPr>
        <w:t xml:space="preserve"> a requirement that entities must activate their EOP on an annual basis</w:t>
      </w:r>
      <w:r w:rsidR="008B7546">
        <w:rPr>
          <w:rFonts w:ascii="Times New Roman" w:hAnsi="Times New Roman" w:cs="Times New Roman"/>
        </w:rPr>
        <w:t xml:space="preserve"> (as well as make changes as a result)</w:t>
      </w:r>
      <w:r w:rsidRPr="002F0AC0">
        <w:rPr>
          <w:rFonts w:ascii="Times New Roman" w:hAnsi="Times New Roman" w:cs="Times New Roman"/>
        </w:rPr>
        <w:t xml:space="preserve">. </w:t>
      </w:r>
    </w:p>
    <w:p w14:paraId="17F970E5" w14:textId="0F8FF913" w:rsidR="00140CC3" w:rsidRPr="002F750C" w:rsidRDefault="00BB44D2" w:rsidP="00EB3AC7">
      <w:pPr>
        <w:spacing w:line="480" w:lineRule="auto"/>
        <w:ind w:firstLine="720"/>
        <w:jc w:val="both"/>
        <w:rPr>
          <w:rFonts w:ascii="Times New Roman" w:hAnsi="Times New Roman" w:cs="Times New Roman"/>
        </w:rPr>
      </w:pPr>
      <w:r w:rsidRPr="002F0AC0">
        <w:rPr>
          <w:rFonts w:ascii="Times New Roman" w:hAnsi="Times New Roman" w:cs="Times New Roman"/>
        </w:rPr>
        <w:t xml:space="preserve">EOPs </w:t>
      </w:r>
      <w:r w:rsidR="008B7546">
        <w:rPr>
          <w:rFonts w:ascii="Times New Roman" w:hAnsi="Times New Roman" w:cs="Times New Roman"/>
        </w:rPr>
        <w:t xml:space="preserve">may </w:t>
      </w:r>
      <w:r w:rsidRPr="002F0AC0">
        <w:rPr>
          <w:rFonts w:ascii="Times New Roman" w:hAnsi="Times New Roman" w:cs="Times New Roman"/>
        </w:rPr>
        <w:t xml:space="preserve">include procedures for innumerable events – including, pandemics, cyber incidents, physical security incidents, environmental incidents, weather events and other incidents. Every market participant may utilize its EOP differently, deploying portions of the EOP depending on the event and the impact on the operations and personnel of the particular market participant. </w:t>
      </w:r>
      <w:r w:rsidRPr="002F0AC0">
        <w:rPr>
          <w:rFonts w:ascii="Times New Roman" w:hAnsi="Times New Roman" w:cs="Times New Roman"/>
        </w:rPr>
        <w:lastRenderedPageBreak/>
        <w:t xml:space="preserve">A generic requirement that an after action report be submitted to the Commission after every circumstance where an EOP is utilized adds an unnecessary administrative burden on market participants that already face significant administrative regulatory burdens, when there may be little benefit.  If the Commission were to consider such a requirement, it should only </w:t>
      </w:r>
      <w:r w:rsidR="004070DB" w:rsidRPr="002F750C">
        <w:rPr>
          <w:rFonts w:ascii="Times New Roman" w:hAnsi="Times New Roman" w:cs="Times New Roman"/>
        </w:rPr>
        <w:t xml:space="preserve">require a summary report of </w:t>
      </w:r>
      <w:r w:rsidR="00CF50C6" w:rsidRPr="002F750C">
        <w:rPr>
          <w:rFonts w:ascii="Times New Roman" w:hAnsi="Times New Roman" w:cs="Times New Roman"/>
        </w:rPr>
        <w:t xml:space="preserve">each type of </w:t>
      </w:r>
      <w:r w:rsidR="00601E3D" w:rsidRPr="002F750C">
        <w:rPr>
          <w:rFonts w:ascii="Times New Roman" w:hAnsi="Times New Roman" w:cs="Times New Roman"/>
        </w:rPr>
        <w:t>e</w:t>
      </w:r>
      <w:r w:rsidR="00CF50C6" w:rsidRPr="002F750C">
        <w:rPr>
          <w:rFonts w:ascii="Times New Roman" w:hAnsi="Times New Roman" w:cs="Times New Roman"/>
        </w:rPr>
        <w:t xml:space="preserve">mergency including </w:t>
      </w:r>
      <w:r w:rsidR="004070DB" w:rsidRPr="002F750C">
        <w:rPr>
          <w:rFonts w:ascii="Times New Roman" w:hAnsi="Times New Roman" w:cs="Times New Roman"/>
        </w:rPr>
        <w:t>lessons learned</w:t>
      </w:r>
      <w:r w:rsidR="00CF50C6" w:rsidRPr="002F750C">
        <w:rPr>
          <w:rFonts w:ascii="Times New Roman" w:hAnsi="Times New Roman" w:cs="Times New Roman"/>
        </w:rPr>
        <w:t xml:space="preserve"> </w:t>
      </w:r>
      <w:r w:rsidR="004070DB" w:rsidRPr="002F750C">
        <w:rPr>
          <w:rFonts w:ascii="Times New Roman" w:hAnsi="Times New Roman" w:cs="Times New Roman"/>
        </w:rPr>
        <w:t>and any resulting EOP changes, if any, rather than a per-incident report.</w:t>
      </w:r>
    </w:p>
    <w:p w14:paraId="16D0FFE0" w14:textId="37888E9C" w:rsidR="00854451" w:rsidRDefault="00854451" w:rsidP="00E51397">
      <w:pPr>
        <w:pStyle w:val="ListParagraph"/>
        <w:numPr>
          <w:ilvl w:val="1"/>
          <w:numId w:val="6"/>
        </w:numPr>
        <w:spacing w:after="240"/>
        <w:jc w:val="both"/>
        <w:rPr>
          <w:rFonts w:ascii="Times New Roman" w:hAnsi="Times New Roman" w:cs="Times New Roman"/>
          <w:b/>
          <w:bCs/>
        </w:rPr>
      </w:pPr>
      <w:r>
        <w:rPr>
          <w:rFonts w:ascii="Times New Roman" w:hAnsi="Times New Roman" w:cs="Times New Roman"/>
          <w:b/>
          <w:bCs/>
        </w:rPr>
        <w:t>Required updates to EOPs should track statutory requirements requiring a Commission order.</w:t>
      </w:r>
    </w:p>
    <w:p w14:paraId="0D477D87" w14:textId="77777777" w:rsidR="00FE1976" w:rsidRDefault="004070DB" w:rsidP="001952A5">
      <w:pPr>
        <w:spacing w:after="240" w:line="480" w:lineRule="auto"/>
        <w:ind w:firstLine="720"/>
        <w:jc w:val="both"/>
        <w:rPr>
          <w:rFonts w:ascii="Times New Roman" w:hAnsi="Times New Roman" w:cs="Times New Roman"/>
        </w:rPr>
      </w:pPr>
      <w:r>
        <w:rPr>
          <w:rFonts w:ascii="Times New Roman" w:hAnsi="Times New Roman" w:cs="Times New Roman"/>
        </w:rPr>
        <w:t xml:space="preserve">Utilities Code </w:t>
      </w:r>
      <w:r w:rsidR="00854451">
        <w:rPr>
          <w:rFonts w:ascii="Times New Roman" w:hAnsi="Times New Roman" w:cs="Times New Roman"/>
        </w:rPr>
        <w:t xml:space="preserve">186.007(b) specifies that “the commission shall require an </w:t>
      </w:r>
      <w:r w:rsidR="00E21B1E">
        <w:rPr>
          <w:rFonts w:ascii="Times New Roman" w:hAnsi="Times New Roman" w:cs="Times New Roman"/>
        </w:rPr>
        <w:t xml:space="preserve">entity subject to this section to file an updated [EOP] if it finds that an [EOP] on file does not contain adequate information to determine whether the entity can provide adequate electric services.” However, the PFP states that such a finding and requirement may come from Commission Staff. </w:t>
      </w:r>
    </w:p>
    <w:p w14:paraId="38F73EEA" w14:textId="103DCF1E" w:rsidR="00854451" w:rsidRDefault="00E21B1E" w:rsidP="001952A5">
      <w:pPr>
        <w:spacing w:after="240" w:line="480" w:lineRule="auto"/>
        <w:ind w:firstLine="720"/>
        <w:jc w:val="both"/>
        <w:rPr>
          <w:rFonts w:ascii="Times New Roman" w:hAnsi="Times New Roman" w:cs="Times New Roman"/>
        </w:rPr>
      </w:pPr>
      <w:r>
        <w:rPr>
          <w:rFonts w:ascii="Times New Roman" w:hAnsi="Times New Roman" w:cs="Times New Roman"/>
        </w:rPr>
        <w:t xml:space="preserve">While industry and Staff typically engage in productive, collaborative dialogue to address any potential issues, and the overhanging </w:t>
      </w:r>
      <w:r w:rsidR="00854451">
        <w:rPr>
          <w:rFonts w:ascii="Times New Roman" w:hAnsi="Times New Roman" w:cs="Times New Roman"/>
        </w:rPr>
        <w:t xml:space="preserve">threat of Commission action </w:t>
      </w:r>
      <w:r>
        <w:rPr>
          <w:rFonts w:ascii="Times New Roman" w:hAnsi="Times New Roman" w:cs="Times New Roman"/>
        </w:rPr>
        <w:t>always provides added weight to the direction and feedback from Staff to industry</w:t>
      </w:r>
      <w:r w:rsidR="008566AF">
        <w:rPr>
          <w:rFonts w:ascii="Times New Roman" w:hAnsi="Times New Roman" w:cs="Times New Roman"/>
        </w:rPr>
        <w:t xml:space="preserve">, it is important </w:t>
      </w:r>
      <w:r>
        <w:rPr>
          <w:rFonts w:ascii="Times New Roman" w:hAnsi="Times New Roman" w:cs="Times New Roman"/>
        </w:rPr>
        <w:t xml:space="preserve">that entities </w:t>
      </w:r>
      <w:r w:rsidR="008566AF">
        <w:rPr>
          <w:rFonts w:ascii="Times New Roman" w:hAnsi="Times New Roman" w:cs="Times New Roman"/>
        </w:rPr>
        <w:t xml:space="preserve">retain </w:t>
      </w:r>
      <w:r w:rsidR="00FE1976">
        <w:rPr>
          <w:rFonts w:ascii="Times New Roman" w:hAnsi="Times New Roman" w:cs="Times New Roman"/>
        </w:rPr>
        <w:t xml:space="preserve">their </w:t>
      </w:r>
      <w:r w:rsidR="008566AF">
        <w:rPr>
          <w:rFonts w:ascii="Times New Roman" w:hAnsi="Times New Roman" w:cs="Times New Roman"/>
        </w:rPr>
        <w:t xml:space="preserve">procedural rights should </w:t>
      </w:r>
      <w:r w:rsidR="00FE1976">
        <w:rPr>
          <w:rFonts w:ascii="Times New Roman" w:hAnsi="Times New Roman" w:cs="Times New Roman"/>
        </w:rPr>
        <w:t xml:space="preserve">an irreconcilable difference </w:t>
      </w:r>
      <w:r w:rsidR="008566AF">
        <w:rPr>
          <w:rFonts w:ascii="Times New Roman" w:hAnsi="Times New Roman" w:cs="Times New Roman"/>
        </w:rPr>
        <w:t xml:space="preserve">with Staff </w:t>
      </w:r>
      <w:r w:rsidR="00FE1976">
        <w:rPr>
          <w:rFonts w:ascii="Times New Roman" w:hAnsi="Times New Roman" w:cs="Times New Roman"/>
        </w:rPr>
        <w:t xml:space="preserve">arise. In such instances, it is appropriate then that the Commission issue an order, which would presumably allow both Staff and the affected entity to provide briefing on the specific point of disagreement for the Commission to consider. </w:t>
      </w:r>
    </w:p>
    <w:p w14:paraId="2E3F5F92" w14:textId="53286050" w:rsidR="00FE1976" w:rsidRPr="00854451" w:rsidRDefault="00FE1976" w:rsidP="001952A5">
      <w:pPr>
        <w:spacing w:after="240" w:line="480" w:lineRule="auto"/>
        <w:ind w:firstLine="720"/>
        <w:jc w:val="both"/>
        <w:rPr>
          <w:rFonts w:ascii="Times New Roman" w:hAnsi="Times New Roman" w:cs="Times New Roman"/>
        </w:rPr>
      </w:pPr>
      <w:r>
        <w:rPr>
          <w:rFonts w:ascii="Times New Roman" w:hAnsi="Times New Roman" w:cs="Times New Roman"/>
        </w:rPr>
        <w:t>Accordingly, the Commission should revise subparts (c)(4)(A)-(B) to have such determinations come from the Commission, consistent with the statutory language</w:t>
      </w:r>
      <w:r w:rsidR="00E301B4">
        <w:rPr>
          <w:rFonts w:ascii="Times New Roman" w:hAnsi="Times New Roman" w:cs="Times New Roman"/>
        </w:rPr>
        <w:t>, while retaining the ability for Staff to suggest an entity agree to voluntary updates</w:t>
      </w:r>
      <w:r>
        <w:rPr>
          <w:rFonts w:ascii="Times New Roman" w:hAnsi="Times New Roman" w:cs="Times New Roman"/>
        </w:rPr>
        <w:t>.</w:t>
      </w:r>
    </w:p>
    <w:p w14:paraId="690E7B40" w14:textId="7A5F4E99" w:rsidR="00B25A21" w:rsidRPr="00FD23E8" w:rsidRDefault="001C227C" w:rsidP="00E51397">
      <w:pPr>
        <w:pStyle w:val="ListParagraph"/>
        <w:numPr>
          <w:ilvl w:val="1"/>
          <w:numId w:val="6"/>
        </w:numPr>
        <w:spacing w:after="240"/>
        <w:jc w:val="both"/>
        <w:rPr>
          <w:rFonts w:ascii="Times New Roman" w:hAnsi="Times New Roman" w:cs="Times New Roman"/>
          <w:b/>
          <w:bCs/>
        </w:rPr>
      </w:pPr>
      <w:r w:rsidRPr="00FD23E8">
        <w:rPr>
          <w:rFonts w:ascii="Times New Roman" w:hAnsi="Times New Roman" w:cs="Times New Roman"/>
          <w:b/>
          <w:bCs/>
        </w:rPr>
        <w:lastRenderedPageBreak/>
        <w:t xml:space="preserve">EOPs </w:t>
      </w:r>
      <w:r w:rsidR="000B1615" w:rsidRPr="00FD23E8">
        <w:rPr>
          <w:rFonts w:ascii="Times New Roman" w:hAnsi="Times New Roman" w:cs="Times New Roman"/>
          <w:b/>
          <w:bCs/>
        </w:rPr>
        <w:t xml:space="preserve">reflect commercially- and security-sensitive information </w:t>
      </w:r>
      <w:r w:rsidR="00DC1CBE" w:rsidRPr="00FD23E8">
        <w:rPr>
          <w:rFonts w:ascii="Times New Roman" w:hAnsi="Times New Roman" w:cs="Times New Roman"/>
          <w:b/>
          <w:bCs/>
        </w:rPr>
        <w:t xml:space="preserve">that </w:t>
      </w:r>
      <w:r w:rsidRPr="00FD23E8">
        <w:rPr>
          <w:rFonts w:ascii="Times New Roman" w:hAnsi="Times New Roman" w:cs="Times New Roman"/>
          <w:b/>
          <w:bCs/>
        </w:rPr>
        <w:t>should be</w:t>
      </w:r>
      <w:r w:rsidR="000B1615" w:rsidRPr="00FD23E8">
        <w:rPr>
          <w:rFonts w:ascii="Times New Roman" w:hAnsi="Times New Roman" w:cs="Times New Roman"/>
          <w:b/>
          <w:bCs/>
        </w:rPr>
        <w:t xml:space="preserve"> held confidential and protected from disclosure</w:t>
      </w:r>
      <w:r w:rsidR="00684B58" w:rsidRPr="00FD23E8">
        <w:rPr>
          <w:rFonts w:ascii="Times New Roman" w:hAnsi="Times New Roman" w:cs="Times New Roman"/>
          <w:b/>
          <w:bCs/>
        </w:rPr>
        <w:t>.</w:t>
      </w:r>
      <w:r w:rsidR="0095327F" w:rsidRPr="00FD23E8">
        <w:rPr>
          <w:rFonts w:ascii="Times New Roman" w:hAnsi="Times New Roman" w:cs="Times New Roman"/>
          <w:b/>
          <w:bCs/>
        </w:rPr>
        <w:t xml:space="preserve"> </w:t>
      </w:r>
    </w:p>
    <w:p w14:paraId="21134846" w14:textId="55382AC7" w:rsidR="009010BC" w:rsidRPr="00B256BD" w:rsidRDefault="00580715" w:rsidP="00E51397">
      <w:pPr>
        <w:spacing w:line="480" w:lineRule="auto"/>
        <w:jc w:val="both"/>
        <w:rPr>
          <w:rFonts w:ascii="Times New Roman" w:hAnsi="Times New Roman" w:cs="Times New Roman"/>
        </w:rPr>
      </w:pPr>
      <w:r w:rsidRPr="00C36738">
        <w:rPr>
          <w:rFonts w:ascii="Times New Roman" w:hAnsi="Times New Roman" w:cs="Times New Roman"/>
          <w:b/>
          <w:bCs/>
        </w:rPr>
        <w:tab/>
      </w:r>
      <w:r w:rsidR="00CA4476">
        <w:rPr>
          <w:rFonts w:ascii="Times New Roman" w:hAnsi="Times New Roman" w:cs="Times New Roman"/>
        </w:rPr>
        <w:t>Information filed with the Commission is frequently subject to disclosure requests under the Public Information Act</w:t>
      </w:r>
      <w:r w:rsidR="009927A8">
        <w:rPr>
          <w:rFonts w:ascii="Times New Roman" w:hAnsi="Times New Roman" w:cs="Times New Roman"/>
        </w:rPr>
        <w:t xml:space="preserve"> (PIA)</w:t>
      </w:r>
      <w:r w:rsidR="00CA4476">
        <w:rPr>
          <w:rFonts w:ascii="Times New Roman" w:hAnsi="Times New Roman" w:cs="Times New Roman"/>
        </w:rPr>
        <w:t xml:space="preserve">. EOPs currently include significant amounts information deemed confidential for commercial reasons or public safety and national security reasons. </w:t>
      </w:r>
      <w:r w:rsidR="009927A8">
        <w:rPr>
          <w:rFonts w:ascii="Times New Roman" w:hAnsi="Times New Roman" w:cs="Times New Roman"/>
        </w:rPr>
        <w:t xml:space="preserve">While there are legitimate bases for excepting disclosure of information under the PIA, the process is costly and burdensome, requiring briefing the Office of the Attorney General for each PIA exception request. </w:t>
      </w:r>
      <w:r w:rsidR="00CA4476">
        <w:rPr>
          <w:rFonts w:ascii="Times New Roman" w:hAnsi="Times New Roman" w:cs="Times New Roman"/>
        </w:rPr>
        <w:t xml:space="preserve">By requiring EOPs to be filed on an unredacted basis with the Commission, the PFP would </w:t>
      </w:r>
      <w:r w:rsidR="009010BC">
        <w:rPr>
          <w:rFonts w:ascii="Times New Roman" w:hAnsi="Times New Roman" w:cs="Times New Roman"/>
        </w:rPr>
        <w:t xml:space="preserve">put EOPs at risk of disclosure. This </w:t>
      </w:r>
      <w:r w:rsidR="00B256BD">
        <w:rPr>
          <w:rFonts w:ascii="Times New Roman" w:hAnsi="Times New Roman" w:cs="Times New Roman"/>
        </w:rPr>
        <w:t xml:space="preserve">would incentivize </w:t>
      </w:r>
      <w:r w:rsidR="009010BC">
        <w:rPr>
          <w:rFonts w:ascii="Times New Roman" w:hAnsi="Times New Roman" w:cs="Times New Roman"/>
        </w:rPr>
        <w:t xml:space="preserve">entities </w:t>
      </w:r>
      <w:r w:rsidR="00B256BD">
        <w:rPr>
          <w:rFonts w:ascii="Times New Roman" w:hAnsi="Times New Roman" w:cs="Times New Roman"/>
        </w:rPr>
        <w:t xml:space="preserve">to revise </w:t>
      </w:r>
      <w:r w:rsidR="009010BC">
        <w:rPr>
          <w:rFonts w:ascii="Times New Roman" w:hAnsi="Times New Roman" w:cs="Times New Roman"/>
        </w:rPr>
        <w:t>EOPs to minimize inclusion of sensitive information, making the EOP less valuable to the entities, to the Commission, to ERCOT</w:t>
      </w:r>
      <w:r w:rsidR="009927A8">
        <w:rPr>
          <w:rFonts w:ascii="Times New Roman" w:hAnsi="Times New Roman" w:cs="Times New Roman"/>
        </w:rPr>
        <w:t>, and ultimately to the electricity consumers of Texas</w:t>
      </w:r>
      <w:r w:rsidR="009010BC">
        <w:rPr>
          <w:rFonts w:ascii="Times New Roman" w:hAnsi="Times New Roman" w:cs="Times New Roman"/>
        </w:rPr>
        <w:t xml:space="preserve">. </w:t>
      </w:r>
    </w:p>
    <w:p w14:paraId="72352C96" w14:textId="010F5017" w:rsidR="00352E52" w:rsidRDefault="009927A8" w:rsidP="00E51397">
      <w:pPr>
        <w:spacing w:line="480" w:lineRule="auto"/>
        <w:ind w:firstLine="720"/>
        <w:jc w:val="both"/>
        <w:rPr>
          <w:rFonts w:ascii="Times New Roman" w:hAnsi="Times New Roman" w:cs="Times New Roman"/>
        </w:rPr>
      </w:pPr>
      <w:r>
        <w:rPr>
          <w:rFonts w:ascii="Times New Roman" w:hAnsi="Times New Roman" w:cs="Times New Roman"/>
        </w:rPr>
        <w:t xml:space="preserve">This does not mean </w:t>
      </w:r>
      <w:r w:rsidR="00D57C50">
        <w:rPr>
          <w:rFonts w:ascii="Times New Roman" w:hAnsi="Times New Roman" w:cs="Times New Roman"/>
        </w:rPr>
        <w:t xml:space="preserve">abandoning </w:t>
      </w:r>
      <w:r>
        <w:rPr>
          <w:rFonts w:ascii="Times New Roman" w:hAnsi="Times New Roman" w:cs="Times New Roman"/>
        </w:rPr>
        <w:t>the objective of providing greater Commission oversight of EOPs</w:t>
      </w:r>
      <w:r w:rsidR="00D57C50">
        <w:rPr>
          <w:rFonts w:ascii="Times New Roman" w:hAnsi="Times New Roman" w:cs="Times New Roman"/>
        </w:rPr>
        <w:t>, however.</w:t>
      </w:r>
      <w:r>
        <w:rPr>
          <w:rFonts w:ascii="Times New Roman" w:hAnsi="Times New Roman" w:cs="Times New Roman"/>
        </w:rPr>
        <w:t xml:space="preserve"> </w:t>
      </w:r>
      <w:r w:rsidR="009010BC">
        <w:rPr>
          <w:rFonts w:ascii="Times New Roman" w:hAnsi="Times New Roman" w:cs="Times New Roman"/>
        </w:rPr>
        <w:t xml:space="preserve">Notably, the PFP does not propose that ERCOT’s EOP be filed this way with the Commission, but rather that ERCOT must make its EOP “available for review by the commission or the commission’s designee.” </w:t>
      </w:r>
      <w:r w:rsidR="006141FF">
        <w:rPr>
          <w:rFonts w:ascii="Times New Roman" w:hAnsi="Times New Roman" w:cs="Times New Roman"/>
        </w:rPr>
        <w:t>TCPA</w:t>
      </w:r>
      <w:r w:rsidR="009010BC">
        <w:rPr>
          <w:rFonts w:ascii="Times New Roman" w:hAnsi="Times New Roman" w:cs="Times New Roman"/>
        </w:rPr>
        <w:t xml:space="preserve"> respectfully suggests that this is a better model for ensuring the Commission’s visibility into entities’ EOPs while helping to manage public disclosure risks. </w:t>
      </w:r>
    </w:p>
    <w:p w14:paraId="0BAE98BD" w14:textId="77777777" w:rsidR="00352E52" w:rsidRDefault="00D57C50" w:rsidP="00E51397">
      <w:pPr>
        <w:spacing w:line="480" w:lineRule="auto"/>
        <w:ind w:firstLine="720"/>
        <w:jc w:val="both"/>
        <w:rPr>
          <w:rFonts w:ascii="Times New Roman" w:hAnsi="Times New Roman" w:cs="Times New Roman"/>
        </w:rPr>
      </w:pPr>
      <w:r>
        <w:rPr>
          <w:rFonts w:ascii="Times New Roman" w:hAnsi="Times New Roman" w:cs="Times New Roman"/>
        </w:rPr>
        <w:t xml:space="preserve">Specifically, ERCOT currently requires that Resources (which is a broader term than just generators) </w:t>
      </w:r>
      <w:r w:rsidR="0095439D">
        <w:rPr>
          <w:rFonts w:ascii="Times New Roman" w:hAnsi="Times New Roman" w:cs="Times New Roman"/>
        </w:rPr>
        <w:t>provide their full EOPs</w:t>
      </w:r>
      <w:r>
        <w:rPr>
          <w:rFonts w:ascii="Times New Roman" w:hAnsi="Times New Roman" w:cs="Times New Roman"/>
        </w:rPr>
        <w:t xml:space="preserve"> </w:t>
      </w:r>
      <w:r w:rsidR="0095439D">
        <w:rPr>
          <w:rFonts w:ascii="Times New Roman" w:hAnsi="Times New Roman" w:cs="Times New Roman"/>
        </w:rPr>
        <w:t>to ERCOT,</w:t>
      </w:r>
      <w:r w:rsidR="0095439D">
        <w:rPr>
          <w:rStyle w:val="FootnoteReference"/>
          <w:rFonts w:ascii="Times New Roman" w:hAnsi="Times New Roman" w:cs="Times New Roman"/>
        </w:rPr>
        <w:footnoteReference w:id="7"/>
      </w:r>
      <w:r w:rsidR="0095439D">
        <w:rPr>
          <w:rFonts w:ascii="Times New Roman" w:hAnsi="Times New Roman" w:cs="Times New Roman"/>
        </w:rPr>
        <w:t xml:space="preserve"> which is considered both protected information</w:t>
      </w:r>
      <w:r w:rsidR="0095439D">
        <w:rPr>
          <w:rStyle w:val="FootnoteReference"/>
          <w:rFonts w:ascii="Times New Roman" w:hAnsi="Times New Roman" w:cs="Times New Roman"/>
        </w:rPr>
        <w:footnoteReference w:id="8"/>
      </w:r>
      <w:r w:rsidR="0095439D">
        <w:rPr>
          <w:rFonts w:ascii="Times New Roman" w:hAnsi="Times New Roman" w:cs="Times New Roman"/>
        </w:rPr>
        <w:t xml:space="preserve"> and ERCOT Critical Energy Infrastructure Information</w:t>
      </w:r>
      <w:r w:rsidR="006C556C">
        <w:rPr>
          <w:rFonts w:ascii="Times New Roman" w:hAnsi="Times New Roman" w:cs="Times New Roman"/>
        </w:rPr>
        <w:t>, and generally protected from disclosure</w:t>
      </w:r>
      <w:r w:rsidR="0095439D">
        <w:rPr>
          <w:rFonts w:ascii="Times New Roman" w:hAnsi="Times New Roman" w:cs="Times New Roman"/>
        </w:rPr>
        <w:t>.</w:t>
      </w:r>
      <w:r w:rsidR="0095439D">
        <w:rPr>
          <w:rStyle w:val="FootnoteReference"/>
          <w:rFonts w:ascii="Times New Roman" w:hAnsi="Times New Roman" w:cs="Times New Roman"/>
        </w:rPr>
        <w:footnoteReference w:id="9"/>
      </w:r>
      <w:r w:rsidR="006C556C">
        <w:rPr>
          <w:rFonts w:ascii="Times New Roman" w:hAnsi="Times New Roman" w:cs="Times New Roman"/>
        </w:rPr>
        <w:t xml:space="preserve"> Under 16 TAC § 25.362(e), this information is generally protected from </w:t>
      </w:r>
      <w:r w:rsidR="00E11DEE">
        <w:rPr>
          <w:rFonts w:ascii="Times New Roman" w:hAnsi="Times New Roman" w:cs="Times New Roman"/>
        </w:rPr>
        <w:t xml:space="preserve">direct </w:t>
      </w:r>
      <w:r w:rsidR="006C556C">
        <w:rPr>
          <w:rFonts w:ascii="Times New Roman" w:hAnsi="Times New Roman" w:cs="Times New Roman"/>
        </w:rPr>
        <w:t xml:space="preserve">public disclosure </w:t>
      </w:r>
      <w:r w:rsidR="006C556C">
        <w:rPr>
          <w:rFonts w:ascii="Times New Roman" w:hAnsi="Times New Roman" w:cs="Times New Roman"/>
        </w:rPr>
        <w:lastRenderedPageBreak/>
        <w:t xml:space="preserve">under the PIA, </w:t>
      </w:r>
      <w:r w:rsidR="00E11DEE">
        <w:rPr>
          <w:rFonts w:ascii="Times New Roman" w:hAnsi="Times New Roman" w:cs="Times New Roman"/>
        </w:rPr>
        <w:t xml:space="preserve">though the </w:t>
      </w:r>
      <w:r w:rsidR="006C556C">
        <w:rPr>
          <w:rFonts w:ascii="Times New Roman" w:hAnsi="Times New Roman" w:cs="Times New Roman"/>
        </w:rPr>
        <w:t xml:space="preserve">Commission </w:t>
      </w:r>
      <w:r w:rsidR="00E11DEE">
        <w:rPr>
          <w:rFonts w:ascii="Times New Roman" w:hAnsi="Times New Roman" w:cs="Times New Roman"/>
        </w:rPr>
        <w:t xml:space="preserve">may still make a public disclosure </w:t>
      </w:r>
      <w:r w:rsidR="006C556C">
        <w:rPr>
          <w:rFonts w:ascii="Times New Roman" w:hAnsi="Times New Roman" w:cs="Times New Roman"/>
        </w:rPr>
        <w:t xml:space="preserve">determination </w:t>
      </w:r>
      <w:r w:rsidR="00E11DEE">
        <w:rPr>
          <w:rFonts w:ascii="Times New Roman" w:hAnsi="Times New Roman" w:cs="Times New Roman"/>
        </w:rPr>
        <w:t xml:space="preserve">in absence of a PIA request </w:t>
      </w:r>
      <w:r w:rsidR="006C556C">
        <w:rPr>
          <w:rFonts w:ascii="Times New Roman" w:hAnsi="Times New Roman" w:cs="Times New Roman"/>
        </w:rPr>
        <w:t xml:space="preserve">after a </w:t>
      </w:r>
      <w:r w:rsidR="00E11DEE">
        <w:rPr>
          <w:rFonts w:ascii="Times New Roman" w:hAnsi="Times New Roman" w:cs="Times New Roman"/>
        </w:rPr>
        <w:t xml:space="preserve">Staff request and opportunity for </w:t>
      </w:r>
      <w:r w:rsidR="006C556C">
        <w:rPr>
          <w:rFonts w:ascii="Times New Roman" w:hAnsi="Times New Roman" w:cs="Times New Roman"/>
        </w:rPr>
        <w:t>contested case proceeding</w:t>
      </w:r>
      <w:r w:rsidR="00E11DEE">
        <w:rPr>
          <w:rFonts w:ascii="Times New Roman" w:hAnsi="Times New Roman" w:cs="Times New Roman"/>
        </w:rPr>
        <w:t xml:space="preserve"> to evaluate claims of confidentiality</w:t>
      </w:r>
      <w:r w:rsidR="006C556C">
        <w:rPr>
          <w:rFonts w:ascii="Times New Roman" w:hAnsi="Times New Roman" w:cs="Times New Roman"/>
        </w:rPr>
        <w:t>.</w:t>
      </w:r>
      <w:r w:rsidR="00352E52">
        <w:rPr>
          <w:rFonts w:ascii="Times New Roman" w:hAnsi="Times New Roman" w:cs="Times New Roman"/>
        </w:rPr>
        <w:t xml:space="preserve"> </w:t>
      </w:r>
    </w:p>
    <w:p w14:paraId="07A523F7" w14:textId="31B648F3" w:rsidR="00B256BD" w:rsidRDefault="00352E52" w:rsidP="00E51397">
      <w:pPr>
        <w:spacing w:line="480" w:lineRule="auto"/>
        <w:ind w:firstLine="720"/>
        <w:jc w:val="both"/>
        <w:rPr>
          <w:rFonts w:ascii="Times New Roman" w:hAnsi="Times New Roman" w:cs="Times New Roman"/>
        </w:rPr>
      </w:pPr>
      <w:r>
        <w:rPr>
          <w:rFonts w:ascii="Times New Roman" w:hAnsi="Times New Roman" w:cs="Times New Roman"/>
        </w:rPr>
        <w:t xml:space="preserve">This approach represents a better balance of Commission access with protection of confidential information. </w:t>
      </w:r>
      <w:r w:rsidR="00B256BD">
        <w:rPr>
          <w:rFonts w:ascii="Times New Roman" w:hAnsi="Times New Roman" w:cs="Times New Roman"/>
        </w:rPr>
        <w:t xml:space="preserve">It is also wholly consistent with SB 3. While SB 3 did specify that EOPs submitted </w:t>
      </w:r>
      <w:r w:rsidR="00B256BD" w:rsidRPr="00B256BD">
        <w:rPr>
          <w:rFonts w:ascii="Times New Roman" w:hAnsi="Times New Roman" w:cs="Times New Roman"/>
        </w:rPr>
        <w:t xml:space="preserve">for </w:t>
      </w:r>
      <w:r w:rsidR="00B256BD">
        <w:rPr>
          <w:rFonts w:ascii="Times New Roman" w:hAnsi="Times New Roman" w:cs="Times New Roman"/>
        </w:rPr>
        <w:t xml:space="preserve">the </w:t>
      </w:r>
      <w:r w:rsidR="00B256BD" w:rsidRPr="00B256BD">
        <w:rPr>
          <w:rFonts w:ascii="Times New Roman" w:hAnsi="Times New Roman" w:cs="Times New Roman"/>
        </w:rPr>
        <w:t>report</w:t>
      </w:r>
      <w:r w:rsidR="00B256BD">
        <w:rPr>
          <w:rFonts w:ascii="Times New Roman" w:hAnsi="Times New Roman" w:cs="Times New Roman"/>
        </w:rPr>
        <w:t xml:space="preserve"> required by Utilities Code Section 186.007(a-1) be deemed public information, it also specifically notes that information deemed confidential by Government Code Ch. 552 or other state or federal law is protected and may be redacted from the filing with the Commission, while the EOP must be submitted to ERCOT in its entirety.</w:t>
      </w:r>
      <w:r w:rsidR="00163C20">
        <w:rPr>
          <w:rStyle w:val="FootnoteReference"/>
          <w:rFonts w:ascii="Times New Roman" w:hAnsi="Times New Roman" w:cs="Times New Roman"/>
        </w:rPr>
        <w:footnoteReference w:id="10"/>
      </w:r>
      <w:r w:rsidR="00163C20">
        <w:rPr>
          <w:rFonts w:ascii="Times New Roman" w:hAnsi="Times New Roman" w:cs="Times New Roman"/>
        </w:rPr>
        <w:t xml:space="preserve"> </w:t>
      </w:r>
    </w:p>
    <w:p w14:paraId="419B496A" w14:textId="6E62AD35" w:rsidR="00F3627A" w:rsidRDefault="00352E52" w:rsidP="00E51397">
      <w:pPr>
        <w:spacing w:line="480" w:lineRule="auto"/>
        <w:ind w:firstLine="720"/>
        <w:jc w:val="both"/>
        <w:rPr>
          <w:rFonts w:ascii="Times New Roman" w:hAnsi="Times New Roman" w:cs="Times New Roman"/>
        </w:rPr>
      </w:pPr>
      <w:r>
        <w:rPr>
          <w:rFonts w:ascii="Times New Roman" w:hAnsi="Times New Roman" w:cs="Times New Roman"/>
        </w:rPr>
        <w:t xml:space="preserve">Accordingly, the Commission should modify the PFP’s filing requirements to require all entities </w:t>
      </w:r>
      <w:r w:rsidR="00D016E7">
        <w:rPr>
          <w:rFonts w:ascii="Times New Roman" w:hAnsi="Times New Roman" w:cs="Times New Roman"/>
        </w:rPr>
        <w:t xml:space="preserve">with operations within the ERCOT power region </w:t>
      </w:r>
      <w:r>
        <w:rPr>
          <w:rFonts w:ascii="Times New Roman" w:hAnsi="Times New Roman" w:cs="Times New Roman"/>
        </w:rPr>
        <w:t xml:space="preserve">to file their EOPs with ERCOT and for ERCOT to extend the same Protected Information treatment to those EOPs while providing </w:t>
      </w:r>
      <w:r w:rsidR="00C8319F">
        <w:rPr>
          <w:rFonts w:ascii="Times New Roman" w:hAnsi="Times New Roman" w:cs="Times New Roman"/>
        </w:rPr>
        <w:t>access to the Commission</w:t>
      </w:r>
      <w:r w:rsidR="008566AF">
        <w:rPr>
          <w:rFonts w:ascii="Times New Roman" w:hAnsi="Times New Roman" w:cs="Times New Roman"/>
        </w:rPr>
        <w:t xml:space="preserve">. </w:t>
      </w:r>
      <w:r w:rsidR="00D016E7">
        <w:rPr>
          <w:rFonts w:ascii="Times New Roman" w:hAnsi="Times New Roman" w:cs="Times New Roman"/>
        </w:rPr>
        <w:t>TCPA is not making recommendations for entities with operations outside of the ERCOT power region, so the redline below is only intended to show how TCPA’s recommendation for entities operating within ERCOT could be weaved into the PFP language.</w:t>
      </w:r>
    </w:p>
    <w:p w14:paraId="4D784DA9" w14:textId="29F49049" w:rsidR="00DA5B87" w:rsidRPr="00FD23E8" w:rsidRDefault="00DA5B87" w:rsidP="00E51397">
      <w:pPr>
        <w:pStyle w:val="ListParagraph"/>
        <w:numPr>
          <w:ilvl w:val="1"/>
          <w:numId w:val="6"/>
        </w:numPr>
        <w:spacing w:after="240"/>
        <w:jc w:val="both"/>
        <w:rPr>
          <w:rFonts w:ascii="Times New Roman" w:hAnsi="Times New Roman" w:cs="Times New Roman"/>
          <w:b/>
          <w:bCs/>
        </w:rPr>
      </w:pPr>
      <w:r>
        <w:rPr>
          <w:rFonts w:ascii="Times New Roman" w:hAnsi="Times New Roman" w:cs="Times New Roman"/>
          <w:b/>
          <w:bCs/>
        </w:rPr>
        <w:t>Consolidated redlines</w:t>
      </w:r>
      <w:r w:rsidRPr="00FD23E8">
        <w:rPr>
          <w:rFonts w:ascii="Times New Roman" w:hAnsi="Times New Roman" w:cs="Times New Roman"/>
          <w:b/>
          <w:bCs/>
        </w:rPr>
        <w:t xml:space="preserve"> </w:t>
      </w:r>
    </w:p>
    <w:p w14:paraId="21E63CB2" w14:textId="27559BE0" w:rsidR="00296296" w:rsidRDefault="008566AF" w:rsidP="00E51397">
      <w:pPr>
        <w:spacing w:line="480" w:lineRule="auto"/>
        <w:ind w:firstLine="720"/>
        <w:jc w:val="both"/>
        <w:rPr>
          <w:rFonts w:ascii="Times New Roman" w:hAnsi="Times New Roman" w:cs="Times New Roman"/>
        </w:rPr>
      </w:pPr>
      <w:r>
        <w:rPr>
          <w:rFonts w:ascii="Times New Roman" w:hAnsi="Times New Roman" w:cs="Times New Roman"/>
        </w:rPr>
        <w:t>Below reflects the summation of recommended modifications to the PFP language</w:t>
      </w:r>
      <w:r w:rsidR="00DA5B87">
        <w:rPr>
          <w:rFonts w:ascii="Times New Roman" w:hAnsi="Times New Roman" w:cs="Times New Roman"/>
        </w:rPr>
        <w:t xml:space="preserve"> based on (1) – (4) above. Note that </w:t>
      </w:r>
      <w:r w:rsidR="00D016E7">
        <w:rPr>
          <w:rFonts w:ascii="Times New Roman" w:hAnsi="Times New Roman" w:cs="Times New Roman"/>
        </w:rPr>
        <w:t xml:space="preserve">the </w:t>
      </w:r>
      <w:r w:rsidR="00DA5B87">
        <w:rPr>
          <w:rFonts w:ascii="Times New Roman" w:hAnsi="Times New Roman" w:cs="Times New Roman"/>
        </w:rPr>
        <w:t xml:space="preserve">PFP skipped over (c)(2), </w:t>
      </w:r>
      <w:r w:rsidR="00D016E7">
        <w:rPr>
          <w:rFonts w:ascii="Times New Roman" w:hAnsi="Times New Roman" w:cs="Times New Roman"/>
        </w:rPr>
        <w:t xml:space="preserve">so </w:t>
      </w:r>
      <w:r w:rsidR="00DA5B87">
        <w:rPr>
          <w:rFonts w:ascii="Times New Roman" w:hAnsi="Times New Roman" w:cs="Times New Roman"/>
        </w:rPr>
        <w:t xml:space="preserve">the redlines below </w:t>
      </w:r>
      <w:r w:rsidR="00D016E7">
        <w:rPr>
          <w:rFonts w:ascii="Times New Roman" w:hAnsi="Times New Roman" w:cs="Times New Roman"/>
        </w:rPr>
        <w:t xml:space="preserve">reflect </w:t>
      </w:r>
      <w:r w:rsidR="00DA5B87">
        <w:rPr>
          <w:rFonts w:ascii="Times New Roman" w:hAnsi="Times New Roman" w:cs="Times New Roman"/>
        </w:rPr>
        <w:t>that correction</w:t>
      </w:r>
      <w:r>
        <w:rPr>
          <w:rFonts w:ascii="Times New Roman" w:hAnsi="Times New Roman" w:cs="Times New Roman"/>
        </w:rPr>
        <w:t>:</w:t>
      </w:r>
    </w:p>
    <w:p w14:paraId="39580EBA" w14:textId="77777777" w:rsidR="00CA4476" w:rsidRPr="00CA4476" w:rsidRDefault="000D0AA0" w:rsidP="00E51397">
      <w:pPr>
        <w:pStyle w:val="ListParagraph"/>
        <w:numPr>
          <w:ilvl w:val="0"/>
          <w:numId w:val="5"/>
        </w:numPr>
        <w:spacing w:after="240"/>
        <w:jc w:val="both"/>
        <w:rPr>
          <w:rFonts w:ascii="Times New Roman" w:hAnsi="Times New Roman" w:cs="Times New Roman"/>
        </w:rPr>
      </w:pPr>
      <w:bookmarkStart w:id="5" w:name="_Hlk91932944"/>
      <w:r>
        <w:rPr>
          <w:rFonts w:ascii="Times New Roman" w:hAnsi="Times New Roman" w:cs="Times New Roman"/>
        </w:rPr>
        <w:t>(</w:t>
      </w:r>
      <w:r w:rsidR="00CA4476">
        <w:rPr>
          <w:rFonts w:ascii="Times New Roman" w:hAnsi="Times New Roman" w:cs="Times New Roman"/>
        </w:rPr>
        <w:t>c</w:t>
      </w:r>
      <w:r>
        <w:rPr>
          <w:rFonts w:ascii="Times New Roman" w:hAnsi="Times New Roman" w:cs="Times New Roman"/>
        </w:rPr>
        <w:t xml:space="preserve">) </w:t>
      </w:r>
      <w:r w:rsidR="00CA4476">
        <w:rPr>
          <w:rFonts w:ascii="Times New Roman" w:hAnsi="Times New Roman" w:cs="Times New Roman"/>
          <w:b/>
          <w:bCs/>
        </w:rPr>
        <w:t>Filing requirements.</w:t>
      </w:r>
    </w:p>
    <w:p w14:paraId="46047DD3" w14:textId="6F4CF9C0" w:rsidR="000D0AA0" w:rsidRDefault="00CA4476" w:rsidP="00E51397">
      <w:pPr>
        <w:pStyle w:val="ListParagraph"/>
        <w:numPr>
          <w:ilvl w:val="1"/>
          <w:numId w:val="5"/>
        </w:numPr>
        <w:spacing w:after="240"/>
        <w:jc w:val="both"/>
        <w:rPr>
          <w:rFonts w:ascii="Times New Roman" w:hAnsi="Times New Roman" w:cs="Times New Roman"/>
        </w:rPr>
      </w:pPr>
      <w:r w:rsidRPr="00CA4476">
        <w:rPr>
          <w:rFonts w:ascii="Times New Roman" w:hAnsi="Times New Roman" w:cs="Times New Roman"/>
        </w:rPr>
        <w:t xml:space="preserve">An entity must </w:t>
      </w:r>
      <w:r w:rsidR="00163C20" w:rsidRPr="00163C20">
        <w:rPr>
          <w:rFonts w:ascii="Times New Roman" w:hAnsi="Times New Roman" w:cs="Times New Roman"/>
        </w:rPr>
        <w:t xml:space="preserve">file </w:t>
      </w:r>
      <w:r w:rsidRPr="00CA4476">
        <w:rPr>
          <w:rFonts w:ascii="Times New Roman" w:hAnsi="Times New Roman" w:cs="Times New Roman"/>
        </w:rPr>
        <w:t xml:space="preserve">an EOP under this section by </w:t>
      </w:r>
      <w:r w:rsidRPr="00CE1254">
        <w:rPr>
          <w:rFonts w:ascii="Times New Roman" w:hAnsi="Times New Roman" w:cs="Times New Roman"/>
          <w:strike/>
          <w:color w:val="FF0000"/>
        </w:rPr>
        <w:t>April</w:t>
      </w:r>
      <w:r w:rsidRPr="00CE1254">
        <w:rPr>
          <w:rFonts w:ascii="Times New Roman" w:hAnsi="Times New Roman" w:cs="Times New Roman"/>
          <w:color w:val="FF0000"/>
        </w:rPr>
        <w:t xml:space="preserve"> </w:t>
      </w:r>
      <w:r w:rsidR="00CE1254">
        <w:rPr>
          <w:rFonts w:ascii="Times New Roman" w:hAnsi="Times New Roman" w:cs="Times New Roman"/>
          <w:color w:val="FF0000"/>
          <w:u w:val="single"/>
        </w:rPr>
        <w:t xml:space="preserve">June </w:t>
      </w:r>
      <w:r w:rsidRPr="00CA4476">
        <w:rPr>
          <w:rFonts w:ascii="Times New Roman" w:hAnsi="Times New Roman" w:cs="Times New Roman"/>
        </w:rPr>
        <w:t>1, 2022</w:t>
      </w:r>
      <w:r w:rsidR="00CE1254">
        <w:rPr>
          <w:rFonts w:ascii="Times New Roman" w:hAnsi="Times New Roman" w:cs="Times New Roman"/>
          <w:color w:val="FF0000"/>
          <w:u w:val="single"/>
        </w:rPr>
        <w:t xml:space="preserve"> </w:t>
      </w:r>
      <w:bookmarkStart w:id="6" w:name="_Hlk91926313"/>
      <w:r w:rsidR="00CE1254">
        <w:rPr>
          <w:rFonts w:ascii="Times New Roman" w:hAnsi="Times New Roman" w:cs="Times New Roman"/>
          <w:color w:val="FF0000"/>
          <w:u w:val="single"/>
        </w:rPr>
        <w:t>or 120 days after the final order in Project No. 51841, whichever is later</w:t>
      </w:r>
      <w:bookmarkEnd w:id="6"/>
      <w:r w:rsidRPr="00CA4476">
        <w:rPr>
          <w:rFonts w:ascii="Times New Roman" w:hAnsi="Times New Roman" w:cs="Times New Roman"/>
        </w:rPr>
        <w:t xml:space="preserve">. Beginning in 2023, an </w:t>
      </w:r>
      <w:r w:rsidRPr="00C8319F">
        <w:rPr>
          <w:rFonts w:ascii="Times New Roman" w:hAnsi="Times New Roman" w:cs="Times New Roman"/>
        </w:rPr>
        <w:t xml:space="preserve">entity must annually </w:t>
      </w:r>
      <w:r w:rsidR="00163C20" w:rsidRPr="00163C20">
        <w:rPr>
          <w:rFonts w:ascii="Times New Roman" w:hAnsi="Times New Roman" w:cs="Times New Roman"/>
        </w:rPr>
        <w:t xml:space="preserve">file </w:t>
      </w:r>
      <w:r w:rsidRPr="00C8319F">
        <w:rPr>
          <w:rFonts w:ascii="Times New Roman" w:hAnsi="Times New Roman" w:cs="Times New Roman"/>
        </w:rPr>
        <w:t xml:space="preserve">an EOP no later than </w:t>
      </w:r>
      <w:r w:rsidRPr="00CE1254">
        <w:rPr>
          <w:rFonts w:ascii="Times New Roman" w:hAnsi="Times New Roman" w:cs="Times New Roman"/>
          <w:strike/>
          <w:color w:val="FF0000"/>
        </w:rPr>
        <w:t>February 15</w:t>
      </w:r>
      <w:r w:rsidRPr="00CE1254">
        <w:rPr>
          <w:rFonts w:ascii="Times New Roman" w:hAnsi="Times New Roman" w:cs="Times New Roman"/>
          <w:color w:val="FF0000"/>
        </w:rPr>
        <w:t xml:space="preserve"> </w:t>
      </w:r>
      <w:r w:rsidR="00CE1254">
        <w:rPr>
          <w:rFonts w:ascii="Times New Roman" w:hAnsi="Times New Roman" w:cs="Times New Roman"/>
          <w:color w:val="FF0000"/>
          <w:u w:val="single"/>
        </w:rPr>
        <w:t xml:space="preserve">June 1 </w:t>
      </w:r>
      <w:r w:rsidRPr="00C8319F">
        <w:rPr>
          <w:rFonts w:ascii="Times New Roman" w:hAnsi="Times New Roman" w:cs="Times New Roman"/>
        </w:rPr>
        <w:t>in the manner prescribed by the commission</w:t>
      </w:r>
      <w:r w:rsidR="000D0AA0" w:rsidRPr="00595A68">
        <w:rPr>
          <w:rFonts w:ascii="Times New Roman" w:hAnsi="Times New Roman" w:cs="Times New Roman"/>
        </w:rPr>
        <w:t>.</w:t>
      </w:r>
    </w:p>
    <w:p w14:paraId="2C4582EE" w14:textId="36305560" w:rsidR="00C8319F" w:rsidRDefault="00C8319F" w:rsidP="00E51397">
      <w:pPr>
        <w:pStyle w:val="ListParagraph"/>
        <w:numPr>
          <w:ilvl w:val="2"/>
          <w:numId w:val="5"/>
        </w:numPr>
        <w:spacing w:after="240"/>
        <w:ind w:left="2430" w:hanging="450"/>
        <w:jc w:val="both"/>
        <w:rPr>
          <w:rFonts w:ascii="Times New Roman" w:hAnsi="Times New Roman" w:cs="Times New Roman"/>
        </w:rPr>
      </w:pPr>
      <w:r w:rsidRPr="00C8319F">
        <w:rPr>
          <w:rFonts w:ascii="Times New Roman" w:hAnsi="Times New Roman" w:cs="Times New Roman"/>
        </w:rPr>
        <w:lastRenderedPageBreak/>
        <w:t xml:space="preserve">An entity </w:t>
      </w:r>
      <w:r w:rsidR="00CE1254" w:rsidRPr="00CE1254">
        <w:rPr>
          <w:rFonts w:ascii="Times New Roman" w:hAnsi="Times New Roman" w:cs="Times New Roman"/>
          <w:color w:val="FF0000"/>
          <w:u w:val="single"/>
        </w:rPr>
        <w:t xml:space="preserve">with operations </w:t>
      </w:r>
      <w:r w:rsidR="00CE1254">
        <w:rPr>
          <w:rFonts w:ascii="Times New Roman" w:hAnsi="Times New Roman" w:cs="Times New Roman"/>
          <w:color w:val="FF0000"/>
          <w:u w:val="single"/>
        </w:rPr>
        <w:t>outside</w:t>
      </w:r>
      <w:r w:rsidR="00CE1254" w:rsidRPr="00CE1254">
        <w:rPr>
          <w:rFonts w:ascii="Times New Roman" w:hAnsi="Times New Roman" w:cs="Times New Roman"/>
          <w:color w:val="FF0000"/>
          <w:u w:val="single"/>
        </w:rPr>
        <w:t xml:space="preserve"> the ERCOT power region </w:t>
      </w:r>
      <w:r w:rsidRPr="00C8319F">
        <w:rPr>
          <w:rFonts w:ascii="Times New Roman" w:hAnsi="Times New Roman" w:cs="Times New Roman"/>
        </w:rPr>
        <w:t xml:space="preserve">must file with the commission its </w:t>
      </w:r>
      <w:r w:rsidRPr="00CE1254">
        <w:rPr>
          <w:rFonts w:ascii="Times New Roman" w:hAnsi="Times New Roman" w:cs="Times New Roman"/>
        </w:rPr>
        <w:t xml:space="preserve">unredacted </w:t>
      </w:r>
      <w:r w:rsidRPr="00C8319F">
        <w:rPr>
          <w:rFonts w:ascii="Times New Roman" w:hAnsi="Times New Roman" w:cs="Times New Roman"/>
        </w:rPr>
        <w:t xml:space="preserve">EOP </w:t>
      </w:r>
      <w:r w:rsidRPr="00CE1254">
        <w:rPr>
          <w:rFonts w:ascii="Times New Roman" w:hAnsi="Times New Roman" w:cs="Times New Roman"/>
        </w:rPr>
        <w:t>in its entirety and a public, redacted EOP</w:t>
      </w:r>
      <w:r>
        <w:rPr>
          <w:rFonts w:ascii="Times New Roman" w:hAnsi="Times New Roman" w:cs="Times New Roman"/>
        </w:rPr>
        <w:t>.</w:t>
      </w:r>
    </w:p>
    <w:p w14:paraId="0ED7BD4C" w14:textId="3B069B56" w:rsidR="00C8319F" w:rsidRDefault="00C8319F" w:rsidP="00E51397">
      <w:pPr>
        <w:pStyle w:val="ListParagraph"/>
        <w:numPr>
          <w:ilvl w:val="2"/>
          <w:numId w:val="5"/>
        </w:numPr>
        <w:spacing w:after="240"/>
        <w:ind w:left="2430" w:hanging="450"/>
        <w:jc w:val="both"/>
        <w:rPr>
          <w:rFonts w:ascii="Times New Roman" w:hAnsi="Times New Roman" w:cs="Times New Roman"/>
        </w:rPr>
      </w:pPr>
      <w:r w:rsidRPr="00C8319F">
        <w:rPr>
          <w:rFonts w:ascii="Times New Roman" w:hAnsi="Times New Roman" w:cs="Times New Roman"/>
        </w:rPr>
        <w:t>For an entity with operations within the ERCOT power region, the entity must submit its unredacted EOP in its entirety to ERCOT</w:t>
      </w:r>
      <w:r w:rsidR="00996CA9">
        <w:rPr>
          <w:rFonts w:ascii="Times New Roman" w:hAnsi="Times New Roman" w:cs="Times New Roman"/>
          <w:color w:val="FF0000"/>
          <w:u w:val="single"/>
        </w:rPr>
        <w:t xml:space="preserve"> and must file with the commission a </w:t>
      </w:r>
      <w:r w:rsidR="00163C20">
        <w:rPr>
          <w:rFonts w:ascii="Times New Roman" w:hAnsi="Times New Roman" w:cs="Times New Roman"/>
          <w:color w:val="FF0000"/>
          <w:u w:val="single"/>
        </w:rPr>
        <w:t xml:space="preserve">copy </w:t>
      </w:r>
      <w:r w:rsidR="00996CA9">
        <w:rPr>
          <w:rFonts w:ascii="Times New Roman" w:hAnsi="Times New Roman" w:cs="Times New Roman"/>
          <w:color w:val="FF0000"/>
          <w:u w:val="single"/>
        </w:rPr>
        <w:t>of its EOP</w:t>
      </w:r>
      <w:r w:rsidR="00311AA4">
        <w:rPr>
          <w:rFonts w:ascii="Times New Roman" w:hAnsi="Times New Roman" w:cs="Times New Roman"/>
          <w:color w:val="FF0000"/>
          <w:u w:val="single"/>
        </w:rPr>
        <w:t xml:space="preserve"> </w:t>
      </w:r>
      <w:r w:rsidR="00163C20">
        <w:rPr>
          <w:rFonts w:ascii="Times New Roman" w:hAnsi="Times New Roman" w:cs="Times New Roman"/>
          <w:color w:val="FF0000"/>
          <w:u w:val="single"/>
        </w:rPr>
        <w:t>in a redacted form with confidential portions removed</w:t>
      </w:r>
      <w:r>
        <w:rPr>
          <w:rFonts w:ascii="Times New Roman" w:hAnsi="Times New Roman" w:cs="Times New Roman"/>
        </w:rPr>
        <w:t>.</w:t>
      </w:r>
    </w:p>
    <w:p w14:paraId="0781FC0D" w14:textId="66373236" w:rsidR="00D52AE1" w:rsidRPr="005C075F" w:rsidRDefault="00D52AE1" w:rsidP="00D52AE1">
      <w:pPr>
        <w:pStyle w:val="ListParagraph"/>
        <w:numPr>
          <w:ilvl w:val="2"/>
          <w:numId w:val="5"/>
        </w:numPr>
        <w:spacing w:after="240"/>
        <w:ind w:left="2430" w:hanging="450"/>
        <w:jc w:val="both"/>
        <w:rPr>
          <w:rFonts w:ascii="Times New Roman" w:hAnsi="Times New Roman" w:cs="Times New Roman"/>
          <w:strike/>
          <w:color w:val="FF0000"/>
        </w:rPr>
      </w:pPr>
      <w:r w:rsidRPr="005C075F">
        <w:rPr>
          <w:rFonts w:ascii="Times New Roman" w:hAnsi="Times New Roman" w:cs="Times New Roman"/>
          <w:strike/>
          <w:color w:val="FF0000"/>
        </w:rPr>
        <w:t>Beginning in 2023, the annual EOP must include, for each incident in the prior calendar year that required the entity to activate its EOP, a summary after-action report that includes lessons learned and an outline of changes the entity made to the EOP as a result of EOP activations during the prior calendar year, if any.</w:t>
      </w:r>
    </w:p>
    <w:p w14:paraId="3CB8A11B" w14:textId="76FB668C" w:rsidR="00C8319F" w:rsidRDefault="00BD506B" w:rsidP="005C075F">
      <w:pPr>
        <w:pStyle w:val="ListParagraph"/>
        <w:numPr>
          <w:ilvl w:val="0"/>
          <w:numId w:val="27"/>
        </w:numPr>
        <w:spacing w:after="240"/>
        <w:jc w:val="both"/>
        <w:rPr>
          <w:rFonts w:ascii="Times New Roman" w:hAnsi="Times New Roman" w:cs="Times New Roman"/>
        </w:rPr>
      </w:pPr>
      <w:r>
        <w:rPr>
          <w:rFonts w:ascii="Times New Roman" w:hAnsi="Times New Roman" w:cs="Times New Roman"/>
          <w:color w:val="FF0000"/>
          <w:u w:val="single"/>
        </w:rPr>
        <w:t xml:space="preserve">(2) </w:t>
      </w:r>
      <w:r w:rsidR="00C8319F" w:rsidRPr="00C8319F">
        <w:rPr>
          <w:rFonts w:ascii="Times New Roman" w:hAnsi="Times New Roman" w:cs="Times New Roman"/>
        </w:rPr>
        <w:t xml:space="preserve">A person seeking registration as a PGC or certification as a REP must </w:t>
      </w:r>
      <w:r w:rsidR="00996CA9" w:rsidRPr="00CE1254">
        <w:rPr>
          <w:rFonts w:ascii="Times New Roman" w:hAnsi="Times New Roman" w:cs="Times New Roman"/>
          <w:strike/>
          <w:color w:val="FF0000"/>
        </w:rPr>
        <w:t>file</w:t>
      </w:r>
      <w:r w:rsidR="00996CA9" w:rsidRPr="00CE1254">
        <w:rPr>
          <w:rFonts w:ascii="Times New Roman" w:hAnsi="Times New Roman" w:cs="Times New Roman"/>
          <w:color w:val="FF0000"/>
        </w:rPr>
        <w:t xml:space="preserve"> </w:t>
      </w:r>
      <w:r w:rsidR="00996CA9">
        <w:rPr>
          <w:rFonts w:ascii="Times New Roman" w:hAnsi="Times New Roman" w:cs="Times New Roman"/>
          <w:color w:val="FF0000"/>
          <w:u w:val="single"/>
        </w:rPr>
        <w:t xml:space="preserve">submit </w:t>
      </w:r>
      <w:r w:rsidR="00C8319F" w:rsidRPr="00C8319F">
        <w:rPr>
          <w:rFonts w:ascii="Times New Roman" w:hAnsi="Times New Roman" w:cs="Times New Roman"/>
        </w:rPr>
        <w:t xml:space="preserve">an EOP </w:t>
      </w:r>
      <w:r w:rsidR="00996CA9">
        <w:rPr>
          <w:rFonts w:ascii="Times New Roman" w:hAnsi="Times New Roman" w:cs="Times New Roman"/>
          <w:color w:val="FF0000"/>
          <w:u w:val="single"/>
        </w:rPr>
        <w:t xml:space="preserve">to ERCOT and file </w:t>
      </w:r>
      <w:r w:rsidR="00C8319F" w:rsidRPr="00C8319F">
        <w:rPr>
          <w:rFonts w:ascii="Times New Roman" w:hAnsi="Times New Roman" w:cs="Times New Roman"/>
        </w:rPr>
        <w:t xml:space="preserve">with the commission </w:t>
      </w:r>
      <w:r w:rsidR="00311AA4">
        <w:rPr>
          <w:rFonts w:ascii="Times New Roman" w:hAnsi="Times New Roman" w:cs="Times New Roman"/>
          <w:color w:val="FF0000"/>
          <w:u w:val="single"/>
        </w:rPr>
        <w:t>a copy of its EOP in a redacted form with confidential portions removed</w:t>
      </w:r>
      <w:r w:rsidR="00311AA4" w:rsidRPr="00C8319F">
        <w:rPr>
          <w:rFonts w:ascii="Times New Roman" w:hAnsi="Times New Roman" w:cs="Times New Roman"/>
        </w:rPr>
        <w:t xml:space="preserve"> </w:t>
      </w:r>
      <w:r w:rsidR="00C8319F" w:rsidRPr="00C8319F">
        <w:rPr>
          <w:rFonts w:ascii="Times New Roman" w:hAnsi="Times New Roman" w:cs="Times New Roman"/>
        </w:rPr>
        <w:t>at the time it applies for registration or certification with the commission</w:t>
      </w:r>
      <w:r w:rsidR="00C8319F" w:rsidRPr="00814A7D">
        <w:rPr>
          <w:rFonts w:ascii="Times New Roman" w:hAnsi="Times New Roman" w:cs="Times New Roman"/>
          <w:strike/>
          <w:color w:val="FF0000"/>
        </w:rPr>
        <w:t>, and must submit the EOP to ERCOT if it will operate in the ERCOT power region, no later than ten days after the commission approves the person’s certification or registration</w:t>
      </w:r>
      <w:r w:rsidR="00C8319F" w:rsidRPr="00C8319F">
        <w:rPr>
          <w:rFonts w:ascii="Times New Roman" w:hAnsi="Times New Roman" w:cs="Times New Roman"/>
        </w:rPr>
        <w:t>.</w:t>
      </w:r>
    </w:p>
    <w:p w14:paraId="7D874511" w14:textId="18C8F860" w:rsidR="00C8319F" w:rsidRDefault="00BD506B" w:rsidP="005C075F">
      <w:pPr>
        <w:pStyle w:val="ListParagraph"/>
        <w:numPr>
          <w:ilvl w:val="0"/>
          <w:numId w:val="27"/>
        </w:numPr>
        <w:spacing w:after="240"/>
        <w:jc w:val="both"/>
        <w:rPr>
          <w:rFonts w:ascii="Times New Roman" w:hAnsi="Times New Roman" w:cs="Times New Roman"/>
        </w:rPr>
      </w:pPr>
      <w:r>
        <w:rPr>
          <w:rFonts w:ascii="Times New Roman" w:hAnsi="Times New Roman" w:cs="Times New Roman"/>
          <w:color w:val="FF0000"/>
          <w:u w:val="single"/>
        </w:rPr>
        <w:t xml:space="preserve">(3) </w:t>
      </w:r>
      <w:r w:rsidR="00C8319F" w:rsidRPr="00C8319F">
        <w:rPr>
          <w:rFonts w:ascii="Times New Roman" w:hAnsi="Times New Roman" w:cs="Times New Roman"/>
        </w:rPr>
        <w:t xml:space="preserve">Updated filings. </w:t>
      </w:r>
      <w:r w:rsidR="00880FA4" w:rsidRPr="00EB3AC7">
        <w:rPr>
          <w:rFonts w:ascii="Times New Roman" w:hAnsi="Times New Roman" w:cs="Times New Roman"/>
          <w:color w:val="FF0000"/>
          <w:u w:val="single"/>
        </w:rPr>
        <w:t xml:space="preserve">An entity may submit an updated EOP </w:t>
      </w:r>
      <w:r w:rsidR="009F08DF" w:rsidRPr="00624B4C">
        <w:rPr>
          <w:rFonts w:ascii="Times New Roman" w:hAnsi="Times New Roman" w:cs="Times New Roman"/>
          <w:color w:val="FF0000"/>
          <w:u w:val="single"/>
        </w:rPr>
        <w:t xml:space="preserve">to ERCOT and file an updated redacted </w:t>
      </w:r>
      <w:r w:rsidR="009F08DF" w:rsidRPr="00FD0915">
        <w:rPr>
          <w:rFonts w:ascii="Times New Roman" w:hAnsi="Times New Roman" w:cs="Times New Roman"/>
          <w:color w:val="FF0000"/>
          <w:u w:val="single"/>
        </w:rPr>
        <w:t xml:space="preserve">copy of the EOP </w:t>
      </w:r>
      <w:r w:rsidR="009F08DF" w:rsidRPr="00EB3AC7">
        <w:rPr>
          <w:rFonts w:ascii="Times New Roman" w:hAnsi="Times New Roman" w:cs="Times New Roman"/>
          <w:color w:val="FF0000"/>
          <w:u w:val="single"/>
        </w:rPr>
        <w:t>with the commission upon a request from staff for additional information</w:t>
      </w:r>
      <w:r w:rsidR="00422E07">
        <w:rPr>
          <w:rFonts w:ascii="Times New Roman" w:hAnsi="Times New Roman" w:cs="Times New Roman"/>
          <w:color w:val="FF0000"/>
          <w:u w:val="single"/>
        </w:rPr>
        <w:t>,</w:t>
      </w:r>
      <w:r w:rsidR="009F08DF" w:rsidRPr="00EB3AC7">
        <w:rPr>
          <w:rFonts w:ascii="Times New Roman" w:hAnsi="Times New Roman" w:cs="Times New Roman"/>
          <w:color w:val="FF0000"/>
          <w:u w:val="single"/>
        </w:rPr>
        <w:t xml:space="preserve"> if staff believe the entity’s EOP does not contain sufficient information to determine whether the entity can provide adequate electric service through an emergency.</w:t>
      </w:r>
      <w:r w:rsidR="009F08DF">
        <w:rPr>
          <w:rFonts w:ascii="Times New Roman" w:hAnsi="Times New Roman" w:cs="Times New Roman"/>
        </w:rPr>
        <w:t xml:space="preserve">  </w:t>
      </w:r>
      <w:r w:rsidR="00C8319F" w:rsidRPr="00C8319F">
        <w:rPr>
          <w:rFonts w:ascii="Times New Roman" w:hAnsi="Times New Roman" w:cs="Times New Roman"/>
        </w:rPr>
        <w:t xml:space="preserve">An entity must </w:t>
      </w:r>
      <w:r w:rsidR="00814A7D" w:rsidRPr="00CE1254">
        <w:rPr>
          <w:rFonts w:ascii="Times New Roman" w:hAnsi="Times New Roman" w:cs="Times New Roman"/>
          <w:strike/>
          <w:color w:val="FF0000"/>
        </w:rPr>
        <w:t>file</w:t>
      </w:r>
      <w:r w:rsidR="00814A7D" w:rsidRPr="00CE1254">
        <w:rPr>
          <w:rFonts w:ascii="Times New Roman" w:hAnsi="Times New Roman" w:cs="Times New Roman"/>
          <w:color w:val="FF0000"/>
        </w:rPr>
        <w:t xml:space="preserve"> </w:t>
      </w:r>
      <w:r w:rsidR="00814A7D">
        <w:rPr>
          <w:rFonts w:ascii="Times New Roman" w:hAnsi="Times New Roman" w:cs="Times New Roman"/>
          <w:color w:val="FF0000"/>
          <w:u w:val="single"/>
        </w:rPr>
        <w:t xml:space="preserve">submit </w:t>
      </w:r>
      <w:r w:rsidR="00C8319F" w:rsidRPr="00C8319F">
        <w:rPr>
          <w:rFonts w:ascii="Times New Roman" w:hAnsi="Times New Roman" w:cs="Times New Roman"/>
        </w:rPr>
        <w:t xml:space="preserve">an updated EOP </w:t>
      </w:r>
      <w:r w:rsidR="00814A7D">
        <w:rPr>
          <w:rFonts w:ascii="Times New Roman" w:hAnsi="Times New Roman" w:cs="Times New Roman"/>
          <w:color w:val="FF0000"/>
          <w:u w:val="single"/>
        </w:rPr>
        <w:t xml:space="preserve">to ERCOT and file an updated </w:t>
      </w:r>
      <w:r w:rsidR="00311AA4">
        <w:rPr>
          <w:rFonts w:ascii="Times New Roman" w:hAnsi="Times New Roman" w:cs="Times New Roman"/>
          <w:color w:val="FF0000"/>
          <w:u w:val="single"/>
        </w:rPr>
        <w:t xml:space="preserve">redacted </w:t>
      </w:r>
      <w:r w:rsidR="00814A7D">
        <w:rPr>
          <w:rFonts w:ascii="Times New Roman" w:hAnsi="Times New Roman" w:cs="Times New Roman"/>
          <w:color w:val="FF0000"/>
          <w:u w:val="single"/>
        </w:rPr>
        <w:t xml:space="preserve">copy of the EOP </w:t>
      </w:r>
      <w:r w:rsidR="00C8319F" w:rsidRPr="00C8319F">
        <w:rPr>
          <w:rFonts w:ascii="Times New Roman" w:hAnsi="Times New Roman" w:cs="Times New Roman"/>
        </w:rPr>
        <w:t xml:space="preserve">with the commission </w:t>
      </w:r>
      <w:r w:rsidR="00C8319F" w:rsidRPr="0093796B">
        <w:rPr>
          <w:rFonts w:ascii="Times New Roman" w:hAnsi="Times New Roman" w:cs="Times New Roman"/>
        </w:rPr>
        <w:t xml:space="preserve">within 30 days </w:t>
      </w:r>
      <w:r w:rsidR="00C8319F" w:rsidRPr="00C8319F">
        <w:rPr>
          <w:rFonts w:ascii="Times New Roman" w:hAnsi="Times New Roman" w:cs="Times New Roman"/>
        </w:rPr>
        <w:t>under the following circumstances.</w:t>
      </w:r>
    </w:p>
    <w:p w14:paraId="224325FA" w14:textId="4DBCDB49" w:rsidR="00C8319F" w:rsidRDefault="00C8319F" w:rsidP="005C075F">
      <w:pPr>
        <w:pStyle w:val="ListParagraph"/>
        <w:numPr>
          <w:ilvl w:val="0"/>
          <w:numId w:val="28"/>
        </w:numPr>
        <w:spacing w:after="240"/>
        <w:ind w:left="1980" w:firstLine="0"/>
        <w:jc w:val="both"/>
        <w:rPr>
          <w:rFonts w:ascii="Times New Roman" w:hAnsi="Times New Roman" w:cs="Times New Roman"/>
        </w:rPr>
      </w:pPr>
      <w:r w:rsidRPr="00814A7D">
        <w:rPr>
          <w:rFonts w:ascii="Times New Roman" w:hAnsi="Times New Roman" w:cs="Times New Roman"/>
          <w:strike/>
          <w:color w:val="FF0000"/>
        </w:rPr>
        <w:t xml:space="preserve">An entity must file an updated EOP if </w:t>
      </w:r>
      <w:r w:rsidR="00311AA4" w:rsidRPr="00311AA4">
        <w:rPr>
          <w:rFonts w:ascii="Times New Roman" w:hAnsi="Times New Roman" w:cs="Times New Roman"/>
          <w:color w:val="FF0000"/>
        </w:rPr>
        <w:t>The</w:t>
      </w:r>
      <w:r w:rsidR="00311AA4" w:rsidRPr="00311AA4">
        <w:rPr>
          <w:rFonts w:ascii="Times New Roman" w:hAnsi="Times New Roman" w:cs="Times New Roman"/>
        </w:rPr>
        <w:t xml:space="preserve"> c</w:t>
      </w:r>
      <w:r w:rsidRPr="00C8319F">
        <w:rPr>
          <w:rFonts w:ascii="Times New Roman" w:hAnsi="Times New Roman" w:cs="Times New Roman"/>
        </w:rPr>
        <w:t xml:space="preserve">ommission </w:t>
      </w:r>
      <w:r w:rsidRPr="00311AA4">
        <w:rPr>
          <w:rFonts w:ascii="Times New Roman" w:hAnsi="Times New Roman" w:cs="Times New Roman"/>
          <w:strike/>
          <w:color w:val="FF0000"/>
        </w:rPr>
        <w:t>staff</w:t>
      </w:r>
      <w:r w:rsidRPr="00311AA4">
        <w:rPr>
          <w:rFonts w:ascii="Times New Roman" w:hAnsi="Times New Roman" w:cs="Times New Roman"/>
          <w:color w:val="FF0000"/>
        </w:rPr>
        <w:t xml:space="preserve"> </w:t>
      </w:r>
      <w:r w:rsidRPr="00C8319F">
        <w:rPr>
          <w:rFonts w:ascii="Times New Roman" w:hAnsi="Times New Roman" w:cs="Times New Roman"/>
        </w:rPr>
        <w:t xml:space="preserve">determines that the entity’s EOP </w:t>
      </w:r>
      <w:r w:rsidRPr="00814A7D">
        <w:rPr>
          <w:rFonts w:ascii="Times New Roman" w:hAnsi="Times New Roman" w:cs="Times New Roman"/>
          <w:strike/>
          <w:color w:val="FF0000"/>
        </w:rPr>
        <w:t>on file</w:t>
      </w:r>
      <w:r w:rsidRPr="00814A7D">
        <w:rPr>
          <w:rFonts w:ascii="Times New Roman" w:hAnsi="Times New Roman" w:cs="Times New Roman"/>
          <w:color w:val="FF0000"/>
        </w:rPr>
        <w:t xml:space="preserve"> </w:t>
      </w:r>
      <w:r w:rsidRPr="00C8319F">
        <w:rPr>
          <w:rFonts w:ascii="Times New Roman" w:hAnsi="Times New Roman" w:cs="Times New Roman"/>
        </w:rPr>
        <w:t>does not contain sufficient information to determine whether the entity can provide adequate electric service through an emergency</w:t>
      </w:r>
      <w:r>
        <w:rPr>
          <w:rFonts w:ascii="Times New Roman" w:hAnsi="Times New Roman" w:cs="Times New Roman"/>
        </w:rPr>
        <w:t>.</w:t>
      </w:r>
    </w:p>
    <w:p w14:paraId="5383B6B4" w14:textId="5D104BBA" w:rsidR="00C8319F" w:rsidRPr="00B46245" w:rsidRDefault="00C8319F" w:rsidP="005C075F">
      <w:pPr>
        <w:pStyle w:val="ListParagraph"/>
        <w:numPr>
          <w:ilvl w:val="0"/>
          <w:numId w:val="28"/>
        </w:numPr>
        <w:spacing w:after="240"/>
        <w:ind w:left="1980" w:firstLine="0"/>
        <w:jc w:val="both"/>
        <w:rPr>
          <w:rFonts w:ascii="Times New Roman" w:hAnsi="Times New Roman" w:cs="Times New Roman"/>
        </w:rPr>
      </w:pPr>
      <w:r w:rsidRPr="00ED108D">
        <w:rPr>
          <w:rFonts w:ascii="Times New Roman" w:hAnsi="Times New Roman" w:cs="Times New Roman"/>
          <w:strike/>
          <w:color w:val="FF0000"/>
        </w:rPr>
        <w:t xml:space="preserve">An entity must file an updated EOP </w:t>
      </w:r>
      <w:r w:rsidRPr="00ED108D">
        <w:rPr>
          <w:rFonts w:ascii="Times New Roman" w:hAnsi="Times New Roman" w:cs="Times New Roman"/>
          <w:color w:val="FF0000"/>
        </w:rPr>
        <w:t>i</w:t>
      </w:r>
      <w:r w:rsidR="00ED108D" w:rsidRPr="00ED108D">
        <w:rPr>
          <w:rFonts w:ascii="Times New Roman" w:hAnsi="Times New Roman" w:cs="Times New Roman"/>
          <w:color w:val="FF0000"/>
          <w:u w:val="single"/>
        </w:rPr>
        <w:t>I</w:t>
      </w:r>
      <w:r w:rsidRPr="00ED108D">
        <w:rPr>
          <w:rFonts w:ascii="Times New Roman" w:hAnsi="Times New Roman" w:cs="Times New Roman"/>
          <w:color w:val="FF0000"/>
        </w:rPr>
        <w:t>n</w:t>
      </w:r>
      <w:r w:rsidRPr="00C8319F">
        <w:rPr>
          <w:rFonts w:ascii="Times New Roman" w:hAnsi="Times New Roman" w:cs="Times New Roman"/>
        </w:rPr>
        <w:t xml:space="preserve"> response t</w:t>
      </w:r>
      <w:r w:rsidRPr="00B46245">
        <w:rPr>
          <w:rFonts w:ascii="Times New Roman" w:hAnsi="Times New Roman" w:cs="Times New Roman"/>
        </w:rPr>
        <w:t xml:space="preserve">o </w:t>
      </w:r>
      <w:r w:rsidRPr="00ED108D">
        <w:rPr>
          <w:rFonts w:ascii="Times New Roman" w:hAnsi="Times New Roman" w:cs="Times New Roman"/>
          <w:strike/>
          <w:color w:val="FF0000"/>
        </w:rPr>
        <w:t>feedback provided from</w:t>
      </w:r>
      <w:r w:rsidRPr="00ED108D">
        <w:rPr>
          <w:rFonts w:ascii="Times New Roman" w:hAnsi="Times New Roman" w:cs="Times New Roman"/>
          <w:color w:val="FF0000"/>
        </w:rPr>
        <w:t xml:space="preserve"> </w:t>
      </w:r>
      <w:r w:rsidR="00ED108D">
        <w:rPr>
          <w:rFonts w:ascii="Times New Roman" w:hAnsi="Times New Roman" w:cs="Times New Roman"/>
          <w:color w:val="FF0000"/>
          <w:u w:val="single"/>
        </w:rPr>
        <w:t xml:space="preserve">a </w:t>
      </w:r>
      <w:r w:rsidRPr="00B46245">
        <w:rPr>
          <w:rFonts w:ascii="Times New Roman" w:hAnsi="Times New Roman" w:cs="Times New Roman"/>
        </w:rPr>
        <w:t xml:space="preserve">commission </w:t>
      </w:r>
      <w:r w:rsidRPr="00ED108D">
        <w:rPr>
          <w:rFonts w:ascii="Times New Roman" w:hAnsi="Times New Roman" w:cs="Times New Roman"/>
          <w:strike/>
          <w:color w:val="FF0000"/>
        </w:rPr>
        <w:t>staff</w:t>
      </w:r>
      <w:r w:rsidR="00ED108D">
        <w:rPr>
          <w:rFonts w:ascii="Times New Roman" w:hAnsi="Times New Roman" w:cs="Times New Roman"/>
        </w:rPr>
        <w:t xml:space="preserve"> </w:t>
      </w:r>
      <w:r w:rsidR="00ED108D">
        <w:rPr>
          <w:rFonts w:ascii="Times New Roman" w:hAnsi="Times New Roman" w:cs="Times New Roman"/>
          <w:color w:val="FF0000"/>
        </w:rPr>
        <w:t>order</w:t>
      </w:r>
      <w:r w:rsidRPr="00B46245">
        <w:rPr>
          <w:rFonts w:ascii="Times New Roman" w:hAnsi="Times New Roman" w:cs="Times New Roman"/>
        </w:rPr>
        <w:t>.</w:t>
      </w:r>
    </w:p>
    <w:p w14:paraId="67B66BB9" w14:textId="450694C4" w:rsidR="00C8319F" w:rsidRPr="00A267AA" w:rsidRDefault="00B46245" w:rsidP="005C075F">
      <w:pPr>
        <w:pStyle w:val="ListParagraph"/>
        <w:numPr>
          <w:ilvl w:val="0"/>
          <w:numId w:val="28"/>
        </w:numPr>
        <w:spacing w:after="240"/>
        <w:ind w:left="1980" w:firstLine="0"/>
        <w:jc w:val="both"/>
        <w:rPr>
          <w:rFonts w:ascii="Times New Roman" w:hAnsi="Times New Roman" w:cs="Times New Roman"/>
        </w:rPr>
      </w:pPr>
      <w:r w:rsidRPr="00ED108D">
        <w:rPr>
          <w:rFonts w:ascii="Times New Roman" w:hAnsi="Times New Roman" w:cs="Times New Roman"/>
          <w:strike/>
          <w:color w:val="FF0000"/>
        </w:rPr>
        <w:t>An entity must file an updated EOP i</w:t>
      </w:r>
      <w:r w:rsidR="00ED108D" w:rsidRPr="00ED108D">
        <w:rPr>
          <w:rFonts w:ascii="Times New Roman" w:hAnsi="Times New Roman" w:cs="Times New Roman"/>
          <w:color w:val="FF0000"/>
          <w:u w:val="single"/>
        </w:rPr>
        <w:t>I</w:t>
      </w:r>
      <w:r w:rsidRPr="00B46245">
        <w:rPr>
          <w:rFonts w:ascii="Times New Roman" w:hAnsi="Times New Roman" w:cs="Times New Roman"/>
        </w:rPr>
        <w:t>f the entity makes a significant change to its EOP. A significant change to an EOP includes a change that has a material impact on how the entity would respond to an emergency. The entity must file the updated EOP with the commission no later than 30 days after the change takes effect</w:t>
      </w:r>
      <w:r w:rsidRPr="00A267AA">
        <w:rPr>
          <w:rFonts w:ascii="Times New Roman" w:hAnsi="Times New Roman" w:cs="Times New Roman"/>
        </w:rPr>
        <w:t>.</w:t>
      </w:r>
      <w:r w:rsidR="00A360FD" w:rsidRPr="00A267AA">
        <w:rPr>
          <w:rFonts w:ascii="Times New Roman" w:hAnsi="Times New Roman" w:cs="Times New Roman"/>
        </w:rPr>
        <w:t xml:space="preserve">  </w:t>
      </w:r>
      <w:r w:rsidR="00A360FD" w:rsidRPr="005C075F">
        <w:rPr>
          <w:rFonts w:ascii="Times New Roman" w:hAnsi="Times New Roman" w:cs="Times New Roman"/>
          <w:color w:val="FF0000"/>
          <w:u w:val="single"/>
        </w:rPr>
        <w:t>Upon a showing of good cause, the deadlines for submitting an updated EOP in this subsection shall be extended by 30-day increments.</w:t>
      </w:r>
    </w:p>
    <w:p w14:paraId="054E1731" w14:textId="64797172" w:rsidR="00B46245" w:rsidRPr="00B46245" w:rsidRDefault="00B46245" w:rsidP="005C075F">
      <w:pPr>
        <w:pStyle w:val="ListParagraph"/>
        <w:numPr>
          <w:ilvl w:val="0"/>
          <w:numId w:val="28"/>
        </w:numPr>
        <w:spacing w:after="240"/>
        <w:ind w:left="1980" w:firstLine="0"/>
        <w:jc w:val="both"/>
        <w:rPr>
          <w:rFonts w:ascii="Times New Roman" w:hAnsi="Times New Roman" w:cs="Times New Roman"/>
        </w:rPr>
      </w:pPr>
      <w:r w:rsidRPr="00B46245">
        <w:rPr>
          <w:rFonts w:ascii="Times New Roman" w:hAnsi="Times New Roman" w:cs="Times New Roman"/>
        </w:rPr>
        <w:t>An entity with operations within the ERCOT power region must submit its updated EOP under paragraphs (c)(</w:t>
      </w:r>
      <w:r w:rsidRPr="005D5C11">
        <w:rPr>
          <w:rFonts w:ascii="Times New Roman" w:hAnsi="Times New Roman" w:cs="Times New Roman"/>
          <w:strike/>
          <w:color w:val="FF0000"/>
        </w:rPr>
        <w:t>4</w:t>
      </w:r>
      <w:r w:rsidR="005D5C11" w:rsidRPr="005D5C11">
        <w:rPr>
          <w:rFonts w:ascii="Times New Roman" w:hAnsi="Times New Roman" w:cs="Times New Roman"/>
          <w:color w:val="FF0000"/>
          <w:u w:val="single"/>
        </w:rPr>
        <w:t>3</w:t>
      </w:r>
      <w:r w:rsidRPr="00B46245">
        <w:rPr>
          <w:rFonts w:ascii="Times New Roman" w:hAnsi="Times New Roman" w:cs="Times New Roman"/>
        </w:rPr>
        <w:t>)(A), (c)(</w:t>
      </w:r>
      <w:r w:rsidR="005D5C11" w:rsidRPr="005D5C11">
        <w:rPr>
          <w:rFonts w:ascii="Times New Roman" w:hAnsi="Times New Roman" w:cs="Times New Roman"/>
          <w:strike/>
          <w:color w:val="FF0000"/>
        </w:rPr>
        <w:t>4</w:t>
      </w:r>
      <w:r w:rsidR="005D5C11" w:rsidRPr="005D5C11">
        <w:rPr>
          <w:rFonts w:ascii="Times New Roman" w:hAnsi="Times New Roman" w:cs="Times New Roman"/>
          <w:color w:val="FF0000"/>
          <w:u w:val="single"/>
        </w:rPr>
        <w:t>3</w:t>
      </w:r>
      <w:r w:rsidRPr="00B46245">
        <w:rPr>
          <w:rFonts w:ascii="Times New Roman" w:hAnsi="Times New Roman" w:cs="Times New Roman"/>
        </w:rPr>
        <w:t>)(B), and (c)(</w:t>
      </w:r>
      <w:r w:rsidR="005D5C11" w:rsidRPr="005D5C11">
        <w:rPr>
          <w:rFonts w:ascii="Times New Roman" w:hAnsi="Times New Roman" w:cs="Times New Roman"/>
          <w:strike/>
          <w:color w:val="FF0000"/>
        </w:rPr>
        <w:t>4</w:t>
      </w:r>
      <w:r w:rsidR="005D5C11" w:rsidRPr="005D5C11">
        <w:rPr>
          <w:rFonts w:ascii="Times New Roman" w:hAnsi="Times New Roman" w:cs="Times New Roman"/>
          <w:color w:val="FF0000"/>
          <w:u w:val="single"/>
        </w:rPr>
        <w:t>3</w:t>
      </w:r>
      <w:r w:rsidRPr="00B46245">
        <w:rPr>
          <w:rFonts w:ascii="Times New Roman" w:hAnsi="Times New Roman" w:cs="Times New Roman"/>
        </w:rPr>
        <w:t xml:space="preserve">)(C) to ERCOT </w:t>
      </w:r>
      <w:r w:rsidRPr="005D5C11">
        <w:rPr>
          <w:rFonts w:ascii="Times New Roman" w:hAnsi="Times New Roman" w:cs="Times New Roman"/>
          <w:strike/>
          <w:color w:val="FF0000"/>
        </w:rPr>
        <w:t>within 30 days of</w:t>
      </w:r>
      <w:r w:rsidRPr="004512AC">
        <w:rPr>
          <w:rFonts w:ascii="Times New Roman" w:hAnsi="Times New Roman" w:cs="Times New Roman"/>
          <w:strike/>
          <w:color w:val="FF0000"/>
        </w:rPr>
        <w:t xml:space="preserve"> filing</w:t>
      </w:r>
      <w:r w:rsidRPr="004512AC">
        <w:rPr>
          <w:rFonts w:ascii="Times New Roman" w:hAnsi="Times New Roman" w:cs="Times New Roman"/>
          <w:color w:val="FF0000"/>
        </w:rPr>
        <w:t xml:space="preserve"> </w:t>
      </w:r>
      <w:r w:rsidR="004512AC">
        <w:rPr>
          <w:rFonts w:ascii="Times New Roman" w:hAnsi="Times New Roman" w:cs="Times New Roman"/>
          <w:color w:val="FF0000"/>
          <w:u w:val="single"/>
        </w:rPr>
        <w:t xml:space="preserve">at the same time </w:t>
      </w:r>
      <w:r w:rsidRPr="00B46245">
        <w:rPr>
          <w:rFonts w:ascii="Times New Roman" w:hAnsi="Times New Roman" w:cs="Times New Roman"/>
        </w:rPr>
        <w:t xml:space="preserve">the updated EOP </w:t>
      </w:r>
      <w:r w:rsidR="004512AC">
        <w:rPr>
          <w:rFonts w:ascii="Times New Roman" w:hAnsi="Times New Roman" w:cs="Times New Roman"/>
          <w:color w:val="FF0000"/>
          <w:u w:val="single"/>
        </w:rPr>
        <w:t xml:space="preserve">is filed </w:t>
      </w:r>
      <w:r w:rsidRPr="00B46245">
        <w:rPr>
          <w:rFonts w:ascii="Times New Roman" w:hAnsi="Times New Roman" w:cs="Times New Roman"/>
        </w:rPr>
        <w:t>with the commission.</w:t>
      </w:r>
    </w:p>
    <w:p w14:paraId="3DD5A3B4" w14:textId="18129348" w:rsidR="00B46245" w:rsidRPr="00B46245" w:rsidRDefault="00BD506B" w:rsidP="005C075F">
      <w:pPr>
        <w:pStyle w:val="ListParagraph"/>
        <w:numPr>
          <w:ilvl w:val="0"/>
          <w:numId w:val="27"/>
        </w:numPr>
        <w:spacing w:after="240"/>
        <w:jc w:val="both"/>
        <w:rPr>
          <w:rFonts w:ascii="Times New Roman" w:hAnsi="Times New Roman" w:cs="Times New Roman"/>
        </w:rPr>
      </w:pPr>
      <w:r>
        <w:rPr>
          <w:rFonts w:ascii="Times New Roman" w:hAnsi="Times New Roman" w:cs="Times New Roman"/>
          <w:color w:val="FF0000"/>
          <w:u w:val="single"/>
        </w:rPr>
        <w:t xml:space="preserve">(4) </w:t>
      </w:r>
      <w:r w:rsidR="00B46245" w:rsidRPr="00B46245">
        <w:rPr>
          <w:rFonts w:ascii="Times New Roman" w:hAnsi="Times New Roman" w:cs="Times New Roman"/>
        </w:rPr>
        <w:t xml:space="preserve">Notwithstanding the other requirements of this subsection, ERCOT must maintain </w:t>
      </w:r>
      <w:r w:rsidR="00B46245" w:rsidRPr="00ED1BFF">
        <w:rPr>
          <w:rFonts w:ascii="Times New Roman" w:hAnsi="Times New Roman" w:cs="Times New Roman"/>
          <w:strike/>
          <w:color w:val="FF0000"/>
        </w:rPr>
        <w:t>a</w:t>
      </w:r>
      <w:r w:rsidR="00B46245" w:rsidRPr="00ED1BFF">
        <w:rPr>
          <w:rFonts w:ascii="Times New Roman" w:hAnsi="Times New Roman" w:cs="Times New Roman"/>
          <w:color w:val="FF0000"/>
        </w:rPr>
        <w:t xml:space="preserve"> </w:t>
      </w:r>
      <w:r w:rsidR="00ED1BFF" w:rsidRPr="00ED1BFF">
        <w:rPr>
          <w:rFonts w:ascii="Times New Roman" w:hAnsi="Times New Roman" w:cs="Times New Roman"/>
          <w:color w:val="FF0000"/>
          <w:u w:val="single"/>
        </w:rPr>
        <w:t>its</w:t>
      </w:r>
      <w:r w:rsidR="00ED1BFF" w:rsidRPr="00ED1BFF">
        <w:rPr>
          <w:rFonts w:ascii="Times New Roman" w:hAnsi="Times New Roman" w:cs="Times New Roman"/>
          <w:color w:val="FF0000"/>
        </w:rPr>
        <w:t xml:space="preserve"> </w:t>
      </w:r>
      <w:r w:rsidR="00B46245" w:rsidRPr="00B46245">
        <w:rPr>
          <w:rFonts w:ascii="Times New Roman" w:hAnsi="Times New Roman" w:cs="Times New Roman"/>
        </w:rPr>
        <w:t>current EOP in its entirety, consistent with the requirements of this section</w:t>
      </w:r>
      <w:r w:rsidR="00ED1BFF">
        <w:rPr>
          <w:rFonts w:ascii="Times New Roman" w:hAnsi="Times New Roman" w:cs="Times New Roman"/>
          <w:color w:val="FF0000"/>
          <w:u w:val="single"/>
        </w:rPr>
        <w:t>, as well as the EOPs of other entities in their entirety,</w:t>
      </w:r>
      <w:r w:rsidR="00B46245" w:rsidRPr="00B46245">
        <w:rPr>
          <w:rFonts w:ascii="Times New Roman" w:hAnsi="Times New Roman" w:cs="Times New Roman"/>
        </w:rPr>
        <w:t xml:space="preserve"> </w:t>
      </w:r>
      <w:r w:rsidR="00B46245" w:rsidRPr="00ED1BFF">
        <w:rPr>
          <w:rFonts w:ascii="Times New Roman" w:hAnsi="Times New Roman" w:cs="Times New Roman"/>
          <w:strike/>
          <w:color w:val="FF0000"/>
        </w:rPr>
        <w:t>and</w:t>
      </w:r>
      <w:r w:rsidR="00B46245" w:rsidRPr="00ED1BFF">
        <w:rPr>
          <w:rFonts w:ascii="Times New Roman" w:hAnsi="Times New Roman" w:cs="Times New Roman"/>
          <w:color w:val="FF0000"/>
        </w:rPr>
        <w:t xml:space="preserve"> </w:t>
      </w:r>
      <w:r w:rsidR="00B46245" w:rsidRPr="00B46245">
        <w:rPr>
          <w:rFonts w:ascii="Times New Roman" w:hAnsi="Times New Roman" w:cs="Times New Roman"/>
        </w:rPr>
        <w:t xml:space="preserve">available for </w:t>
      </w:r>
      <w:r w:rsidR="00B46245" w:rsidRPr="00B46245">
        <w:rPr>
          <w:rFonts w:ascii="Times New Roman" w:hAnsi="Times New Roman" w:cs="Times New Roman"/>
        </w:rPr>
        <w:lastRenderedPageBreak/>
        <w:t>review by the commission</w:t>
      </w:r>
      <w:r w:rsidR="00B46245" w:rsidRPr="00ED1BFF">
        <w:rPr>
          <w:rFonts w:ascii="Times New Roman" w:hAnsi="Times New Roman" w:cs="Times New Roman"/>
          <w:strike/>
          <w:color w:val="FF0000"/>
        </w:rPr>
        <w:t>,</w:t>
      </w:r>
      <w:r w:rsidR="00B46245" w:rsidRPr="00B46245">
        <w:rPr>
          <w:rFonts w:ascii="Times New Roman" w:hAnsi="Times New Roman" w:cs="Times New Roman"/>
        </w:rPr>
        <w:t xml:space="preserve"> or the commission’s designee.</w:t>
      </w:r>
      <w:r w:rsidR="00A15454">
        <w:rPr>
          <w:rFonts w:ascii="Times New Roman" w:hAnsi="Times New Roman" w:cs="Times New Roman"/>
        </w:rPr>
        <w:t xml:space="preserve"> </w:t>
      </w:r>
      <w:r w:rsidR="00A15454">
        <w:rPr>
          <w:rFonts w:ascii="Times New Roman" w:hAnsi="Times New Roman" w:cs="Times New Roman"/>
          <w:color w:val="FF0000"/>
          <w:u w:val="single"/>
        </w:rPr>
        <w:t>EOPs maintained by ERCOT must be treated as protected information under Section 25.362.</w:t>
      </w:r>
    </w:p>
    <w:bookmarkEnd w:id="5"/>
    <w:p w14:paraId="35825720" w14:textId="77777777" w:rsidR="000E3D45" w:rsidRPr="001B6850" w:rsidRDefault="000E3D45" w:rsidP="003F23C6">
      <w:pPr>
        <w:spacing w:after="240"/>
        <w:jc w:val="both"/>
        <w:rPr>
          <w:rFonts w:ascii="Times New Roman" w:hAnsi="Times New Roman" w:cs="Times New Roman"/>
        </w:rPr>
      </w:pPr>
    </w:p>
    <w:p w14:paraId="69999EFC" w14:textId="3800637E" w:rsidR="005D0221" w:rsidRDefault="005D0221" w:rsidP="00E51397">
      <w:pPr>
        <w:pStyle w:val="ListParagraph"/>
        <w:numPr>
          <w:ilvl w:val="0"/>
          <w:numId w:val="6"/>
        </w:numPr>
        <w:spacing w:after="240"/>
        <w:jc w:val="both"/>
        <w:rPr>
          <w:rFonts w:ascii="Times New Roman" w:hAnsi="Times New Roman" w:cs="Times New Roman"/>
          <w:b/>
          <w:bCs/>
        </w:rPr>
      </w:pPr>
      <w:r>
        <w:rPr>
          <w:rFonts w:ascii="Times New Roman" w:hAnsi="Times New Roman" w:cs="Times New Roman"/>
          <w:b/>
          <w:bCs/>
        </w:rPr>
        <w:t xml:space="preserve">EOP content </w:t>
      </w:r>
      <w:r w:rsidRPr="008566AF">
        <w:rPr>
          <w:rFonts w:ascii="Times New Roman" w:hAnsi="Times New Roman" w:cs="Times New Roman"/>
          <w:b/>
          <w:bCs/>
        </w:rPr>
        <w:t>recommendations</w:t>
      </w:r>
    </w:p>
    <w:p w14:paraId="01F5AC9F" w14:textId="7F2FB044" w:rsidR="005D0221" w:rsidRDefault="005D0221" w:rsidP="00E51397">
      <w:pPr>
        <w:pStyle w:val="ListParagraph"/>
        <w:spacing w:after="240"/>
        <w:jc w:val="both"/>
        <w:rPr>
          <w:rFonts w:ascii="Times New Roman" w:hAnsi="Times New Roman" w:cs="Times New Roman"/>
          <w:b/>
          <w:bCs/>
        </w:rPr>
      </w:pPr>
    </w:p>
    <w:p w14:paraId="01D54CBA" w14:textId="45086E6F" w:rsidR="005D0221" w:rsidRPr="00C36738" w:rsidRDefault="005D0221" w:rsidP="00E51397">
      <w:pPr>
        <w:spacing w:after="240" w:line="480" w:lineRule="auto"/>
        <w:ind w:firstLine="720"/>
        <w:jc w:val="both"/>
        <w:rPr>
          <w:rFonts w:ascii="Times New Roman" w:hAnsi="Times New Roman" w:cs="Times New Roman"/>
          <w:b/>
          <w:bCs/>
          <w:color w:val="FF0000"/>
        </w:rPr>
      </w:pPr>
      <w:r>
        <w:rPr>
          <w:rFonts w:ascii="Times New Roman" w:hAnsi="Times New Roman" w:cs="Times New Roman"/>
        </w:rPr>
        <w:t xml:space="preserve">Because </w:t>
      </w:r>
      <w:r w:rsidR="006141FF">
        <w:rPr>
          <w:rFonts w:ascii="Times New Roman" w:hAnsi="Times New Roman" w:cs="Times New Roman"/>
        </w:rPr>
        <w:t>TCPA</w:t>
      </w:r>
      <w:r>
        <w:rPr>
          <w:rFonts w:ascii="Times New Roman" w:hAnsi="Times New Roman" w:cs="Times New Roman"/>
        </w:rPr>
        <w:t xml:space="preserve"> recommends several changes to subsection (d) from the PFP, the individual issues are discussed, followed by consolidated redlines below.</w:t>
      </w:r>
    </w:p>
    <w:p w14:paraId="1AA73612" w14:textId="2E7B1F13" w:rsidR="00F974DF" w:rsidRDefault="00704ACE" w:rsidP="00E51397">
      <w:pPr>
        <w:pStyle w:val="ListParagraph"/>
        <w:numPr>
          <w:ilvl w:val="1"/>
          <w:numId w:val="6"/>
        </w:numPr>
        <w:spacing w:after="240"/>
        <w:jc w:val="both"/>
        <w:rPr>
          <w:rFonts w:ascii="Times New Roman" w:hAnsi="Times New Roman" w:cs="Times New Roman"/>
          <w:b/>
          <w:bCs/>
        </w:rPr>
      </w:pPr>
      <w:r>
        <w:rPr>
          <w:rFonts w:ascii="Times New Roman" w:hAnsi="Times New Roman" w:cs="Times New Roman"/>
          <w:b/>
          <w:bCs/>
        </w:rPr>
        <w:t>EOP scope should be limited to “reasonably foreseeable” emergencies</w:t>
      </w:r>
    </w:p>
    <w:p w14:paraId="24A12BF0" w14:textId="0684C3E6" w:rsidR="005A08AB" w:rsidRPr="005A08AB" w:rsidRDefault="005A08AB" w:rsidP="007F44E1">
      <w:pPr>
        <w:spacing w:after="240" w:line="480" w:lineRule="auto"/>
        <w:ind w:firstLine="720"/>
        <w:jc w:val="both"/>
        <w:rPr>
          <w:rFonts w:ascii="Times New Roman" w:hAnsi="Times New Roman" w:cs="Times New Roman"/>
        </w:rPr>
      </w:pPr>
      <w:r>
        <w:rPr>
          <w:rFonts w:ascii="Times New Roman" w:hAnsi="Times New Roman" w:cs="Times New Roman"/>
        </w:rPr>
        <w:t xml:space="preserve">For the same reasons outlined regarding </w:t>
      </w:r>
      <w:r w:rsidR="006141FF">
        <w:rPr>
          <w:rFonts w:ascii="Times New Roman" w:hAnsi="Times New Roman" w:cs="Times New Roman"/>
        </w:rPr>
        <w:t>TCPA</w:t>
      </w:r>
      <w:r>
        <w:rPr>
          <w:rFonts w:ascii="Times New Roman" w:hAnsi="Times New Roman" w:cs="Times New Roman"/>
        </w:rPr>
        <w:t>’s proposed revisions to the definition of “emergency”</w:t>
      </w:r>
      <w:r w:rsidR="007F44E1">
        <w:rPr>
          <w:rFonts w:ascii="Times New Roman" w:hAnsi="Times New Roman" w:cs="Times New Roman"/>
        </w:rPr>
        <w:t xml:space="preserve"> above,</w:t>
      </w:r>
      <w:r>
        <w:rPr>
          <w:rFonts w:ascii="Times New Roman" w:hAnsi="Times New Roman" w:cs="Times New Roman"/>
        </w:rPr>
        <w:t xml:space="preserve"> the Commission should modify the introductory text of subsection (d) to address </w:t>
      </w:r>
      <w:r w:rsidR="007F44E1">
        <w:rPr>
          <w:rFonts w:ascii="Times New Roman" w:hAnsi="Times New Roman" w:cs="Times New Roman"/>
        </w:rPr>
        <w:t xml:space="preserve">every “reasonably foreseeable” type of emergency. </w:t>
      </w:r>
      <w:r>
        <w:rPr>
          <w:rFonts w:ascii="Times New Roman" w:hAnsi="Times New Roman" w:cs="Times New Roman"/>
        </w:rPr>
        <w:t xml:space="preserve"> </w:t>
      </w:r>
    </w:p>
    <w:p w14:paraId="11CEBD87" w14:textId="047E630A" w:rsidR="005A08AB" w:rsidRDefault="00704ACE" w:rsidP="005A08AB">
      <w:pPr>
        <w:pStyle w:val="ListParagraph"/>
        <w:numPr>
          <w:ilvl w:val="1"/>
          <w:numId w:val="6"/>
        </w:numPr>
        <w:spacing w:after="240"/>
        <w:jc w:val="both"/>
        <w:rPr>
          <w:rFonts w:ascii="Times New Roman" w:hAnsi="Times New Roman" w:cs="Times New Roman"/>
          <w:b/>
          <w:bCs/>
        </w:rPr>
      </w:pPr>
      <w:r>
        <w:rPr>
          <w:rFonts w:ascii="Times New Roman" w:hAnsi="Times New Roman" w:cs="Times New Roman"/>
          <w:b/>
          <w:bCs/>
        </w:rPr>
        <w:t>Specifying individuals in maintenance, implementation, and distribution records is inefficient; specifying groups, teams, or some other more sustainable reference will reduce unnecessary</w:t>
      </w:r>
      <w:r w:rsidR="005B1BB2">
        <w:rPr>
          <w:rFonts w:ascii="Times New Roman" w:hAnsi="Times New Roman" w:cs="Times New Roman"/>
          <w:b/>
          <w:bCs/>
        </w:rPr>
        <w:t xml:space="preserve"> and unproductive use of resources.</w:t>
      </w:r>
    </w:p>
    <w:p w14:paraId="3EBF3E9A" w14:textId="77777777" w:rsidR="005A08AB" w:rsidRPr="005A08AB" w:rsidRDefault="005A08AB" w:rsidP="005A08AB">
      <w:pPr>
        <w:pStyle w:val="ListParagraph"/>
        <w:rPr>
          <w:rFonts w:ascii="Times New Roman" w:hAnsi="Times New Roman" w:cs="Times New Roman"/>
          <w:b/>
          <w:bCs/>
        </w:rPr>
      </w:pPr>
    </w:p>
    <w:p w14:paraId="7FAA2E4D" w14:textId="2AF2A378" w:rsidR="005A08AB" w:rsidRDefault="007F44E1" w:rsidP="007F44E1">
      <w:pPr>
        <w:spacing w:after="240" w:line="480" w:lineRule="auto"/>
        <w:ind w:firstLine="720"/>
        <w:jc w:val="both"/>
        <w:rPr>
          <w:rFonts w:ascii="Times New Roman" w:hAnsi="Times New Roman" w:cs="Times New Roman"/>
        </w:rPr>
      </w:pPr>
      <w:r>
        <w:rPr>
          <w:rFonts w:ascii="Times New Roman" w:hAnsi="Times New Roman" w:cs="Times New Roman"/>
        </w:rPr>
        <w:t xml:space="preserve">The PFP includes a requirement </w:t>
      </w:r>
      <w:r w:rsidR="00E21723">
        <w:rPr>
          <w:rFonts w:ascii="Times New Roman" w:hAnsi="Times New Roman" w:cs="Times New Roman"/>
        </w:rPr>
        <w:t xml:space="preserve">in (d)(1)(B) </w:t>
      </w:r>
      <w:r>
        <w:rPr>
          <w:rFonts w:ascii="Times New Roman" w:hAnsi="Times New Roman" w:cs="Times New Roman"/>
        </w:rPr>
        <w:t xml:space="preserve">that the EOP list “individuals” that are empowered to maintain, implement, and change the EOP. The Commission, ERCOT, and all affected entities would benefit from the administrative efficiency of allowing groups or teams as acceptable responses in lieu of individuals. </w:t>
      </w:r>
      <w:r w:rsidR="00875A04">
        <w:rPr>
          <w:rFonts w:ascii="Times New Roman" w:hAnsi="Times New Roman" w:cs="Times New Roman"/>
        </w:rPr>
        <w:t xml:space="preserve">This recommendation would reduce the need for updates solely to reflect personnel changes, while still drawing clear lines of responsibility and authority. </w:t>
      </w:r>
    </w:p>
    <w:p w14:paraId="39760B4F" w14:textId="65A4A6D3" w:rsidR="00E21723" w:rsidRPr="007F44E1" w:rsidRDefault="00E21723" w:rsidP="007F44E1">
      <w:pPr>
        <w:spacing w:after="240" w:line="480" w:lineRule="auto"/>
        <w:ind w:firstLine="720"/>
        <w:jc w:val="both"/>
        <w:rPr>
          <w:rFonts w:ascii="Times New Roman" w:hAnsi="Times New Roman" w:cs="Times New Roman"/>
        </w:rPr>
      </w:pPr>
      <w:r>
        <w:rPr>
          <w:rFonts w:ascii="Times New Roman" w:hAnsi="Times New Roman" w:cs="Times New Roman"/>
        </w:rPr>
        <w:t xml:space="preserve">Similarly, (d)(2) in the PFP would require a “table” including individual names and titles of people “receiving the EOP” and the dates of distribution. While the </w:t>
      </w:r>
      <w:r w:rsidR="00ED5D65">
        <w:rPr>
          <w:rFonts w:ascii="Times New Roman" w:hAnsi="Times New Roman" w:cs="Times New Roman"/>
        </w:rPr>
        <w:t>intent appears</w:t>
      </w:r>
      <w:r>
        <w:rPr>
          <w:rFonts w:ascii="Times New Roman" w:hAnsi="Times New Roman" w:cs="Times New Roman"/>
        </w:rPr>
        <w:t xml:space="preserve"> straightforward, the practical implementation would be very difficult</w:t>
      </w:r>
      <w:r w:rsidR="005426D4">
        <w:rPr>
          <w:rFonts w:ascii="Times New Roman" w:hAnsi="Times New Roman" w:cs="Times New Roman"/>
        </w:rPr>
        <w:t>. This is because EOP</w:t>
      </w:r>
      <w:r w:rsidR="00902594">
        <w:rPr>
          <w:rFonts w:ascii="Times New Roman" w:hAnsi="Times New Roman" w:cs="Times New Roman"/>
        </w:rPr>
        <w:t>s</w:t>
      </w:r>
      <w:r w:rsidR="005426D4">
        <w:rPr>
          <w:rFonts w:ascii="Times New Roman" w:hAnsi="Times New Roman" w:cs="Times New Roman"/>
        </w:rPr>
        <w:t xml:space="preserve"> </w:t>
      </w:r>
      <w:r w:rsidR="00902594">
        <w:rPr>
          <w:rFonts w:ascii="Times New Roman" w:hAnsi="Times New Roman" w:cs="Times New Roman"/>
        </w:rPr>
        <w:t xml:space="preserve">are </w:t>
      </w:r>
      <w:r w:rsidR="005426D4">
        <w:rPr>
          <w:rFonts w:ascii="Times New Roman" w:hAnsi="Times New Roman" w:cs="Times New Roman"/>
        </w:rPr>
        <w:t xml:space="preserve">not </w:t>
      </w:r>
      <w:r w:rsidR="00B945A3">
        <w:rPr>
          <w:rFonts w:ascii="Times New Roman" w:hAnsi="Times New Roman" w:cs="Times New Roman"/>
        </w:rPr>
        <w:t xml:space="preserve">necessarily </w:t>
      </w:r>
      <w:r w:rsidR="005426D4">
        <w:rPr>
          <w:rFonts w:ascii="Times New Roman" w:hAnsi="Times New Roman" w:cs="Times New Roman"/>
        </w:rPr>
        <w:t>just singular document</w:t>
      </w:r>
      <w:r w:rsidR="00902594">
        <w:rPr>
          <w:rFonts w:ascii="Times New Roman" w:hAnsi="Times New Roman" w:cs="Times New Roman"/>
        </w:rPr>
        <w:t>s</w:t>
      </w:r>
      <w:r w:rsidR="005426D4">
        <w:rPr>
          <w:rFonts w:ascii="Times New Roman" w:hAnsi="Times New Roman" w:cs="Times New Roman"/>
        </w:rPr>
        <w:t>, but rather compilation</w:t>
      </w:r>
      <w:r w:rsidR="00902594">
        <w:rPr>
          <w:rFonts w:ascii="Times New Roman" w:hAnsi="Times New Roman" w:cs="Times New Roman"/>
        </w:rPr>
        <w:t>s</w:t>
      </w:r>
      <w:r w:rsidR="005426D4">
        <w:rPr>
          <w:rFonts w:ascii="Times New Roman" w:hAnsi="Times New Roman" w:cs="Times New Roman"/>
        </w:rPr>
        <w:t xml:space="preserve"> of procedures that apply to </w:t>
      </w:r>
      <w:r w:rsidR="005426D4">
        <w:rPr>
          <w:rFonts w:ascii="Times New Roman" w:hAnsi="Times New Roman" w:cs="Times New Roman"/>
        </w:rPr>
        <w:lastRenderedPageBreak/>
        <w:t xml:space="preserve">different groups across the organization in different scenarios. </w:t>
      </w:r>
      <w:r w:rsidR="00902594">
        <w:rPr>
          <w:rFonts w:ascii="Times New Roman" w:hAnsi="Times New Roman" w:cs="Times New Roman"/>
        </w:rPr>
        <w:t xml:space="preserve">For large organizations covering multiple generation technologies, retail operations, and/or geographical locations, this </w:t>
      </w:r>
      <w:r w:rsidR="00A44108">
        <w:rPr>
          <w:rFonts w:ascii="Times New Roman" w:hAnsi="Times New Roman" w:cs="Times New Roman"/>
        </w:rPr>
        <w:t xml:space="preserve">would mean a large and complex presentation to identify and track each distribution/partial distribution. This would both require substantial effort to maintain and increase the cost </w:t>
      </w:r>
      <w:r w:rsidR="00A267AA">
        <w:rPr>
          <w:rFonts w:ascii="Times New Roman" w:hAnsi="Times New Roman" w:cs="Times New Roman"/>
        </w:rPr>
        <w:t xml:space="preserve">of </w:t>
      </w:r>
      <w:r w:rsidR="00A44108">
        <w:rPr>
          <w:rFonts w:ascii="Times New Roman" w:hAnsi="Times New Roman" w:cs="Times New Roman"/>
        </w:rPr>
        <w:t>maintaining an EOP, while likely</w:t>
      </w:r>
      <w:r w:rsidR="00C11C4B">
        <w:rPr>
          <w:rFonts w:ascii="Times New Roman" w:hAnsi="Times New Roman" w:cs="Times New Roman"/>
        </w:rPr>
        <w:t xml:space="preserve"> rendering any information included in it of diminished or eliminated value to the Commission.</w:t>
      </w:r>
      <w:r w:rsidR="00E705E0">
        <w:rPr>
          <w:rFonts w:ascii="Times New Roman" w:hAnsi="Times New Roman" w:cs="Times New Roman"/>
        </w:rPr>
        <w:t xml:space="preserve"> Instead, existing record keeping requirements should ensure that the Commission may access such information on an as-needed basis should the need ever arise. Accordingly, the Commission should omit the PFP’s subsection (d)(2) from the final rule, or at the very minimum eliminate the individual names and titles requirement in subpart (d)(2)(A). </w:t>
      </w:r>
    </w:p>
    <w:p w14:paraId="56365B55" w14:textId="6F2E2C1C" w:rsidR="005B1BB2" w:rsidRDefault="005B1BB2" w:rsidP="00E51397">
      <w:pPr>
        <w:pStyle w:val="ListParagraph"/>
        <w:numPr>
          <w:ilvl w:val="1"/>
          <w:numId w:val="6"/>
        </w:numPr>
        <w:spacing w:after="240"/>
        <w:jc w:val="both"/>
        <w:rPr>
          <w:rFonts w:ascii="Times New Roman" w:hAnsi="Times New Roman" w:cs="Times New Roman"/>
          <w:b/>
          <w:bCs/>
        </w:rPr>
      </w:pPr>
      <w:r>
        <w:rPr>
          <w:rFonts w:ascii="Times New Roman" w:hAnsi="Times New Roman" w:cs="Times New Roman"/>
          <w:b/>
          <w:bCs/>
        </w:rPr>
        <w:t xml:space="preserve">Revision control summary should </w:t>
      </w:r>
      <w:r w:rsidR="00666970">
        <w:rPr>
          <w:rFonts w:ascii="Times New Roman" w:hAnsi="Times New Roman" w:cs="Times New Roman"/>
          <w:b/>
          <w:bCs/>
        </w:rPr>
        <w:t xml:space="preserve">either be stricken or </w:t>
      </w:r>
      <w:r>
        <w:rPr>
          <w:rFonts w:ascii="Times New Roman" w:hAnsi="Times New Roman" w:cs="Times New Roman"/>
          <w:b/>
          <w:bCs/>
        </w:rPr>
        <w:t>only specify “material” changes.</w:t>
      </w:r>
    </w:p>
    <w:p w14:paraId="604A59DB" w14:textId="513886EC" w:rsidR="005A08AB" w:rsidRPr="008C5B78" w:rsidRDefault="00875A04" w:rsidP="008C5B78">
      <w:pPr>
        <w:spacing w:after="240" w:line="480" w:lineRule="auto"/>
        <w:ind w:firstLine="720"/>
        <w:jc w:val="both"/>
        <w:rPr>
          <w:rFonts w:ascii="Times New Roman" w:hAnsi="Times New Roman" w:cs="Times New Roman"/>
        </w:rPr>
      </w:pPr>
      <w:r>
        <w:rPr>
          <w:rFonts w:ascii="Times New Roman" w:hAnsi="Times New Roman" w:cs="Times New Roman"/>
        </w:rPr>
        <w:t xml:space="preserve">Also for administrative efficiency and prudent use of resources, </w:t>
      </w:r>
      <w:r w:rsidRPr="00875A04">
        <w:rPr>
          <w:rFonts w:ascii="Times New Roman" w:hAnsi="Times New Roman" w:cs="Times New Roman"/>
        </w:rPr>
        <w:t xml:space="preserve">the Commission should </w:t>
      </w:r>
      <w:r w:rsidR="00666970">
        <w:rPr>
          <w:rFonts w:ascii="Times New Roman" w:hAnsi="Times New Roman" w:cs="Times New Roman"/>
        </w:rPr>
        <w:t xml:space="preserve">either forego the revision control summary or, at a minimum, </w:t>
      </w:r>
      <w:r>
        <w:rPr>
          <w:rFonts w:ascii="Times New Roman" w:hAnsi="Times New Roman" w:cs="Times New Roman"/>
        </w:rPr>
        <w:t>only require that “material changes” be specified in the revision control summary.</w:t>
      </w:r>
      <w:r w:rsidR="00666970">
        <w:rPr>
          <w:rFonts w:ascii="Times New Roman" w:hAnsi="Times New Roman" w:cs="Times New Roman"/>
        </w:rPr>
        <w:t xml:space="preserve"> Such a summary could easily become voluminous in its own right, especially for the first required filing under the new proposed rule given the potential scope of EOP changes contemplated. </w:t>
      </w:r>
      <w:r w:rsidR="008C5B78">
        <w:rPr>
          <w:rFonts w:ascii="Times New Roman" w:hAnsi="Times New Roman" w:cs="Times New Roman"/>
        </w:rPr>
        <w:t xml:space="preserve">Instead, existing record keeping requirements should ensure that the Commission may access such information on an as-needed basis should the need ever arise. Accordingly, the Commission should omit the PFP’s </w:t>
      </w:r>
      <w:r w:rsidR="00BB184B">
        <w:rPr>
          <w:rFonts w:ascii="Times New Roman" w:hAnsi="Times New Roman" w:cs="Times New Roman"/>
        </w:rPr>
        <w:t xml:space="preserve">subpart </w:t>
      </w:r>
      <w:r w:rsidR="008C5B78">
        <w:rPr>
          <w:rFonts w:ascii="Times New Roman" w:hAnsi="Times New Roman" w:cs="Times New Roman"/>
        </w:rPr>
        <w:t>(d)(1)(</w:t>
      </w:r>
      <w:r w:rsidR="00BB184B">
        <w:rPr>
          <w:rFonts w:ascii="Times New Roman" w:hAnsi="Times New Roman" w:cs="Times New Roman"/>
        </w:rPr>
        <w:t>C</w:t>
      </w:r>
      <w:r w:rsidR="008C5B78">
        <w:rPr>
          <w:rFonts w:ascii="Times New Roman" w:hAnsi="Times New Roman" w:cs="Times New Roman"/>
        </w:rPr>
        <w:t xml:space="preserve">) from the final rule, or at the very minimum </w:t>
      </w:r>
      <w:r w:rsidR="00BB184B">
        <w:rPr>
          <w:rFonts w:ascii="Times New Roman" w:hAnsi="Times New Roman" w:cs="Times New Roman"/>
        </w:rPr>
        <w:t xml:space="preserve">modify </w:t>
      </w:r>
      <w:r w:rsidR="008C5B78">
        <w:rPr>
          <w:rFonts w:ascii="Times New Roman" w:hAnsi="Times New Roman" w:cs="Times New Roman"/>
        </w:rPr>
        <w:t>subpart (d)(</w:t>
      </w:r>
      <w:r w:rsidR="00BB184B">
        <w:rPr>
          <w:rFonts w:ascii="Times New Roman" w:hAnsi="Times New Roman" w:cs="Times New Roman"/>
        </w:rPr>
        <w:t>1</w:t>
      </w:r>
      <w:r w:rsidR="008C5B78">
        <w:rPr>
          <w:rFonts w:ascii="Times New Roman" w:hAnsi="Times New Roman" w:cs="Times New Roman"/>
        </w:rPr>
        <w:t>)(</w:t>
      </w:r>
      <w:r w:rsidR="00BB184B">
        <w:rPr>
          <w:rFonts w:ascii="Times New Roman" w:hAnsi="Times New Roman" w:cs="Times New Roman"/>
        </w:rPr>
        <w:t>C</w:t>
      </w:r>
      <w:r w:rsidR="008C5B78">
        <w:rPr>
          <w:rFonts w:ascii="Times New Roman" w:hAnsi="Times New Roman" w:cs="Times New Roman"/>
        </w:rPr>
        <w:t>)</w:t>
      </w:r>
      <w:r w:rsidR="00BB184B">
        <w:rPr>
          <w:rFonts w:ascii="Times New Roman" w:hAnsi="Times New Roman" w:cs="Times New Roman"/>
        </w:rPr>
        <w:t xml:space="preserve"> to be limited to “material” changes.</w:t>
      </w:r>
    </w:p>
    <w:p w14:paraId="0FCEF092" w14:textId="53DB74DD" w:rsidR="005B1BB2" w:rsidRDefault="005B1BB2" w:rsidP="00E51397">
      <w:pPr>
        <w:pStyle w:val="ListParagraph"/>
        <w:numPr>
          <w:ilvl w:val="1"/>
          <w:numId w:val="6"/>
        </w:numPr>
        <w:spacing w:after="240"/>
        <w:jc w:val="both"/>
        <w:rPr>
          <w:rFonts w:ascii="Times New Roman" w:hAnsi="Times New Roman" w:cs="Times New Roman"/>
          <w:b/>
          <w:bCs/>
        </w:rPr>
      </w:pPr>
      <w:r>
        <w:rPr>
          <w:rFonts w:ascii="Times New Roman" w:hAnsi="Times New Roman" w:cs="Times New Roman"/>
          <w:b/>
          <w:bCs/>
        </w:rPr>
        <w:t>Highest-ranking officer attestation requirement would create unnecessary bottlenecks and provide no incremental value over current rule requirements.</w:t>
      </w:r>
    </w:p>
    <w:p w14:paraId="35D745AD" w14:textId="77777777" w:rsidR="005A08AB" w:rsidRPr="005A08AB" w:rsidRDefault="005A08AB" w:rsidP="005A08AB">
      <w:pPr>
        <w:pStyle w:val="ListParagraph"/>
        <w:rPr>
          <w:rFonts w:ascii="Times New Roman" w:hAnsi="Times New Roman" w:cs="Times New Roman"/>
          <w:b/>
          <w:bCs/>
        </w:rPr>
      </w:pPr>
    </w:p>
    <w:p w14:paraId="0981A806" w14:textId="77777777" w:rsidR="008245D1" w:rsidRDefault="000D006A" w:rsidP="000D006A">
      <w:pPr>
        <w:spacing w:after="240" w:line="480" w:lineRule="auto"/>
        <w:ind w:firstLine="720"/>
        <w:jc w:val="both"/>
        <w:rPr>
          <w:rFonts w:ascii="Times New Roman" w:hAnsi="Times New Roman" w:cs="Times New Roman"/>
        </w:rPr>
      </w:pPr>
      <w:r>
        <w:rPr>
          <w:rFonts w:ascii="Times New Roman" w:hAnsi="Times New Roman" w:cs="Times New Roman"/>
        </w:rPr>
        <w:t xml:space="preserve">Also for administrative efficiency and prudent use of resources, </w:t>
      </w:r>
      <w:r w:rsidRPr="00875A04">
        <w:rPr>
          <w:rFonts w:ascii="Times New Roman" w:hAnsi="Times New Roman" w:cs="Times New Roman"/>
        </w:rPr>
        <w:t xml:space="preserve">the Commission </w:t>
      </w:r>
      <w:r w:rsidR="00A93847">
        <w:rPr>
          <w:rFonts w:ascii="Times New Roman" w:hAnsi="Times New Roman" w:cs="Times New Roman"/>
        </w:rPr>
        <w:t xml:space="preserve">should </w:t>
      </w:r>
      <w:r w:rsidR="00830ECC">
        <w:rPr>
          <w:rFonts w:ascii="Times New Roman" w:hAnsi="Times New Roman" w:cs="Times New Roman"/>
        </w:rPr>
        <w:t xml:space="preserve">modify </w:t>
      </w:r>
      <w:r>
        <w:rPr>
          <w:rFonts w:ascii="Times New Roman" w:hAnsi="Times New Roman" w:cs="Times New Roman"/>
        </w:rPr>
        <w:t xml:space="preserve">the requirement in the PFP’s subsection (d)(4) that the entity’s “highest-ranking” principal </w:t>
      </w:r>
      <w:r w:rsidR="00830ECC">
        <w:rPr>
          <w:rFonts w:ascii="Times New Roman" w:hAnsi="Times New Roman" w:cs="Times New Roman"/>
        </w:rPr>
        <w:t>attest to the EOP readiness requirements enumerated in that subsection</w:t>
      </w:r>
      <w:r>
        <w:rPr>
          <w:rFonts w:ascii="Times New Roman" w:hAnsi="Times New Roman" w:cs="Times New Roman"/>
        </w:rPr>
        <w:t xml:space="preserve">. </w:t>
      </w:r>
      <w:r w:rsidR="00830ECC">
        <w:rPr>
          <w:rFonts w:ascii="Times New Roman" w:hAnsi="Times New Roman" w:cs="Times New Roman"/>
        </w:rPr>
        <w:t xml:space="preserve">The Commission should </w:t>
      </w:r>
      <w:r w:rsidR="004E0391">
        <w:rPr>
          <w:rFonts w:ascii="Times New Roman" w:hAnsi="Times New Roman" w:cs="Times New Roman"/>
        </w:rPr>
        <w:lastRenderedPageBreak/>
        <w:t xml:space="preserve">instead </w:t>
      </w:r>
      <w:r w:rsidR="00830ECC">
        <w:rPr>
          <w:rFonts w:ascii="Times New Roman" w:hAnsi="Times New Roman" w:cs="Times New Roman"/>
        </w:rPr>
        <w:t xml:space="preserve">keep the current rule’s requirement that such an attestation is made by an officer </w:t>
      </w:r>
      <w:r w:rsidR="004E0391" w:rsidRPr="004E0391">
        <w:rPr>
          <w:rFonts w:ascii="Times New Roman" w:hAnsi="Times New Roman" w:cs="Times New Roman"/>
        </w:rPr>
        <w:t>with responsibility for the entity’s operations</w:t>
      </w:r>
      <w:r w:rsidR="004E0391">
        <w:rPr>
          <w:rFonts w:ascii="Times New Roman" w:hAnsi="Times New Roman" w:cs="Times New Roman"/>
        </w:rPr>
        <w:t xml:space="preserve">. </w:t>
      </w:r>
    </w:p>
    <w:p w14:paraId="329FAA8C" w14:textId="2386E811" w:rsidR="000D006A" w:rsidRPr="008C5B78" w:rsidRDefault="004E0391" w:rsidP="000D006A">
      <w:pPr>
        <w:spacing w:after="240" w:line="480" w:lineRule="auto"/>
        <w:ind w:firstLine="720"/>
        <w:jc w:val="both"/>
        <w:rPr>
          <w:rFonts w:ascii="Times New Roman" w:hAnsi="Times New Roman" w:cs="Times New Roman"/>
        </w:rPr>
      </w:pPr>
      <w:r>
        <w:rPr>
          <w:rFonts w:ascii="Times New Roman" w:hAnsi="Times New Roman" w:cs="Times New Roman"/>
        </w:rPr>
        <w:t>Limiting the attestation requirement to a single individual creates a significant and unnecessary compliance bottleneck. The EOP is by definition an operational planning document, so no</w:t>
      </w:r>
      <w:r w:rsidR="007633B1">
        <w:rPr>
          <w:rFonts w:ascii="Times New Roman" w:hAnsi="Times New Roman" w:cs="Times New Roman"/>
        </w:rPr>
        <w:t xml:space="preserve">thing is lost by allowing an officer with oversight of operations attest to the organization’s readiness. This does not prohibit the </w:t>
      </w:r>
      <w:r w:rsidR="003B3AC6">
        <w:rPr>
          <w:rFonts w:ascii="Times New Roman" w:hAnsi="Times New Roman" w:cs="Times New Roman"/>
        </w:rPr>
        <w:t>highest-ranking</w:t>
      </w:r>
      <w:r w:rsidR="007633B1">
        <w:rPr>
          <w:rFonts w:ascii="Times New Roman" w:hAnsi="Times New Roman" w:cs="Times New Roman"/>
        </w:rPr>
        <w:t xml:space="preserve"> officer from making the proposed attestation, but does provide flexibility for other qualified individuals to </w:t>
      </w:r>
      <w:r w:rsidR="00EB562A">
        <w:rPr>
          <w:rFonts w:ascii="Times New Roman" w:hAnsi="Times New Roman" w:cs="Times New Roman"/>
        </w:rPr>
        <w:t xml:space="preserve">certify the entity’s readiness. </w:t>
      </w:r>
      <w:r w:rsidR="003B3AC6">
        <w:rPr>
          <w:rFonts w:ascii="Times New Roman" w:hAnsi="Times New Roman" w:cs="Times New Roman"/>
        </w:rPr>
        <w:t xml:space="preserve"> </w:t>
      </w:r>
      <w:r w:rsidR="000D006A">
        <w:rPr>
          <w:rFonts w:ascii="Times New Roman" w:hAnsi="Times New Roman" w:cs="Times New Roman"/>
        </w:rPr>
        <w:t xml:space="preserve">Accordingly, the Commission should </w:t>
      </w:r>
      <w:r w:rsidR="00EB562A">
        <w:rPr>
          <w:rFonts w:ascii="Times New Roman" w:hAnsi="Times New Roman" w:cs="Times New Roman"/>
        </w:rPr>
        <w:t xml:space="preserve">revise </w:t>
      </w:r>
      <w:r w:rsidR="000D006A">
        <w:rPr>
          <w:rFonts w:ascii="Times New Roman" w:hAnsi="Times New Roman" w:cs="Times New Roman"/>
        </w:rPr>
        <w:t>the PFP’s subpart (d)(</w:t>
      </w:r>
      <w:r w:rsidR="00EB562A">
        <w:rPr>
          <w:rFonts w:ascii="Times New Roman" w:hAnsi="Times New Roman" w:cs="Times New Roman"/>
        </w:rPr>
        <w:t>4</w:t>
      </w:r>
      <w:r w:rsidR="000D006A">
        <w:rPr>
          <w:rFonts w:ascii="Times New Roman" w:hAnsi="Times New Roman" w:cs="Times New Roman"/>
        </w:rPr>
        <w:t xml:space="preserve">) </w:t>
      </w:r>
      <w:r w:rsidR="00EB562A">
        <w:rPr>
          <w:rFonts w:ascii="Times New Roman" w:hAnsi="Times New Roman" w:cs="Times New Roman"/>
        </w:rPr>
        <w:t xml:space="preserve">in </w:t>
      </w:r>
      <w:r w:rsidR="000D006A">
        <w:rPr>
          <w:rFonts w:ascii="Times New Roman" w:hAnsi="Times New Roman" w:cs="Times New Roman"/>
        </w:rPr>
        <w:t>the final rule</w:t>
      </w:r>
      <w:r w:rsidR="00EB562A">
        <w:rPr>
          <w:rFonts w:ascii="Times New Roman" w:hAnsi="Times New Roman" w:cs="Times New Roman"/>
        </w:rPr>
        <w:t xml:space="preserve"> to at a </w:t>
      </w:r>
      <w:r w:rsidR="000D006A">
        <w:rPr>
          <w:rFonts w:ascii="Times New Roman" w:hAnsi="Times New Roman" w:cs="Times New Roman"/>
        </w:rPr>
        <w:t xml:space="preserve">minimum </w:t>
      </w:r>
      <w:r w:rsidR="00EB562A">
        <w:rPr>
          <w:rFonts w:ascii="Times New Roman" w:hAnsi="Times New Roman" w:cs="Times New Roman"/>
        </w:rPr>
        <w:t>permit an “</w:t>
      </w:r>
      <w:r w:rsidR="00EB562A" w:rsidRPr="00EB562A">
        <w:rPr>
          <w:rFonts w:ascii="Times New Roman" w:hAnsi="Times New Roman" w:cs="Times New Roman"/>
        </w:rPr>
        <w:t>an owner, partner, officer, manager, or other official with responsibility for the entity’s operations</w:t>
      </w:r>
      <w:r w:rsidR="00EB562A">
        <w:rPr>
          <w:rFonts w:ascii="Times New Roman" w:hAnsi="Times New Roman" w:cs="Times New Roman"/>
        </w:rPr>
        <w:t>” complete the required attestation</w:t>
      </w:r>
      <w:r w:rsidR="000D006A">
        <w:rPr>
          <w:rFonts w:ascii="Times New Roman" w:hAnsi="Times New Roman" w:cs="Times New Roman"/>
        </w:rPr>
        <w:t>.</w:t>
      </w:r>
    </w:p>
    <w:p w14:paraId="5A01413A" w14:textId="7DC03DD2" w:rsidR="005B1BB2" w:rsidRDefault="005342B4" w:rsidP="00E51397">
      <w:pPr>
        <w:pStyle w:val="ListParagraph"/>
        <w:numPr>
          <w:ilvl w:val="1"/>
          <w:numId w:val="6"/>
        </w:numPr>
        <w:spacing w:after="240"/>
        <w:jc w:val="both"/>
        <w:rPr>
          <w:rFonts w:ascii="Times New Roman" w:hAnsi="Times New Roman" w:cs="Times New Roman"/>
          <w:b/>
          <w:bCs/>
        </w:rPr>
      </w:pPr>
      <w:r>
        <w:rPr>
          <w:rFonts w:ascii="Times New Roman" w:hAnsi="Times New Roman" w:cs="Times New Roman"/>
          <w:b/>
          <w:bCs/>
        </w:rPr>
        <w:t xml:space="preserve">The rule should not </w:t>
      </w:r>
      <w:r w:rsidR="004B6DBF">
        <w:rPr>
          <w:rFonts w:ascii="Times New Roman" w:hAnsi="Times New Roman" w:cs="Times New Roman"/>
          <w:b/>
          <w:bCs/>
        </w:rPr>
        <w:t xml:space="preserve">imply a </w:t>
      </w:r>
      <w:r>
        <w:rPr>
          <w:rFonts w:ascii="Times New Roman" w:hAnsi="Times New Roman" w:cs="Times New Roman"/>
          <w:b/>
          <w:bCs/>
        </w:rPr>
        <w:t>require</w:t>
      </w:r>
      <w:r w:rsidR="004B6DBF">
        <w:rPr>
          <w:rFonts w:ascii="Times New Roman" w:hAnsi="Times New Roman" w:cs="Times New Roman"/>
          <w:b/>
          <w:bCs/>
        </w:rPr>
        <w:t>ment for</w:t>
      </w:r>
      <w:r>
        <w:rPr>
          <w:rFonts w:ascii="Times New Roman" w:hAnsi="Times New Roman" w:cs="Times New Roman"/>
          <w:b/>
          <w:bCs/>
        </w:rPr>
        <w:t xml:space="preserve"> </w:t>
      </w:r>
      <w:r w:rsidR="00BD4DF2">
        <w:rPr>
          <w:rFonts w:ascii="Times New Roman" w:hAnsi="Times New Roman" w:cs="Times New Roman"/>
          <w:b/>
          <w:bCs/>
        </w:rPr>
        <w:t>EOP</w:t>
      </w:r>
      <w:r>
        <w:rPr>
          <w:rFonts w:ascii="Times New Roman" w:hAnsi="Times New Roman" w:cs="Times New Roman"/>
          <w:b/>
          <w:bCs/>
        </w:rPr>
        <w:t>s</w:t>
      </w:r>
      <w:r w:rsidR="00BD4DF2">
        <w:rPr>
          <w:rFonts w:ascii="Times New Roman" w:hAnsi="Times New Roman" w:cs="Times New Roman"/>
          <w:b/>
          <w:bCs/>
        </w:rPr>
        <w:t xml:space="preserve"> </w:t>
      </w:r>
      <w:r>
        <w:rPr>
          <w:rFonts w:ascii="Times New Roman" w:hAnsi="Times New Roman" w:cs="Times New Roman"/>
          <w:b/>
          <w:bCs/>
        </w:rPr>
        <w:t xml:space="preserve">to </w:t>
      </w:r>
      <w:r w:rsidR="00BD4DF2">
        <w:rPr>
          <w:rFonts w:ascii="Times New Roman" w:hAnsi="Times New Roman" w:cs="Times New Roman"/>
          <w:b/>
          <w:bCs/>
        </w:rPr>
        <w:t>be distributed to “local jurisdictions.”</w:t>
      </w:r>
    </w:p>
    <w:p w14:paraId="309947DA" w14:textId="7D8E30BA" w:rsidR="005342B4" w:rsidRPr="005A08AB" w:rsidRDefault="005342B4" w:rsidP="005342B4">
      <w:pPr>
        <w:spacing w:after="240" w:line="480" w:lineRule="auto"/>
        <w:ind w:firstLine="720"/>
        <w:jc w:val="both"/>
        <w:rPr>
          <w:rFonts w:ascii="Times New Roman" w:hAnsi="Times New Roman" w:cs="Times New Roman"/>
        </w:rPr>
      </w:pPr>
      <w:r>
        <w:rPr>
          <w:rFonts w:ascii="Times New Roman" w:hAnsi="Times New Roman" w:cs="Times New Roman"/>
        </w:rPr>
        <w:t xml:space="preserve">Subpart (d)(4)(D) would require </w:t>
      </w:r>
      <w:r w:rsidR="004B6DBF">
        <w:rPr>
          <w:rFonts w:ascii="Times New Roman" w:hAnsi="Times New Roman" w:cs="Times New Roman"/>
        </w:rPr>
        <w:t xml:space="preserve">the EOP readiness attestation to </w:t>
      </w:r>
      <w:r w:rsidR="00D16116">
        <w:rPr>
          <w:rFonts w:ascii="Times New Roman" w:hAnsi="Times New Roman" w:cs="Times New Roman"/>
        </w:rPr>
        <w:t>include confirmation that the EOP or some summary of it be distributed to “local jurisdictions as appropriate</w:t>
      </w:r>
      <w:r>
        <w:rPr>
          <w:rFonts w:ascii="Times New Roman" w:hAnsi="Times New Roman" w:cs="Times New Roman"/>
        </w:rPr>
        <w:t>.</w:t>
      </w:r>
      <w:r w:rsidR="00D16116">
        <w:rPr>
          <w:rFonts w:ascii="Times New Roman" w:hAnsi="Times New Roman" w:cs="Times New Roman"/>
        </w:rPr>
        <w:t>” There are few, if any, scenarios that would warrant distribution of an EOP or any of its component procedures to a local jurisdictio</w:t>
      </w:r>
      <w:r w:rsidR="00C9169B">
        <w:rPr>
          <w:rFonts w:ascii="Times New Roman" w:hAnsi="Times New Roman" w:cs="Times New Roman"/>
        </w:rPr>
        <w:t xml:space="preserve">n. To the contrary, EOPs contain significant amounts of </w:t>
      </w:r>
      <w:r w:rsidR="00B77185">
        <w:rPr>
          <w:rFonts w:ascii="Times New Roman" w:hAnsi="Times New Roman" w:cs="Times New Roman"/>
        </w:rPr>
        <w:t xml:space="preserve">commercially- or security-sensitive </w:t>
      </w:r>
      <w:r w:rsidR="00C9169B">
        <w:rPr>
          <w:rFonts w:ascii="Times New Roman" w:hAnsi="Times New Roman" w:cs="Times New Roman"/>
        </w:rPr>
        <w:t xml:space="preserve">proprietary information that entities must take precautions to </w:t>
      </w:r>
      <w:r w:rsidR="00B77185">
        <w:rPr>
          <w:rFonts w:ascii="Times New Roman" w:hAnsi="Times New Roman" w:cs="Times New Roman"/>
        </w:rPr>
        <w:t xml:space="preserve">maintain confidentiality of. </w:t>
      </w:r>
      <w:r w:rsidR="006141FF">
        <w:rPr>
          <w:rFonts w:ascii="Times New Roman" w:hAnsi="Times New Roman" w:cs="Times New Roman"/>
        </w:rPr>
        <w:t>TCPA</w:t>
      </w:r>
      <w:r w:rsidR="00B77185">
        <w:rPr>
          <w:rFonts w:ascii="Times New Roman" w:hAnsi="Times New Roman" w:cs="Times New Roman"/>
        </w:rPr>
        <w:t xml:space="preserve"> is not aware of any record indicating that local jurisdiction access to EOPs was an issue during Winter Storm Uri or any other emergency. Accordingly, the</w:t>
      </w:r>
      <w:r w:rsidR="00CC665E">
        <w:rPr>
          <w:rFonts w:ascii="Times New Roman" w:hAnsi="Times New Roman" w:cs="Times New Roman"/>
        </w:rPr>
        <w:t xml:space="preserve">re is not a demonstrated need for EOP distribution to local jurisdictions, and </w:t>
      </w:r>
      <w:r w:rsidR="00B77185">
        <w:rPr>
          <w:rFonts w:ascii="Times New Roman" w:hAnsi="Times New Roman" w:cs="Times New Roman"/>
        </w:rPr>
        <w:t>Commission should omit the PFP’s subpart (d)(4)(D) from the final rule.</w:t>
      </w:r>
    </w:p>
    <w:p w14:paraId="363F0291" w14:textId="7458813F" w:rsidR="00BD4DF2" w:rsidRDefault="00BD4DF2" w:rsidP="00E51397">
      <w:pPr>
        <w:pStyle w:val="ListParagraph"/>
        <w:numPr>
          <w:ilvl w:val="1"/>
          <w:numId w:val="6"/>
        </w:numPr>
        <w:spacing w:after="240"/>
        <w:jc w:val="both"/>
        <w:rPr>
          <w:rFonts w:ascii="Times New Roman" w:hAnsi="Times New Roman" w:cs="Times New Roman"/>
          <w:b/>
          <w:bCs/>
        </w:rPr>
      </w:pPr>
      <w:r>
        <w:rPr>
          <w:rFonts w:ascii="Times New Roman" w:hAnsi="Times New Roman" w:cs="Times New Roman"/>
          <w:b/>
          <w:bCs/>
        </w:rPr>
        <w:t>The National Incident Management System training requirement would create communication bottlenecks that might hinder rather than facilitate communications during an emergency.</w:t>
      </w:r>
    </w:p>
    <w:p w14:paraId="32F1C58F" w14:textId="77777777" w:rsidR="005A08AB" w:rsidRPr="005A08AB" w:rsidRDefault="005A08AB" w:rsidP="005A08AB">
      <w:pPr>
        <w:pStyle w:val="ListParagraph"/>
        <w:rPr>
          <w:rFonts w:ascii="Times New Roman" w:hAnsi="Times New Roman" w:cs="Times New Roman"/>
          <w:b/>
          <w:bCs/>
        </w:rPr>
      </w:pPr>
    </w:p>
    <w:p w14:paraId="39AD0E57" w14:textId="7FDC986A" w:rsidR="00EC6513" w:rsidRPr="005A08AB" w:rsidRDefault="00EC6513" w:rsidP="00EC6513">
      <w:pPr>
        <w:spacing w:after="240" w:line="480" w:lineRule="auto"/>
        <w:ind w:firstLine="720"/>
        <w:jc w:val="both"/>
        <w:rPr>
          <w:rFonts w:ascii="Times New Roman" w:hAnsi="Times New Roman" w:cs="Times New Roman"/>
        </w:rPr>
      </w:pPr>
      <w:r>
        <w:rPr>
          <w:rFonts w:ascii="Times New Roman" w:hAnsi="Times New Roman" w:cs="Times New Roman"/>
        </w:rPr>
        <w:t>Subpart (d)(4)(F) in the PFP would require the EOP readiness attestation to include confirmation that the entity’s “emergency management personnel who are designated to interact with local, state, and federal emergency management officials” receive specific training.</w:t>
      </w:r>
      <w:r w:rsidR="00E674F5">
        <w:rPr>
          <w:rFonts w:ascii="Times New Roman" w:hAnsi="Times New Roman" w:cs="Times New Roman"/>
        </w:rPr>
        <w:t xml:space="preserve"> However, an entity may have multiple points of contact with local, state, and federal employees that could be considered “emergency management officials.” </w:t>
      </w:r>
      <w:r w:rsidR="00575393">
        <w:rPr>
          <w:rFonts w:ascii="Times New Roman" w:hAnsi="Times New Roman" w:cs="Times New Roman"/>
        </w:rPr>
        <w:t xml:space="preserve">The training requirements contemplated appear to cover multiple days’ worth of training, which may not be </w:t>
      </w:r>
      <w:r w:rsidR="001918F1">
        <w:rPr>
          <w:rFonts w:ascii="Times New Roman" w:hAnsi="Times New Roman" w:cs="Times New Roman"/>
        </w:rPr>
        <w:t xml:space="preserve">practical for </w:t>
      </w:r>
      <w:r w:rsidR="000470B5">
        <w:rPr>
          <w:rFonts w:ascii="Times New Roman" w:hAnsi="Times New Roman" w:cs="Times New Roman"/>
        </w:rPr>
        <w:t xml:space="preserve">entire teams that may </w:t>
      </w:r>
      <w:r w:rsidR="001918F1">
        <w:rPr>
          <w:rFonts w:ascii="Times New Roman" w:hAnsi="Times New Roman" w:cs="Times New Roman"/>
        </w:rPr>
        <w:t xml:space="preserve">have contact with government officials </w:t>
      </w:r>
      <w:r w:rsidR="000470B5">
        <w:rPr>
          <w:rFonts w:ascii="Times New Roman" w:hAnsi="Times New Roman" w:cs="Times New Roman"/>
        </w:rPr>
        <w:t xml:space="preserve">during an emergency </w:t>
      </w:r>
      <w:r w:rsidR="001918F1">
        <w:rPr>
          <w:rFonts w:ascii="Times New Roman" w:hAnsi="Times New Roman" w:cs="Times New Roman"/>
        </w:rPr>
        <w:t xml:space="preserve">(e.g., </w:t>
      </w:r>
      <w:r w:rsidR="000470B5">
        <w:rPr>
          <w:rFonts w:ascii="Times New Roman" w:hAnsi="Times New Roman" w:cs="Times New Roman"/>
        </w:rPr>
        <w:t>government, regulatory, community, and media teams)</w:t>
      </w:r>
      <w:r w:rsidR="00575393">
        <w:rPr>
          <w:rFonts w:ascii="Times New Roman" w:hAnsi="Times New Roman" w:cs="Times New Roman"/>
        </w:rPr>
        <w:t xml:space="preserve">. </w:t>
      </w:r>
      <w:r w:rsidR="00244341">
        <w:rPr>
          <w:rFonts w:ascii="Times New Roman" w:hAnsi="Times New Roman" w:cs="Times New Roman"/>
        </w:rPr>
        <w:t>L</w:t>
      </w:r>
      <w:r w:rsidR="000470B5">
        <w:rPr>
          <w:rFonts w:ascii="Times New Roman" w:hAnsi="Times New Roman" w:cs="Times New Roman"/>
        </w:rPr>
        <w:t xml:space="preserve">imiting communications to go through only employees that have completed the specified trainings may unnecessarily slow communications during an emergency. </w:t>
      </w:r>
      <w:r w:rsidR="00575393">
        <w:rPr>
          <w:rFonts w:ascii="Times New Roman" w:hAnsi="Times New Roman" w:cs="Times New Roman"/>
        </w:rPr>
        <w:t>Additionally, it appears that the specified trainings are no longer available</w:t>
      </w:r>
      <w:r w:rsidR="000470B5">
        <w:rPr>
          <w:rFonts w:ascii="Times New Roman" w:hAnsi="Times New Roman" w:cs="Times New Roman"/>
        </w:rPr>
        <w:t xml:space="preserve"> or have been re-versioned</w:t>
      </w:r>
      <w:r w:rsidR="00575393">
        <w:rPr>
          <w:rFonts w:ascii="Times New Roman" w:hAnsi="Times New Roman" w:cs="Times New Roman"/>
        </w:rPr>
        <w:t>.</w:t>
      </w:r>
      <w:r w:rsidR="00575393">
        <w:rPr>
          <w:rStyle w:val="FootnoteReference"/>
          <w:rFonts w:ascii="Times New Roman" w:hAnsi="Times New Roman" w:cs="Times New Roman"/>
        </w:rPr>
        <w:footnoteReference w:id="11"/>
      </w:r>
      <w:r w:rsidR="000470B5">
        <w:rPr>
          <w:rFonts w:ascii="Times New Roman" w:hAnsi="Times New Roman" w:cs="Times New Roman"/>
        </w:rPr>
        <w:t xml:space="preserve"> </w:t>
      </w:r>
      <w:r w:rsidR="00C76C9B">
        <w:rPr>
          <w:rFonts w:ascii="Times New Roman" w:hAnsi="Times New Roman" w:cs="Times New Roman"/>
        </w:rPr>
        <w:t xml:space="preserve">While </w:t>
      </w:r>
      <w:r w:rsidR="006141FF">
        <w:rPr>
          <w:rFonts w:ascii="Times New Roman" w:hAnsi="Times New Roman" w:cs="Times New Roman"/>
        </w:rPr>
        <w:t>TCPA</w:t>
      </w:r>
      <w:r w:rsidR="00C76C9B">
        <w:rPr>
          <w:rFonts w:ascii="Times New Roman" w:hAnsi="Times New Roman" w:cs="Times New Roman"/>
        </w:rPr>
        <w:t xml:space="preserve"> agrees with the need to have effective communication and coordination between government officials and industry during an emergency, there may be better options or opportunities for pursuing that objective than setting a static attestation requirement in the rule that may already be obsolete. </w:t>
      </w:r>
      <w:r w:rsidR="00B74475">
        <w:rPr>
          <w:rFonts w:ascii="Times New Roman" w:hAnsi="Times New Roman" w:cs="Times New Roman"/>
        </w:rPr>
        <w:t xml:space="preserve">This could actually be achieved by more generalized training requirement language in subpart (d)(4)(A). </w:t>
      </w:r>
      <w:r>
        <w:rPr>
          <w:rFonts w:ascii="Times New Roman" w:hAnsi="Times New Roman" w:cs="Times New Roman"/>
        </w:rPr>
        <w:t xml:space="preserve">Accordingly, </w:t>
      </w:r>
      <w:r w:rsidR="00C76C9B">
        <w:rPr>
          <w:rFonts w:ascii="Times New Roman" w:hAnsi="Times New Roman" w:cs="Times New Roman"/>
        </w:rPr>
        <w:t xml:space="preserve">the </w:t>
      </w:r>
      <w:r>
        <w:rPr>
          <w:rFonts w:ascii="Times New Roman" w:hAnsi="Times New Roman" w:cs="Times New Roman"/>
        </w:rPr>
        <w:t xml:space="preserve">Commission should </w:t>
      </w:r>
      <w:r w:rsidR="00B74475">
        <w:rPr>
          <w:rFonts w:ascii="Times New Roman" w:hAnsi="Times New Roman" w:cs="Times New Roman"/>
        </w:rPr>
        <w:t xml:space="preserve">strike the term “operational” from </w:t>
      </w:r>
      <w:r w:rsidR="00921B24">
        <w:rPr>
          <w:rFonts w:ascii="Times New Roman" w:hAnsi="Times New Roman" w:cs="Times New Roman"/>
        </w:rPr>
        <w:t xml:space="preserve">and slightly broaden </w:t>
      </w:r>
      <w:r w:rsidR="00B74475">
        <w:rPr>
          <w:rFonts w:ascii="Times New Roman" w:hAnsi="Times New Roman" w:cs="Times New Roman"/>
        </w:rPr>
        <w:t>subpart (d)(4)(A)</w:t>
      </w:r>
      <w:r w:rsidR="00921B24">
        <w:rPr>
          <w:rFonts w:ascii="Times New Roman" w:hAnsi="Times New Roman" w:cs="Times New Roman"/>
        </w:rPr>
        <w:t>,</w:t>
      </w:r>
      <w:r w:rsidR="00B74475">
        <w:rPr>
          <w:rFonts w:ascii="Times New Roman" w:hAnsi="Times New Roman" w:cs="Times New Roman"/>
        </w:rPr>
        <w:t xml:space="preserve"> </w:t>
      </w:r>
      <w:r w:rsidR="00921B24">
        <w:rPr>
          <w:rFonts w:ascii="Times New Roman" w:hAnsi="Times New Roman" w:cs="Times New Roman"/>
        </w:rPr>
        <w:t xml:space="preserve">then </w:t>
      </w:r>
      <w:r>
        <w:rPr>
          <w:rFonts w:ascii="Times New Roman" w:hAnsi="Times New Roman" w:cs="Times New Roman"/>
        </w:rPr>
        <w:t>omit the PFP’s subpart (d)(4)(</w:t>
      </w:r>
      <w:r w:rsidR="00C76C9B">
        <w:rPr>
          <w:rFonts w:ascii="Times New Roman" w:hAnsi="Times New Roman" w:cs="Times New Roman"/>
        </w:rPr>
        <w:t>F</w:t>
      </w:r>
      <w:r>
        <w:rPr>
          <w:rFonts w:ascii="Times New Roman" w:hAnsi="Times New Roman" w:cs="Times New Roman"/>
        </w:rPr>
        <w:t>) from the final rule</w:t>
      </w:r>
      <w:r w:rsidR="00921B24">
        <w:rPr>
          <w:rFonts w:ascii="Times New Roman" w:hAnsi="Times New Roman" w:cs="Times New Roman"/>
        </w:rPr>
        <w:t>. I</w:t>
      </w:r>
      <w:r w:rsidR="00B74475">
        <w:rPr>
          <w:rFonts w:ascii="Times New Roman" w:hAnsi="Times New Roman" w:cs="Times New Roman"/>
        </w:rPr>
        <w:t>f necessary</w:t>
      </w:r>
      <w:r w:rsidR="00244341">
        <w:rPr>
          <w:rFonts w:ascii="Times New Roman" w:hAnsi="Times New Roman" w:cs="Times New Roman"/>
        </w:rPr>
        <w:t>,</w:t>
      </w:r>
      <w:r w:rsidR="00B74475">
        <w:rPr>
          <w:rFonts w:ascii="Times New Roman" w:hAnsi="Times New Roman" w:cs="Times New Roman"/>
        </w:rPr>
        <w:t xml:space="preserve"> </w:t>
      </w:r>
      <w:r w:rsidR="00921B24">
        <w:rPr>
          <w:rFonts w:ascii="Times New Roman" w:hAnsi="Times New Roman" w:cs="Times New Roman"/>
        </w:rPr>
        <w:t xml:space="preserve">Staff can </w:t>
      </w:r>
      <w:r w:rsidR="00C76C9B">
        <w:rPr>
          <w:rFonts w:ascii="Times New Roman" w:hAnsi="Times New Roman" w:cs="Times New Roman"/>
        </w:rPr>
        <w:t xml:space="preserve">work with entities outside of this rulemaking process to identify any training </w:t>
      </w:r>
      <w:r w:rsidR="00B74475">
        <w:rPr>
          <w:rFonts w:ascii="Times New Roman" w:hAnsi="Times New Roman" w:cs="Times New Roman"/>
        </w:rPr>
        <w:t xml:space="preserve">requirements </w:t>
      </w:r>
      <w:r w:rsidR="00C76C9B">
        <w:rPr>
          <w:rFonts w:ascii="Times New Roman" w:hAnsi="Times New Roman" w:cs="Times New Roman"/>
        </w:rPr>
        <w:t xml:space="preserve">that </w:t>
      </w:r>
      <w:r w:rsidR="00B74475">
        <w:rPr>
          <w:rFonts w:ascii="Times New Roman" w:hAnsi="Times New Roman" w:cs="Times New Roman"/>
        </w:rPr>
        <w:t>can best address the intent of that provision in the PFP</w:t>
      </w:r>
      <w:r>
        <w:rPr>
          <w:rFonts w:ascii="Times New Roman" w:hAnsi="Times New Roman" w:cs="Times New Roman"/>
        </w:rPr>
        <w:t>.</w:t>
      </w:r>
    </w:p>
    <w:p w14:paraId="7A3D2C13" w14:textId="7144D986" w:rsidR="00C85154" w:rsidRDefault="00C85154" w:rsidP="00E51397">
      <w:pPr>
        <w:pStyle w:val="ListParagraph"/>
        <w:numPr>
          <w:ilvl w:val="1"/>
          <w:numId w:val="6"/>
        </w:numPr>
        <w:spacing w:after="240"/>
        <w:jc w:val="both"/>
        <w:rPr>
          <w:rFonts w:ascii="Times New Roman" w:hAnsi="Times New Roman" w:cs="Times New Roman"/>
          <w:b/>
          <w:bCs/>
        </w:rPr>
      </w:pPr>
      <w:r>
        <w:rPr>
          <w:rFonts w:ascii="Times New Roman" w:hAnsi="Times New Roman" w:cs="Times New Roman"/>
          <w:b/>
          <w:bCs/>
        </w:rPr>
        <w:t>Communication requirements should be focused solely on issues related to continuity of electric service.</w:t>
      </w:r>
    </w:p>
    <w:p w14:paraId="3AC222EF" w14:textId="0DC9A646" w:rsidR="00921B24" w:rsidRDefault="00727E97" w:rsidP="00EB3AC7">
      <w:pPr>
        <w:spacing w:after="240" w:line="480" w:lineRule="auto"/>
        <w:ind w:firstLine="720"/>
        <w:jc w:val="both"/>
        <w:rPr>
          <w:rFonts w:ascii="Times New Roman" w:hAnsi="Times New Roman" w:cs="Times New Roman"/>
        </w:rPr>
      </w:pPr>
      <w:r>
        <w:rPr>
          <w:rFonts w:ascii="Times New Roman" w:hAnsi="Times New Roman" w:cs="Times New Roman"/>
        </w:rPr>
        <w:lastRenderedPageBreak/>
        <w:t xml:space="preserve">Subpart (d)(5)(B) would require the EOP to include a communication plan for entities with generation operations. This is a reasonable </w:t>
      </w:r>
      <w:r w:rsidR="00DE4437">
        <w:rPr>
          <w:rFonts w:ascii="Times New Roman" w:hAnsi="Times New Roman" w:cs="Times New Roman"/>
        </w:rPr>
        <w:t xml:space="preserve">component to include in EOPs but it should be clear that communications plans need not require communication to various groups as a result of every emergency. For instance, </w:t>
      </w:r>
      <w:r w:rsidR="00662F8E">
        <w:rPr>
          <w:rFonts w:ascii="Times New Roman" w:hAnsi="Times New Roman" w:cs="Times New Roman"/>
        </w:rPr>
        <w:t xml:space="preserve">an entity with generation operations may initiate certain activities in response to an ERCOT Operating Condition Notice (OCN), which precedes declaration of an actual emergency by several steps. Such incidents do not warrant a communication step, and doing so would be an inefficient use of resources. </w:t>
      </w:r>
    </w:p>
    <w:p w14:paraId="4CD272DD" w14:textId="658F0510" w:rsidR="005A08AB" w:rsidRDefault="005A08AB" w:rsidP="005C075F">
      <w:pPr>
        <w:pStyle w:val="ListParagraph"/>
        <w:numPr>
          <w:ilvl w:val="1"/>
          <w:numId w:val="6"/>
        </w:numPr>
        <w:spacing w:after="240"/>
        <w:jc w:val="both"/>
        <w:rPr>
          <w:rFonts w:ascii="Times New Roman" w:hAnsi="Times New Roman" w:cs="Times New Roman"/>
          <w:b/>
          <w:bCs/>
        </w:rPr>
      </w:pPr>
      <w:r>
        <w:rPr>
          <w:rFonts w:ascii="Times New Roman" w:hAnsi="Times New Roman" w:cs="Times New Roman"/>
          <w:b/>
          <w:bCs/>
        </w:rPr>
        <w:t>Consolidated redlines.</w:t>
      </w:r>
    </w:p>
    <w:p w14:paraId="7E4CA4CD" w14:textId="62D030A8" w:rsidR="00654EF0" w:rsidRDefault="00654EF0" w:rsidP="00654EF0">
      <w:pPr>
        <w:spacing w:line="480" w:lineRule="auto"/>
        <w:ind w:firstLine="720"/>
        <w:jc w:val="both"/>
        <w:rPr>
          <w:rFonts w:ascii="Times New Roman" w:hAnsi="Times New Roman" w:cs="Times New Roman"/>
        </w:rPr>
      </w:pPr>
      <w:r>
        <w:rPr>
          <w:rFonts w:ascii="Times New Roman" w:hAnsi="Times New Roman" w:cs="Times New Roman"/>
        </w:rPr>
        <w:t>Below reflects the summation of recommended modifications to the PFP language based on (1) – (7) above</w:t>
      </w:r>
      <w:r w:rsidR="00B869B4">
        <w:rPr>
          <w:rFonts w:ascii="Times New Roman" w:hAnsi="Times New Roman" w:cs="Times New Roman"/>
        </w:rPr>
        <w:t>, in addition to a minor typo correction in the opening paragraph</w:t>
      </w:r>
      <w:r>
        <w:rPr>
          <w:rFonts w:ascii="Times New Roman" w:hAnsi="Times New Roman" w:cs="Times New Roman"/>
        </w:rPr>
        <w:t>:</w:t>
      </w:r>
    </w:p>
    <w:p w14:paraId="3CEE3C7B" w14:textId="66DC721B" w:rsidR="00C9435D" w:rsidRPr="00C9435D" w:rsidRDefault="00C9435D" w:rsidP="00C9435D">
      <w:pPr>
        <w:pStyle w:val="ListParagraph"/>
        <w:numPr>
          <w:ilvl w:val="0"/>
          <w:numId w:val="5"/>
        </w:numPr>
        <w:spacing w:after="240"/>
        <w:jc w:val="both"/>
        <w:rPr>
          <w:rFonts w:ascii="Times New Roman" w:hAnsi="Times New Roman" w:cs="Times New Roman"/>
        </w:rPr>
      </w:pPr>
      <w:r w:rsidRPr="00C9435D">
        <w:rPr>
          <w:rFonts w:ascii="Times New Roman" w:hAnsi="Times New Roman" w:cs="Times New Roman"/>
        </w:rPr>
        <w:t>(</w:t>
      </w:r>
      <w:r>
        <w:rPr>
          <w:rFonts w:ascii="Times New Roman" w:hAnsi="Times New Roman" w:cs="Times New Roman"/>
        </w:rPr>
        <w:t>d</w:t>
      </w:r>
      <w:r w:rsidRPr="00C9435D">
        <w:rPr>
          <w:rFonts w:ascii="Times New Roman" w:hAnsi="Times New Roman" w:cs="Times New Roman"/>
        </w:rPr>
        <w:t xml:space="preserve">) </w:t>
      </w:r>
      <w:r w:rsidRPr="00C9435D">
        <w:rPr>
          <w:rFonts w:ascii="Times New Roman" w:eastAsia="Times New Roman" w:hAnsi="Times New Roman" w:cs="Times New Roman"/>
          <w:b/>
          <w:bCs/>
        </w:rPr>
        <w:t>Information to be included in the emergency operations plan.</w:t>
      </w:r>
      <w:r w:rsidRPr="00C9435D">
        <w:rPr>
          <w:rFonts w:ascii="Times New Roman" w:eastAsia="Times New Roman" w:hAnsi="Times New Roman" w:cs="Times New Roman"/>
        </w:rPr>
        <w:t xml:space="preserve"> An entity’s EOP must address both common operational functions that can be used for every </w:t>
      </w:r>
      <w:r w:rsidR="00B869B4">
        <w:rPr>
          <w:rFonts w:ascii="Times New Roman" w:eastAsia="Times New Roman" w:hAnsi="Times New Roman" w:cs="Times New Roman"/>
          <w:color w:val="FF0000"/>
          <w:u w:val="single"/>
        </w:rPr>
        <w:t xml:space="preserve">reasonably foreseeable </w:t>
      </w:r>
      <w:r w:rsidRPr="00C9435D">
        <w:rPr>
          <w:rFonts w:ascii="Times New Roman" w:eastAsia="Times New Roman" w:hAnsi="Times New Roman" w:cs="Times New Roman"/>
        </w:rPr>
        <w:t>type of emergency and annexes that outline the entity’s response to the types of emergencies specified in subsection (e). Each entity’s EOP must include the following information</w:t>
      </w:r>
      <w:r w:rsidRPr="00B869B4">
        <w:rPr>
          <w:rFonts w:ascii="Times New Roman" w:eastAsia="Times New Roman" w:hAnsi="Times New Roman" w:cs="Times New Roman"/>
          <w:strike/>
          <w:color w:val="FF0000"/>
        </w:rPr>
        <w:t>;</w:t>
      </w:r>
      <w:r w:rsidR="00B869B4">
        <w:rPr>
          <w:rFonts w:ascii="Times New Roman" w:eastAsia="Times New Roman" w:hAnsi="Times New Roman" w:cs="Times New Roman"/>
          <w:color w:val="FF0000"/>
          <w:u w:val="single"/>
        </w:rPr>
        <w:t>,</w:t>
      </w:r>
      <w:r w:rsidRPr="00C9435D">
        <w:rPr>
          <w:rFonts w:ascii="Times New Roman" w:eastAsia="Times New Roman" w:hAnsi="Times New Roman" w:cs="Times New Roman"/>
        </w:rPr>
        <w:t xml:space="preserve"> if applicable. If a provision in this section does not apply to an entity, the entity must include in its EOP an explanation of why the provision does not apply.</w:t>
      </w:r>
    </w:p>
    <w:p w14:paraId="1A9310A1" w14:textId="6AF29232" w:rsidR="00C9435D" w:rsidRDefault="00C9435D" w:rsidP="00C9435D">
      <w:pPr>
        <w:pStyle w:val="ListParagraph"/>
        <w:numPr>
          <w:ilvl w:val="1"/>
          <w:numId w:val="5"/>
        </w:numPr>
        <w:spacing w:after="240"/>
        <w:jc w:val="both"/>
        <w:rPr>
          <w:rFonts w:ascii="Times New Roman" w:hAnsi="Times New Roman" w:cs="Times New Roman"/>
        </w:rPr>
      </w:pPr>
      <w:r>
        <w:rPr>
          <w:rFonts w:eastAsia="Times New Roman"/>
        </w:rPr>
        <w:t>An approval and implementation section that:</w:t>
      </w:r>
    </w:p>
    <w:p w14:paraId="16F1B114" w14:textId="509542D9" w:rsidR="00C9435D" w:rsidRPr="00C9435D" w:rsidRDefault="00C9435D" w:rsidP="00C9435D">
      <w:pPr>
        <w:pStyle w:val="ListParagraph"/>
        <w:numPr>
          <w:ilvl w:val="2"/>
          <w:numId w:val="5"/>
        </w:numPr>
        <w:spacing w:after="240"/>
        <w:ind w:left="2430" w:hanging="450"/>
        <w:jc w:val="both"/>
        <w:rPr>
          <w:rFonts w:ascii="Times New Roman" w:hAnsi="Times New Roman" w:cs="Times New Roman"/>
        </w:rPr>
      </w:pPr>
      <w:r>
        <w:rPr>
          <w:rFonts w:eastAsia="Times New Roman"/>
        </w:rPr>
        <w:t>introduces the EOP and outlines its applicability;</w:t>
      </w:r>
    </w:p>
    <w:p w14:paraId="18ACC5E0" w14:textId="7CE8D355" w:rsidR="00C9435D" w:rsidRPr="00C9435D" w:rsidRDefault="00C9435D" w:rsidP="00C9435D">
      <w:pPr>
        <w:pStyle w:val="ListParagraph"/>
        <w:numPr>
          <w:ilvl w:val="2"/>
          <w:numId w:val="5"/>
        </w:numPr>
        <w:spacing w:after="240"/>
        <w:ind w:left="2430" w:hanging="450"/>
        <w:jc w:val="both"/>
        <w:rPr>
          <w:rFonts w:ascii="Times New Roman" w:hAnsi="Times New Roman" w:cs="Times New Roman"/>
        </w:rPr>
      </w:pPr>
      <w:r w:rsidRPr="00C9435D">
        <w:rPr>
          <w:rFonts w:ascii="Times New Roman" w:hAnsi="Times New Roman" w:cs="Times New Roman"/>
        </w:rPr>
        <w:t>lists the individuals</w:t>
      </w:r>
      <w:r w:rsidR="00B869B4">
        <w:rPr>
          <w:rFonts w:ascii="Times New Roman" w:hAnsi="Times New Roman" w:cs="Times New Roman"/>
          <w:color w:val="FF0000"/>
          <w:u w:val="single"/>
        </w:rPr>
        <w:t>, groups, or teams</w:t>
      </w:r>
      <w:r w:rsidRPr="00C9435D">
        <w:rPr>
          <w:rFonts w:ascii="Times New Roman" w:hAnsi="Times New Roman" w:cs="Times New Roman"/>
        </w:rPr>
        <w:t xml:space="preserve"> responsible for maintaining and implementing the EOP, and those who can change the EOP;</w:t>
      </w:r>
    </w:p>
    <w:p w14:paraId="372FCEA9" w14:textId="431BEDCC" w:rsidR="00C9435D" w:rsidRPr="00B869B4" w:rsidRDefault="00C9435D" w:rsidP="00C9435D">
      <w:pPr>
        <w:pStyle w:val="ListParagraph"/>
        <w:numPr>
          <w:ilvl w:val="2"/>
          <w:numId w:val="5"/>
        </w:numPr>
        <w:spacing w:after="240"/>
        <w:ind w:left="2430" w:hanging="450"/>
        <w:jc w:val="both"/>
        <w:rPr>
          <w:rFonts w:ascii="Times New Roman" w:hAnsi="Times New Roman" w:cs="Times New Roman"/>
          <w:strike/>
          <w:color w:val="FF0000"/>
        </w:rPr>
      </w:pPr>
      <w:r w:rsidRPr="00B869B4">
        <w:rPr>
          <w:rFonts w:ascii="Times New Roman" w:hAnsi="Times New Roman" w:cs="Times New Roman"/>
          <w:strike/>
          <w:color w:val="FF0000"/>
        </w:rPr>
        <w:t>provides a revision control summary which outlines and dates each change made to the EOP since the last time the EOP was adopted by the entity;</w:t>
      </w:r>
    </w:p>
    <w:p w14:paraId="4017EA48" w14:textId="77777777" w:rsidR="00C9435D" w:rsidRPr="00C9435D" w:rsidRDefault="00C9435D" w:rsidP="00C9435D">
      <w:pPr>
        <w:pStyle w:val="ListParagraph"/>
        <w:numPr>
          <w:ilvl w:val="2"/>
          <w:numId w:val="5"/>
        </w:numPr>
        <w:spacing w:after="240"/>
        <w:ind w:left="2430" w:hanging="450"/>
        <w:jc w:val="both"/>
        <w:rPr>
          <w:rFonts w:ascii="Times New Roman" w:hAnsi="Times New Roman" w:cs="Times New Roman"/>
        </w:rPr>
      </w:pPr>
      <w:r w:rsidRPr="00C9435D">
        <w:rPr>
          <w:rFonts w:ascii="Times New Roman" w:hAnsi="Times New Roman" w:cs="Times New Roman"/>
        </w:rPr>
        <w:t>provides a dated statement that the current EOP supersedes previous EOPs; and</w:t>
      </w:r>
    </w:p>
    <w:p w14:paraId="073EA565" w14:textId="77777777" w:rsidR="00C9435D" w:rsidRPr="00C9435D" w:rsidRDefault="00C9435D" w:rsidP="00C9435D">
      <w:pPr>
        <w:pStyle w:val="ListParagraph"/>
        <w:numPr>
          <w:ilvl w:val="2"/>
          <w:numId w:val="5"/>
        </w:numPr>
        <w:spacing w:after="240"/>
        <w:ind w:left="2430" w:hanging="450"/>
        <w:jc w:val="both"/>
        <w:rPr>
          <w:rFonts w:ascii="Times New Roman" w:hAnsi="Times New Roman" w:cs="Times New Roman"/>
        </w:rPr>
      </w:pPr>
      <w:r w:rsidRPr="00C9435D">
        <w:rPr>
          <w:rFonts w:ascii="Times New Roman" w:hAnsi="Times New Roman" w:cs="Times New Roman"/>
        </w:rPr>
        <w:t>the date the EOP was most recently approved by the entity.</w:t>
      </w:r>
    </w:p>
    <w:p w14:paraId="56FA2304" w14:textId="77777777" w:rsidR="00B869B4" w:rsidRPr="00CA55DD" w:rsidRDefault="00B869B4" w:rsidP="00B869B4">
      <w:pPr>
        <w:pStyle w:val="ListParagraph"/>
        <w:numPr>
          <w:ilvl w:val="1"/>
          <w:numId w:val="5"/>
        </w:numPr>
        <w:spacing w:after="240"/>
        <w:jc w:val="both"/>
        <w:rPr>
          <w:rFonts w:ascii="Times New Roman" w:hAnsi="Times New Roman" w:cs="Times New Roman"/>
          <w:strike/>
          <w:color w:val="FF0000"/>
        </w:rPr>
      </w:pPr>
      <w:r w:rsidRPr="00CA55DD">
        <w:rPr>
          <w:rFonts w:ascii="Times New Roman" w:hAnsi="Times New Roman" w:cs="Times New Roman"/>
          <w:strike/>
          <w:color w:val="FF0000"/>
        </w:rPr>
        <w:t>A record of distribution that contains the following information in table format:</w:t>
      </w:r>
    </w:p>
    <w:p w14:paraId="05991F43" w14:textId="77777777" w:rsidR="00B869B4" w:rsidRPr="00CA55DD" w:rsidRDefault="00B869B4" w:rsidP="00B869B4">
      <w:pPr>
        <w:pStyle w:val="ListParagraph"/>
        <w:numPr>
          <w:ilvl w:val="2"/>
          <w:numId w:val="5"/>
        </w:numPr>
        <w:spacing w:after="240"/>
        <w:ind w:left="2430" w:hanging="450"/>
        <w:jc w:val="both"/>
        <w:rPr>
          <w:rFonts w:ascii="Times New Roman" w:hAnsi="Times New Roman" w:cs="Times New Roman"/>
          <w:strike/>
          <w:color w:val="FF0000"/>
        </w:rPr>
      </w:pPr>
      <w:r w:rsidRPr="00CA55DD">
        <w:rPr>
          <w:rFonts w:ascii="Times New Roman" w:hAnsi="Times New Roman" w:cs="Times New Roman"/>
          <w:strike/>
          <w:color w:val="FF0000"/>
        </w:rPr>
        <w:t>titles and names of persons in the entity's organization receiving the EOP; and</w:t>
      </w:r>
    </w:p>
    <w:p w14:paraId="6317F4ED" w14:textId="77777777" w:rsidR="00B869B4" w:rsidRPr="00CA55DD" w:rsidRDefault="00B869B4" w:rsidP="00B869B4">
      <w:pPr>
        <w:pStyle w:val="ListParagraph"/>
        <w:numPr>
          <w:ilvl w:val="2"/>
          <w:numId w:val="5"/>
        </w:numPr>
        <w:spacing w:after="240"/>
        <w:ind w:left="2430" w:hanging="450"/>
        <w:jc w:val="both"/>
        <w:rPr>
          <w:rFonts w:ascii="Times New Roman" w:hAnsi="Times New Roman" w:cs="Times New Roman"/>
          <w:strike/>
          <w:color w:val="FF0000"/>
        </w:rPr>
      </w:pPr>
      <w:r w:rsidRPr="00CA55DD">
        <w:rPr>
          <w:rFonts w:ascii="Times New Roman" w:hAnsi="Times New Roman" w:cs="Times New Roman"/>
          <w:strike/>
          <w:color w:val="FF0000"/>
        </w:rPr>
        <w:t>dates of distribution.</w:t>
      </w:r>
    </w:p>
    <w:p w14:paraId="34B68C83" w14:textId="77777777" w:rsidR="00B869B4" w:rsidRPr="00B869B4" w:rsidRDefault="00B869B4" w:rsidP="00B869B4">
      <w:pPr>
        <w:pStyle w:val="ListParagraph"/>
        <w:numPr>
          <w:ilvl w:val="1"/>
          <w:numId w:val="5"/>
        </w:numPr>
        <w:spacing w:after="240"/>
        <w:jc w:val="both"/>
        <w:rPr>
          <w:rFonts w:ascii="Times New Roman" w:hAnsi="Times New Roman" w:cs="Times New Roman"/>
        </w:rPr>
      </w:pPr>
      <w:r w:rsidRPr="00B869B4">
        <w:rPr>
          <w:rFonts w:ascii="Times New Roman" w:hAnsi="Times New Roman" w:cs="Times New Roman"/>
        </w:rPr>
        <w:t>A list of emergency contacts for the entity, including identification of single points of contact during an emergency.</w:t>
      </w:r>
    </w:p>
    <w:p w14:paraId="5A3954E1" w14:textId="3D145661" w:rsidR="00B869B4" w:rsidRPr="00B869B4" w:rsidRDefault="00B869B4" w:rsidP="00B869B4">
      <w:pPr>
        <w:pStyle w:val="ListParagraph"/>
        <w:numPr>
          <w:ilvl w:val="1"/>
          <w:numId w:val="5"/>
        </w:numPr>
        <w:spacing w:after="240"/>
        <w:jc w:val="both"/>
        <w:rPr>
          <w:rFonts w:ascii="Times New Roman" w:hAnsi="Times New Roman" w:cs="Times New Roman"/>
        </w:rPr>
      </w:pPr>
      <w:r w:rsidRPr="00B869B4">
        <w:rPr>
          <w:rFonts w:ascii="Times New Roman" w:hAnsi="Times New Roman" w:cs="Times New Roman"/>
        </w:rPr>
        <w:t xml:space="preserve">An affidavit from the entity's </w:t>
      </w:r>
      <w:r w:rsidRPr="002A1FCB">
        <w:rPr>
          <w:rFonts w:ascii="Times New Roman" w:hAnsi="Times New Roman" w:cs="Times New Roman"/>
          <w:strike/>
          <w:color w:val="FF0000"/>
        </w:rPr>
        <w:t>highest-ranking representative, official,</w:t>
      </w:r>
      <w:r w:rsidRPr="00B869B4">
        <w:rPr>
          <w:rFonts w:ascii="Times New Roman" w:hAnsi="Times New Roman" w:cs="Times New Roman"/>
        </w:rPr>
        <w:t xml:space="preserve"> </w:t>
      </w:r>
      <w:r w:rsidR="002A1FCB">
        <w:rPr>
          <w:rFonts w:ascii="Times New Roman" w:hAnsi="Times New Roman" w:cs="Times New Roman"/>
          <w:color w:val="FF0000"/>
          <w:u w:val="single"/>
        </w:rPr>
        <w:t xml:space="preserve">owner, partner, manager, </w:t>
      </w:r>
      <w:r w:rsidRPr="002A1FCB">
        <w:rPr>
          <w:rFonts w:ascii="Times New Roman" w:hAnsi="Times New Roman" w:cs="Times New Roman"/>
          <w:strike/>
          <w:color w:val="FF0000"/>
        </w:rPr>
        <w:t>or</w:t>
      </w:r>
      <w:r w:rsidRPr="00B869B4">
        <w:rPr>
          <w:rFonts w:ascii="Times New Roman" w:hAnsi="Times New Roman" w:cs="Times New Roman"/>
        </w:rPr>
        <w:t xml:space="preserve"> officer</w:t>
      </w:r>
      <w:r w:rsidR="002A1FCB">
        <w:rPr>
          <w:rFonts w:ascii="Times New Roman" w:hAnsi="Times New Roman" w:cs="Times New Roman"/>
          <w:color w:val="FF0000"/>
          <w:u w:val="single"/>
        </w:rPr>
        <w:t>, or other official</w:t>
      </w:r>
      <w:r w:rsidRPr="00B869B4">
        <w:rPr>
          <w:rFonts w:ascii="Times New Roman" w:hAnsi="Times New Roman" w:cs="Times New Roman"/>
        </w:rPr>
        <w:t xml:space="preserve"> with </w:t>
      </w:r>
      <w:r w:rsidRPr="002A1FCB">
        <w:rPr>
          <w:rFonts w:ascii="Times New Roman" w:hAnsi="Times New Roman" w:cs="Times New Roman"/>
          <w:strike/>
          <w:color w:val="FF0000"/>
        </w:rPr>
        <w:t>binding authority over</w:t>
      </w:r>
      <w:r w:rsidRPr="002A1FCB">
        <w:rPr>
          <w:rFonts w:ascii="Times New Roman" w:hAnsi="Times New Roman" w:cs="Times New Roman"/>
          <w:color w:val="FF0000"/>
        </w:rPr>
        <w:t xml:space="preserve"> </w:t>
      </w:r>
      <w:r w:rsidR="002A1FCB">
        <w:rPr>
          <w:rFonts w:ascii="Times New Roman" w:hAnsi="Times New Roman" w:cs="Times New Roman"/>
          <w:color w:val="FF0000"/>
          <w:u w:val="single"/>
        </w:rPr>
        <w:t xml:space="preserve">responsibility for </w:t>
      </w:r>
      <w:r w:rsidRPr="00B869B4">
        <w:rPr>
          <w:rFonts w:ascii="Times New Roman" w:hAnsi="Times New Roman" w:cs="Times New Roman"/>
        </w:rPr>
        <w:t>the entity</w:t>
      </w:r>
      <w:r w:rsidR="002A1FCB" w:rsidRPr="002A1FCB">
        <w:rPr>
          <w:rFonts w:ascii="Times New Roman" w:hAnsi="Times New Roman" w:cs="Times New Roman"/>
          <w:color w:val="FF0000"/>
          <w:u w:val="single"/>
        </w:rPr>
        <w:t>’s operations</w:t>
      </w:r>
      <w:r w:rsidRPr="00B869B4">
        <w:rPr>
          <w:rFonts w:ascii="Times New Roman" w:hAnsi="Times New Roman" w:cs="Times New Roman"/>
        </w:rPr>
        <w:t xml:space="preserve"> affirming the following:</w:t>
      </w:r>
    </w:p>
    <w:p w14:paraId="647A2D07" w14:textId="5FDCC555" w:rsidR="00B869B4" w:rsidRPr="00B869B4" w:rsidRDefault="00B869B4" w:rsidP="00B869B4">
      <w:pPr>
        <w:pStyle w:val="ListParagraph"/>
        <w:numPr>
          <w:ilvl w:val="2"/>
          <w:numId w:val="5"/>
        </w:numPr>
        <w:spacing w:after="240"/>
        <w:ind w:left="2430" w:hanging="450"/>
        <w:jc w:val="both"/>
        <w:rPr>
          <w:rFonts w:ascii="Times New Roman" w:hAnsi="Times New Roman" w:cs="Times New Roman"/>
        </w:rPr>
      </w:pPr>
      <w:r w:rsidRPr="00B869B4">
        <w:rPr>
          <w:rFonts w:ascii="Times New Roman" w:hAnsi="Times New Roman" w:cs="Times New Roman"/>
        </w:rPr>
        <w:lastRenderedPageBreak/>
        <w:t xml:space="preserve">relevant </w:t>
      </w:r>
      <w:r w:rsidRPr="00B74475">
        <w:rPr>
          <w:rFonts w:ascii="Times New Roman" w:hAnsi="Times New Roman" w:cs="Times New Roman"/>
          <w:strike/>
          <w:color w:val="FF0000"/>
        </w:rPr>
        <w:t>operating</w:t>
      </w:r>
      <w:r w:rsidRPr="00B74475">
        <w:rPr>
          <w:rFonts w:ascii="Times New Roman" w:hAnsi="Times New Roman" w:cs="Times New Roman"/>
          <w:color w:val="FF0000"/>
        </w:rPr>
        <w:t xml:space="preserve"> </w:t>
      </w:r>
      <w:r w:rsidRPr="00B869B4">
        <w:rPr>
          <w:rFonts w:ascii="Times New Roman" w:hAnsi="Times New Roman" w:cs="Times New Roman"/>
        </w:rPr>
        <w:t xml:space="preserve">personnel are familiar with and have received training on the contents </w:t>
      </w:r>
      <w:r w:rsidR="00921B24">
        <w:rPr>
          <w:rFonts w:ascii="Times New Roman" w:hAnsi="Times New Roman" w:cs="Times New Roman"/>
          <w:color w:val="FF0000"/>
          <w:u w:val="single"/>
        </w:rPr>
        <w:t xml:space="preserve">and execution </w:t>
      </w:r>
      <w:r w:rsidRPr="00B869B4">
        <w:rPr>
          <w:rFonts w:ascii="Times New Roman" w:hAnsi="Times New Roman" w:cs="Times New Roman"/>
        </w:rPr>
        <w:t>of the EOP, and such personnel are committed to following the EOP except to the extent deviations are appropriate as a result of specific circumstances during the course of an emergency;</w:t>
      </w:r>
    </w:p>
    <w:p w14:paraId="2D2139DB" w14:textId="77777777" w:rsidR="00B869B4" w:rsidRPr="00B869B4" w:rsidRDefault="00B869B4" w:rsidP="00B869B4">
      <w:pPr>
        <w:pStyle w:val="ListParagraph"/>
        <w:numPr>
          <w:ilvl w:val="2"/>
          <w:numId w:val="5"/>
        </w:numPr>
        <w:spacing w:after="240"/>
        <w:ind w:left="2430" w:hanging="450"/>
        <w:jc w:val="both"/>
        <w:rPr>
          <w:rFonts w:ascii="Times New Roman" w:hAnsi="Times New Roman" w:cs="Times New Roman"/>
        </w:rPr>
      </w:pPr>
      <w:r w:rsidRPr="00B869B4">
        <w:rPr>
          <w:rFonts w:ascii="Times New Roman" w:hAnsi="Times New Roman" w:cs="Times New Roman"/>
        </w:rPr>
        <w:t>the EOP has been reviewed and approved by the appropriate executives;</w:t>
      </w:r>
    </w:p>
    <w:p w14:paraId="3DD5CB06" w14:textId="0DA53BA0" w:rsidR="00B869B4" w:rsidRPr="00B869B4" w:rsidRDefault="00B869B4" w:rsidP="00B869B4">
      <w:pPr>
        <w:pStyle w:val="ListParagraph"/>
        <w:numPr>
          <w:ilvl w:val="2"/>
          <w:numId w:val="5"/>
        </w:numPr>
        <w:spacing w:after="240"/>
        <w:ind w:left="2430" w:hanging="450"/>
        <w:jc w:val="both"/>
        <w:rPr>
          <w:rFonts w:ascii="Times New Roman" w:hAnsi="Times New Roman" w:cs="Times New Roman"/>
        </w:rPr>
      </w:pPr>
      <w:r w:rsidRPr="00B869B4">
        <w:rPr>
          <w:rFonts w:ascii="Times New Roman" w:hAnsi="Times New Roman" w:cs="Times New Roman"/>
        </w:rPr>
        <w:t>required drills have been conducted;</w:t>
      </w:r>
      <w:r w:rsidR="0034355A">
        <w:rPr>
          <w:rFonts w:ascii="Times New Roman" w:hAnsi="Times New Roman" w:cs="Times New Roman"/>
        </w:rPr>
        <w:t xml:space="preserve"> </w:t>
      </w:r>
      <w:r w:rsidR="0034355A" w:rsidRPr="005C075F">
        <w:rPr>
          <w:rFonts w:ascii="Times New Roman" w:hAnsi="Times New Roman" w:cs="Times New Roman"/>
          <w:color w:val="FF0000"/>
          <w:u w:val="single"/>
        </w:rPr>
        <w:t>and</w:t>
      </w:r>
    </w:p>
    <w:p w14:paraId="4F8A540B" w14:textId="77777777" w:rsidR="00B869B4" w:rsidRPr="002A1FCB" w:rsidRDefault="00B869B4" w:rsidP="00B869B4">
      <w:pPr>
        <w:pStyle w:val="ListParagraph"/>
        <w:numPr>
          <w:ilvl w:val="2"/>
          <w:numId w:val="5"/>
        </w:numPr>
        <w:spacing w:after="240"/>
        <w:ind w:left="2430" w:hanging="450"/>
        <w:jc w:val="both"/>
        <w:rPr>
          <w:rFonts w:ascii="Times New Roman" w:hAnsi="Times New Roman" w:cs="Times New Roman"/>
          <w:strike/>
          <w:color w:val="FF0000"/>
        </w:rPr>
      </w:pPr>
      <w:r w:rsidRPr="002A1FCB">
        <w:rPr>
          <w:rFonts w:ascii="Times New Roman" w:hAnsi="Times New Roman" w:cs="Times New Roman"/>
          <w:strike/>
          <w:color w:val="FF0000"/>
        </w:rPr>
        <w:t>the EOP or an appropriate summary has been distributed to local jurisdictions as needed;</w:t>
      </w:r>
    </w:p>
    <w:p w14:paraId="08C70B7B" w14:textId="5FE85B02" w:rsidR="00B869B4" w:rsidRPr="00B869B4" w:rsidRDefault="00B869B4" w:rsidP="00B869B4">
      <w:pPr>
        <w:pStyle w:val="ListParagraph"/>
        <w:numPr>
          <w:ilvl w:val="2"/>
          <w:numId w:val="5"/>
        </w:numPr>
        <w:spacing w:after="240"/>
        <w:ind w:left="2430" w:hanging="450"/>
        <w:jc w:val="both"/>
        <w:rPr>
          <w:rFonts w:ascii="Times New Roman" w:hAnsi="Times New Roman" w:cs="Times New Roman"/>
        </w:rPr>
      </w:pPr>
      <w:r w:rsidRPr="00B869B4">
        <w:rPr>
          <w:rFonts w:ascii="Times New Roman" w:hAnsi="Times New Roman" w:cs="Times New Roman"/>
        </w:rPr>
        <w:t>the entity maintains a business continuity plan that addresses returning to normal operations after disruptions caused by an incident</w:t>
      </w:r>
      <w:r w:rsidR="00803980" w:rsidRPr="005C075F">
        <w:rPr>
          <w:rFonts w:ascii="Times New Roman" w:hAnsi="Times New Roman" w:cs="Times New Roman"/>
          <w:strike/>
          <w:color w:val="FF0000"/>
        </w:rPr>
        <w:t>; and</w:t>
      </w:r>
      <w:r w:rsidR="00803980" w:rsidRPr="005C075F">
        <w:rPr>
          <w:rFonts w:ascii="Times New Roman" w:hAnsi="Times New Roman" w:cs="Times New Roman"/>
          <w:color w:val="FF0000"/>
          <w:u w:val="single"/>
        </w:rPr>
        <w:t>.</w:t>
      </w:r>
    </w:p>
    <w:p w14:paraId="57102D39" w14:textId="77777777" w:rsidR="00B869B4" w:rsidRPr="002A1FCB" w:rsidRDefault="00B869B4" w:rsidP="00B869B4">
      <w:pPr>
        <w:pStyle w:val="ListParagraph"/>
        <w:numPr>
          <w:ilvl w:val="2"/>
          <w:numId w:val="5"/>
        </w:numPr>
        <w:spacing w:after="240"/>
        <w:ind w:left="2430" w:hanging="450"/>
        <w:jc w:val="both"/>
        <w:rPr>
          <w:rFonts w:ascii="Times New Roman" w:hAnsi="Times New Roman" w:cs="Times New Roman"/>
          <w:strike/>
          <w:color w:val="FF0000"/>
        </w:rPr>
      </w:pPr>
      <w:r w:rsidRPr="002A1FCB">
        <w:rPr>
          <w:rFonts w:ascii="Times New Roman" w:hAnsi="Times New Roman" w:cs="Times New Roman"/>
          <w:strike/>
          <w:color w:val="FF0000"/>
        </w:rPr>
        <w:t>the entity's emergency management personnel who are designated to interact with local, state, and federal emergency management officials during emergency events have received National Incident Management System training, specifically IS-700.a, IS-800.b, IS-100.b, and IS-200.b.</w:t>
      </w:r>
    </w:p>
    <w:p w14:paraId="4F003F18" w14:textId="77777777" w:rsidR="00B271DE" w:rsidRPr="00C36738" w:rsidRDefault="00B271DE" w:rsidP="00E51397">
      <w:pPr>
        <w:ind w:firstLine="720"/>
        <w:rPr>
          <w:rFonts w:ascii="Times New Roman" w:hAnsi="Times New Roman" w:cs="Times New Roman"/>
          <w:b/>
          <w:bCs/>
        </w:rPr>
      </w:pPr>
    </w:p>
    <w:p w14:paraId="19D67BEB" w14:textId="3A34432F" w:rsidR="005978E6" w:rsidRDefault="005978E6" w:rsidP="00E51397">
      <w:pPr>
        <w:pStyle w:val="ListParagraph"/>
        <w:numPr>
          <w:ilvl w:val="0"/>
          <w:numId w:val="6"/>
        </w:numPr>
        <w:spacing w:after="240"/>
        <w:jc w:val="both"/>
        <w:rPr>
          <w:rFonts w:ascii="Times New Roman" w:hAnsi="Times New Roman" w:cs="Times New Roman"/>
          <w:b/>
          <w:bCs/>
        </w:rPr>
      </w:pPr>
      <w:r>
        <w:rPr>
          <w:rFonts w:ascii="Times New Roman" w:hAnsi="Times New Roman" w:cs="Times New Roman"/>
          <w:b/>
          <w:bCs/>
        </w:rPr>
        <w:t xml:space="preserve">Annex content </w:t>
      </w:r>
      <w:r w:rsidRPr="008566AF">
        <w:rPr>
          <w:rFonts w:ascii="Times New Roman" w:hAnsi="Times New Roman" w:cs="Times New Roman"/>
          <w:b/>
          <w:bCs/>
        </w:rPr>
        <w:t>recommendations</w:t>
      </w:r>
    </w:p>
    <w:p w14:paraId="53F37B5D" w14:textId="7A1A51AE" w:rsidR="00505C81" w:rsidRPr="00C36738" w:rsidRDefault="00505C81" w:rsidP="00E51397">
      <w:pPr>
        <w:spacing w:after="240" w:line="480" w:lineRule="auto"/>
        <w:ind w:firstLine="720"/>
        <w:jc w:val="both"/>
        <w:rPr>
          <w:rFonts w:ascii="Times New Roman" w:hAnsi="Times New Roman" w:cs="Times New Roman"/>
          <w:b/>
          <w:bCs/>
          <w:color w:val="FF0000"/>
        </w:rPr>
      </w:pPr>
      <w:r>
        <w:rPr>
          <w:rFonts w:ascii="Times New Roman" w:hAnsi="Times New Roman" w:cs="Times New Roman"/>
        </w:rPr>
        <w:t xml:space="preserve">Because </w:t>
      </w:r>
      <w:r w:rsidR="006141FF">
        <w:rPr>
          <w:rFonts w:ascii="Times New Roman" w:hAnsi="Times New Roman" w:cs="Times New Roman"/>
        </w:rPr>
        <w:t>TCPA</w:t>
      </w:r>
      <w:r>
        <w:rPr>
          <w:rFonts w:ascii="Times New Roman" w:hAnsi="Times New Roman" w:cs="Times New Roman"/>
        </w:rPr>
        <w:t xml:space="preserve"> recommends several changes to subsection (e) from the PFP, the individual issues are discussed, followed by consolidated redlines below.</w:t>
      </w:r>
    </w:p>
    <w:p w14:paraId="4301B36B" w14:textId="656D0809" w:rsidR="00505C81" w:rsidRDefault="00505C81" w:rsidP="00E51397">
      <w:pPr>
        <w:pStyle w:val="ListParagraph"/>
        <w:numPr>
          <w:ilvl w:val="1"/>
          <w:numId w:val="6"/>
        </w:numPr>
        <w:spacing w:after="240"/>
        <w:jc w:val="both"/>
        <w:rPr>
          <w:rFonts w:ascii="Times New Roman" w:hAnsi="Times New Roman" w:cs="Times New Roman"/>
          <w:b/>
          <w:bCs/>
        </w:rPr>
      </w:pPr>
      <w:r>
        <w:rPr>
          <w:rFonts w:ascii="Times New Roman" w:hAnsi="Times New Roman" w:cs="Times New Roman"/>
          <w:b/>
          <w:bCs/>
        </w:rPr>
        <w:t>There is no value gained by requiring a “separate and distinct” set of operational plans for cold/hot weather from those already required by the Commission’s weatherization requirements under 16 TAC § 25.55.</w:t>
      </w:r>
    </w:p>
    <w:p w14:paraId="4ECB9510" w14:textId="382AB800" w:rsidR="003D793F" w:rsidRDefault="00461AFE" w:rsidP="0022662C">
      <w:pPr>
        <w:spacing w:after="240" w:line="480" w:lineRule="auto"/>
        <w:ind w:firstLine="720"/>
        <w:jc w:val="both"/>
        <w:rPr>
          <w:rFonts w:ascii="Times New Roman" w:hAnsi="Times New Roman" w:cs="Times New Roman"/>
        </w:rPr>
      </w:pPr>
      <w:r>
        <w:rPr>
          <w:rFonts w:ascii="Times New Roman" w:hAnsi="Times New Roman" w:cs="Times New Roman"/>
        </w:rPr>
        <w:t xml:space="preserve">Subparts (e)(2)(A) and (e)(2)(B) would require that the cold and hot weather emergency annexes for generators include “operational plans intended to mitigate the hazards of a [cold/hot] weather emergency, </w:t>
      </w:r>
      <w:r w:rsidRPr="00461AFE">
        <w:rPr>
          <w:rFonts w:ascii="Times New Roman" w:hAnsi="Times New Roman" w:cs="Times New Roman"/>
          <w:i/>
          <w:iCs/>
        </w:rPr>
        <w:t>separate and distinct from the weather preparation standards und §25.55</w:t>
      </w:r>
      <w:r>
        <w:rPr>
          <w:rFonts w:ascii="Times New Roman" w:hAnsi="Times New Roman" w:cs="Times New Roman"/>
        </w:rPr>
        <w:t xml:space="preserve">” (emphasis added). </w:t>
      </w:r>
      <w:r w:rsidR="003D793F">
        <w:rPr>
          <w:rFonts w:ascii="Times New Roman" w:hAnsi="Times New Roman" w:cs="Times New Roman"/>
        </w:rPr>
        <w:t>16 TAC § 25.55 naturally has significant overlap with the EOPs, because while some of the weather emergency preparedness requirements of 16 TAC § 25.55 reflect structural and other physical preparations (e.g., insulation and heat tracing), other requirements are strictly operational (staffing plans, training, near-term procurement activities</w:t>
      </w:r>
      <w:r w:rsidR="00524889">
        <w:rPr>
          <w:rFonts w:ascii="Times New Roman" w:hAnsi="Times New Roman" w:cs="Times New Roman"/>
        </w:rPr>
        <w:t>, installation of temporary wind breaks, draining of non-critical lines, etc.)</w:t>
      </w:r>
      <w:r w:rsidR="003D793F">
        <w:rPr>
          <w:rFonts w:ascii="Times New Roman" w:hAnsi="Times New Roman" w:cs="Times New Roman"/>
        </w:rPr>
        <w:t xml:space="preserve">. </w:t>
      </w:r>
      <w:r w:rsidR="00524889">
        <w:rPr>
          <w:rFonts w:ascii="Times New Roman" w:hAnsi="Times New Roman" w:cs="Times New Roman"/>
        </w:rPr>
        <w:t xml:space="preserve">In Texas, where generation resources must be designed for reliable operation through the hotter peak load months, winter weather preparedness </w:t>
      </w:r>
      <w:r w:rsidR="00524889">
        <w:rPr>
          <w:rFonts w:ascii="Times New Roman" w:hAnsi="Times New Roman" w:cs="Times New Roman"/>
        </w:rPr>
        <w:lastRenderedPageBreak/>
        <w:t xml:space="preserve">is necessarily a combination of physical preparation and operational planning, and the line between the two is not always clear (and it does not need to be). </w:t>
      </w:r>
    </w:p>
    <w:p w14:paraId="21D2F0FD" w14:textId="21F7E78B" w:rsidR="0022662C" w:rsidRPr="00C36738" w:rsidRDefault="00461AFE" w:rsidP="0022662C">
      <w:pPr>
        <w:spacing w:after="240" w:line="480" w:lineRule="auto"/>
        <w:ind w:firstLine="720"/>
        <w:jc w:val="both"/>
        <w:rPr>
          <w:rFonts w:ascii="Times New Roman" w:hAnsi="Times New Roman" w:cs="Times New Roman"/>
          <w:b/>
          <w:bCs/>
          <w:color w:val="FF0000"/>
        </w:rPr>
      </w:pPr>
      <w:r>
        <w:rPr>
          <w:rFonts w:ascii="Times New Roman" w:hAnsi="Times New Roman" w:cs="Times New Roman"/>
        </w:rPr>
        <w:t>There is no clear reason for requiring a separate, distinct set of operating procedures to address extreme weather</w:t>
      </w:r>
      <w:r w:rsidR="00524889">
        <w:rPr>
          <w:rFonts w:ascii="Times New Roman" w:hAnsi="Times New Roman" w:cs="Times New Roman"/>
        </w:rPr>
        <w:t xml:space="preserve">, as that would simply require duplication of effort for precisely the same activity set. </w:t>
      </w:r>
      <w:r w:rsidR="007960F5">
        <w:rPr>
          <w:rFonts w:ascii="Times New Roman" w:hAnsi="Times New Roman" w:cs="Times New Roman"/>
        </w:rPr>
        <w:t>Accordingly, the Commission should omit the “separate and distinct” language from the PFP’s subparts (e)(2)(A) and (e)(2)(B) in the final rule.</w:t>
      </w:r>
    </w:p>
    <w:p w14:paraId="334CF2A1" w14:textId="1AD9632A" w:rsidR="00505C81" w:rsidRDefault="00505C81" w:rsidP="00E51397">
      <w:pPr>
        <w:pStyle w:val="ListParagraph"/>
        <w:numPr>
          <w:ilvl w:val="1"/>
          <w:numId w:val="6"/>
        </w:numPr>
        <w:spacing w:after="240"/>
        <w:jc w:val="both"/>
        <w:rPr>
          <w:rFonts w:ascii="Times New Roman" w:hAnsi="Times New Roman" w:cs="Times New Roman"/>
          <w:b/>
          <w:bCs/>
        </w:rPr>
      </w:pPr>
      <w:r>
        <w:rPr>
          <w:rFonts w:ascii="Times New Roman" w:hAnsi="Times New Roman" w:cs="Times New Roman"/>
          <w:b/>
          <w:bCs/>
        </w:rPr>
        <w:t xml:space="preserve">A </w:t>
      </w:r>
      <w:r w:rsidR="009B5999">
        <w:rPr>
          <w:rFonts w:ascii="Times New Roman" w:hAnsi="Times New Roman" w:cs="Times New Roman"/>
          <w:b/>
          <w:bCs/>
        </w:rPr>
        <w:t xml:space="preserve">targeted </w:t>
      </w:r>
      <w:r>
        <w:rPr>
          <w:rFonts w:ascii="Times New Roman" w:hAnsi="Times New Roman" w:cs="Times New Roman"/>
          <w:b/>
          <w:bCs/>
        </w:rPr>
        <w:t>“communications plan” for “socializing lessons learned</w:t>
      </w:r>
      <w:r w:rsidR="009B5999">
        <w:rPr>
          <w:rFonts w:ascii="Times New Roman" w:hAnsi="Times New Roman" w:cs="Times New Roman"/>
          <w:b/>
          <w:bCs/>
        </w:rPr>
        <w:t xml:space="preserve">” from prior cold/hot weather events is more flexible and functional than a requirement to pull personnel for specific meetings before/after an event. </w:t>
      </w:r>
    </w:p>
    <w:p w14:paraId="62877550" w14:textId="2608136E" w:rsidR="005335AE" w:rsidRPr="00C36738" w:rsidRDefault="005335AE" w:rsidP="005335AE">
      <w:pPr>
        <w:spacing w:after="240" w:line="480" w:lineRule="auto"/>
        <w:ind w:firstLine="720"/>
        <w:jc w:val="both"/>
        <w:rPr>
          <w:rFonts w:ascii="Times New Roman" w:hAnsi="Times New Roman" w:cs="Times New Roman"/>
          <w:b/>
          <w:bCs/>
          <w:color w:val="FF0000"/>
        </w:rPr>
      </w:pPr>
      <w:r>
        <w:rPr>
          <w:rFonts w:ascii="Times New Roman" w:hAnsi="Times New Roman" w:cs="Times New Roman"/>
        </w:rPr>
        <w:t>Subparts (e)(2)(A)(iv) and (e)(2)(B)(iv) in the PFP would require “pre</w:t>
      </w:r>
      <w:r w:rsidR="00EC5230">
        <w:rPr>
          <w:rFonts w:ascii="Times New Roman" w:hAnsi="Times New Roman" w:cs="Times New Roman"/>
        </w:rPr>
        <w:t>-</w:t>
      </w:r>
      <w:r>
        <w:rPr>
          <w:rFonts w:ascii="Times New Roman" w:hAnsi="Times New Roman" w:cs="Times New Roman"/>
        </w:rPr>
        <w:t xml:space="preserve"> and post</w:t>
      </w:r>
      <w:r w:rsidR="00EC5230">
        <w:rPr>
          <w:rFonts w:ascii="Times New Roman" w:hAnsi="Times New Roman" w:cs="Times New Roman"/>
        </w:rPr>
        <w:t>-</w:t>
      </w:r>
      <w:r>
        <w:rPr>
          <w:rFonts w:ascii="Times New Roman" w:hAnsi="Times New Roman" w:cs="Times New Roman"/>
        </w:rPr>
        <w:t xml:space="preserve">weather emergency meetings” for reviewing lessons learned and staffing/supply stocking plans are in effect. </w:t>
      </w:r>
      <w:r w:rsidR="006141FF">
        <w:rPr>
          <w:rFonts w:ascii="Times New Roman" w:hAnsi="Times New Roman" w:cs="Times New Roman"/>
        </w:rPr>
        <w:t>TCPA</w:t>
      </w:r>
      <w:r w:rsidR="00EC5230">
        <w:rPr>
          <w:rFonts w:ascii="Times New Roman" w:hAnsi="Times New Roman" w:cs="Times New Roman"/>
        </w:rPr>
        <w:t xml:space="preserve"> supports the </w:t>
      </w:r>
      <w:r>
        <w:rPr>
          <w:rFonts w:ascii="Times New Roman" w:hAnsi="Times New Roman" w:cs="Times New Roman"/>
        </w:rPr>
        <w:t>objective of this requirement</w:t>
      </w:r>
      <w:r w:rsidR="00EC5230">
        <w:rPr>
          <w:rFonts w:ascii="Times New Roman" w:hAnsi="Times New Roman" w:cs="Times New Roman"/>
        </w:rPr>
        <w:t xml:space="preserve"> and hopes that it is standard operating procedure across the entire generating community. However, specifying that the activity must take the form of “pre- and post-weather emergency meetings” is more prescriptive than necessary. Specifically, meetings are not always the most efficient means to communicate, and not every emergency will require significant pre- and post-activities</w:t>
      </w:r>
      <w:r w:rsidR="00F46E7C">
        <w:rPr>
          <w:rFonts w:ascii="Times New Roman" w:hAnsi="Times New Roman" w:cs="Times New Roman"/>
        </w:rPr>
        <w:t xml:space="preserve">. Instead, simply requiring that generators have </w:t>
      </w:r>
      <w:r w:rsidR="00F46E7C" w:rsidRPr="00F46E7C">
        <w:rPr>
          <w:rFonts w:ascii="Times New Roman" w:hAnsi="Times New Roman" w:cs="Times New Roman"/>
          <w:i/>
          <w:iCs/>
        </w:rPr>
        <w:t>a plan for socializing</w:t>
      </w:r>
      <w:r w:rsidR="00F46E7C">
        <w:rPr>
          <w:rFonts w:ascii="Times New Roman" w:hAnsi="Times New Roman" w:cs="Times New Roman"/>
        </w:rPr>
        <w:t xml:space="preserve"> lessons learned with relevant personnel and to ensure adequate supplies and staffing should be sufficient to achieve the Commission’s intent without overprescribing the manner in which that intent is achieved.</w:t>
      </w:r>
      <w:r w:rsidR="00EC5230">
        <w:rPr>
          <w:rFonts w:ascii="Times New Roman" w:hAnsi="Times New Roman" w:cs="Times New Roman"/>
        </w:rPr>
        <w:t xml:space="preserve"> </w:t>
      </w:r>
      <w:r w:rsidR="00F46E7C">
        <w:rPr>
          <w:rFonts w:ascii="Times New Roman" w:hAnsi="Times New Roman" w:cs="Times New Roman"/>
        </w:rPr>
        <w:t>T</w:t>
      </w:r>
      <w:r>
        <w:rPr>
          <w:rFonts w:ascii="Times New Roman" w:hAnsi="Times New Roman" w:cs="Times New Roman"/>
        </w:rPr>
        <w:t xml:space="preserve">he Commission should </w:t>
      </w:r>
      <w:r w:rsidR="00F46E7C">
        <w:rPr>
          <w:rFonts w:ascii="Times New Roman" w:hAnsi="Times New Roman" w:cs="Times New Roman"/>
        </w:rPr>
        <w:t xml:space="preserve">revise </w:t>
      </w:r>
      <w:r>
        <w:rPr>
          <w:rFonts w:ascii="Times New Roman" w:hAnsi="Times New Roman" w:cs="Times New Roman"/>
        </w:rPr>
        <w:t>the PFP’s subparts (e)(2)(A)</w:t>
      </w:r>
      <w:r w:rsidR="00F46E7C">
        <w:rPr>
          <w:rFonts w:ascii="Times New Roman" w:hAnsi="Times New Roman" w:cs="Times New Roman"/>
        </w:rPr>
        <w:t>(iv)</w:t>
      </w:r>
      <w:r>
        <w:rPr>
          <w:rFonts w:ascii="Times New Roman" w:hAnsi="Times New Roman" w:cs="Times New Roman"/>
        </w:rPr>
        <w:t xml:space="preserve"> and (e)(2)(B)</w:t>
      </w:r>
      <w:r w:rsidR="00F46E7C" w:rsidRPr="00F46E7C">
        <w:rPr>
          <w:rFonts w:ascii="Times New Roman" w:hAnsi="Times New Roman" w:cs="Times New Roman"/>
        </w:rPr>
        <w:t xml:space="preserve"> </w:t>
      </w:r>
      <w:r w:rsidR="00F46E7C">
        <w:rPr>
          <w:rFonts w:ascii="Times New Roman" w:hAnsi="Times New Roman" w:cs="Times New Roman"/>
        </w:rPr>
        <w:t>(iv)</w:t>
      </w:r>
      <w:r>
        <w:rPr>
          <w:rFonts w:ascii="Times New Roman" w:hAnsi="Times New Roman" w:cs="Times New Roman"/>
        </w:rPr>
        <w:t xml:space="preserve"> in the final rule</w:t>
      </w:r>
      <w:r w:rsidR="00F46E7C">
        <w:rPr>
          <w:rFonts w:ascii="Times New Roman" w:hAnsi="Times New Roman" w:cs="Times New Roman"/>
        </w:rPr>
        <w:t xml:space="preserve"> accordingly</w:t>
      </w:r>
      <w:r>
        <w:rPr>
          <w:rFonts w:ascii="Times New Roman" w:hAnsi="Times New Roman" w:cs="Times New Roman"/>
        </w:rPr>
        <w:t>.</w:t>
      </w:r>
    </w:p>
    <w:p w14:paraId="20BDFEBA" w14:textId="7033AB8B" w:rsidR="009B5999" w:rsidRDefault="009B5999" w:rsidP="00E51397">
      <w:pPr>
        <w:pStyle w:val="ListParagraph"/>
        <w:numPr>
          <w:ilvl w:val="1"/>
          <w:numId w:val="6"/>
        </w:numPr>
        <w:spacing w:after="240"/>
        <w:jc w:val="both"/>
        <w:rPr>
          <w:rFonts w:ascii="Times New Roman" w:hAnsi="Times New Roman" w:cs="Times New Roman"/>
          <w:b/>
          <w:bCs/>
        </w:rPr>
      </w:pPr>
      <w:bookmarkStart w:id="7" w:name="_Hlk92092742"/>
      <w:r>
        <w:rPr>
          <w:rFonts w:ascii="Times New Roman" w:hAnsi="Times New Roman" w:cs="Times New Roman"/>
          <w:b/>
          <w:bCs/>
        </w:rPr>
        <w:t xml:space="preserve">The cybersecurity annex </w:t>
      </w:r>
      <w:r w:rsidR="00F40753" w:rsidRPr="00F40753">
        <w:rPr>
          <w:rFonts w:ascii="Times New Roman" w:hAnsi="Times New Roman" w:cs="Times New Roman"/>
          <w:b/>
          <w:bCs/>
        </w:rPr>
        <w:t>should be carefully scoped to avoid heightened risks associated with public disclosure,</w:t>
      </w:r>
      <w:r w:rsidR="00F40753">
        <w:rPr>
          <w:rFonts w:ascii="Times New Roman" w:hAnsi="Times New Roman" w:cs="Times New Roman"/>
          <w:b/>
          <w:bCs/>
        </w:rPr>
        <w:t xml:space="preserve"> </w:t>
      </w:r>
      <w:r w:rsidR="00213FE4">
        <w:rPr>
          <w:rFonts w:ascii="Times New Roman" w:hAnsi="Times New Roman" w:cs="Times New Roman"/>
          <w:b/>
          <w:bCs/>
        </w:rPr>
        <w:t xml:space="preserve">and </w:t>
      </w:r>
      <w:r w:rsidR="00F40753">
        <w:rPr>
          <w:rFonts w:ascii="Times New Roman" w:hAnsi="Times New Roman" w:cs="Times New Roman"/>
          <w:b/>
          <w:bCs/>
        </w:rPr>
        <w:t xml:space="preserve">the </w:t>
      </w:r>
      <w:r w:rsidR="00213FE4">
        <w:rPr>
          <w:rFonts w:ascii="Times New Roman" w:hAnsi="Times New Roman" w:cs="Times New Roman"/>
          <w:b/>
          <w:bCs/>
        </w:rPr>
        <w:t xml:space="preserve">open-ended “any additional annexes as needed or appropriate to the entity’s particular circumstances” </w:t>
      </w:r>
      <w:r>
        <w:rPr>
          <w:rFonts w:ascii="Times New Roman" w:hAnsi="Times New Roman" w:cs="Times New Roman"/>
          <w:b/>
          <w:bCs/>
        </w:rPr>
        <w:t xml:space="preserve">requirement </w:t>
      </w:r>
      <w:r w:rsidR="00F40753">
        <w:rPr>
          <w:rFonts w:ascii="Times New Roman" w:hAnsi="Times New Roman" w:cs="Times New Roman"/>
          <w:b/>
          <w:bCs/>
        </w:rPr>
        <w:t xml:space="preserve">can </w:t>
      </w:r>
      <w:r>
        <w:rPr>
          <w:rFonts w:ascii="Times New Roman" w:hAnsi="Times New Roman" w:cs="Times New Roman"/>
          <w:b/>
          <w:bCs/>
        </w:rPr>
        <w:t xml:space="preserve">be </w:t>
      </w:r>
      <w:r w:rsidR="00A03DD6">
        <w:rPr>
          <w:rFonts w:ascii="Times New Roman" w:hAnsi="Times New Roman" w:cs="Times New Roman"/>
          <w:b/>
          <w:bCs/>
        </w:rPr>
        <w:t>omitted from the final rule</w:t>
      </w:r>
      <w:r w:rsidR="00F40753">
        <w:rPr>
          <w:rFonts w:ascii="Times New Roman" w:hAnsi="Times New Roman" w:cs="Times New Roman"/>
          <w:b/>
          <w:bCs/>
        </w:rPr>
        <w:t xml:space="preserve"> as duplicative</w:t>
      </w:r>
      <w:r>
        <w:rPr>
          <w:rFonts w:ascii="Times New Roman" w:hAnsi="Times New Roman" w:cs="Times New Roman"/>
          <w:b/>
          <w:bCs/>
        </w:rPr>
        <w:t>.</w:t>
      </w:r>
    </w:p>
    <w:p w14:paraId="3236D88C" w14:textId="325A1D5D" w:rsidR="0022662C" w:rsidRDefault="00284883" w:rsidP="0022662C">
      <w:pPr>
        <w:spacing w:after="240" w:line="480" w:lineRule="auto"/>
        <w:ind w:firstLine="720"/>
        <w:jc w:val="both"/>
        <w:rPr>
          <w:rFonts w:ascii="Times New Roman" w:hAnsi="Times New Roman" w:cs="Times New Roman"/>
        </w:rPr>
      </w:pPr>
      <w:r>
        <w:rPr>
          <w:rFonts w:ascii="Times New Roman" w:hAnsi="Times New Roman" w:cs="Times New Roman"/>
        </w:rPr>
        <w:lastRenderedPageBreak/>
        <w:t>Cybersecurity issues have and intricate overlay of various legal and regulatory jurisdictions, as well as an always-evolving threat and mitigation dynamic, that add sensitivities to the need to control the documentation and distribution of information publicly regarding cybersecurity threats</w:t>
      </w:r>
      <w:r w:rsidR="004B69A8">
        <w:rPr>
          <w:rFonts w:ascii="Times New Roman" w:hAnsi="Times New Roman" w:cs="Times New Roman"/>
        </w:rPr>
        <w:t xml:space="preserve"> and</w:t>
      </w:r>
      <w:r>
        <w:rPr>
          <w:rFonts w:ascii="Times New Roman" w:hAnsi="Times New Roman" w:cs="Times New Roman"/>
        </w:rPr>
        <w:t xml:space="preserve"> vulnerabilities. </w:t>
      </w:r>
      <w:r w:rsidR="00C72D17">
        <w:rPr>
          <w:rFonts w:ascii="Times New Roman" w:hAnsi="Times New Roman" w:cs="Times New Roman"/>
        </w:rPr>
        <w:t xml:space="preserve">Additionally, with the increased risk of public disclosure of EOPs if filed with the Commission, having a consolidated repository of cybersecurity EOP annexes could increase the risk of the Commission becoming the focus of </w:t>
      </w:r>
      <w:r w:rsidR="0060552F">
        <w:rPr>
          <w:rFonts w:ascii="Times New Roman" w:hAnsi="Times New Roman" w:cs="Times New Roman"/>
        </w:rPr>
        <w:t xml:space="preserve">a </w:t>
      </w:r>
      <w:r w:rsidR="00C72D17">
        <w:rPr>
          <w:rFonts w:ascii="Times New Roman" w:hAnsi="Times New Roman" w:cs="Times New Roman"/>
        </w:rPr>
        <w:t xml:space="preserve">cybersecurity </w:t>
      </w:r>
      <w:r w:rsidR="0060552F">
        <w:rPr>
          <w:rFonts w:ascii="Times New Roman" w:hAnsi="Times New Roman" w:cs="Times New Roman"/>
        </w:rPr>
        <w:t xml:space="preserve">attack aimed at gaining access to the EOP annexes. </w:t>
      </w:r>
      <w:r w:rsidR="0045379F">
        <w:rPr>
          <w:rFonts w:ascii="Times New Roman" w:hAnsi="Times New Roman" w:cs="Times New Roman"/>
        </w:rPr>
        <w:t xml:space="preserve">As worded, the requirement for a cyber-security annex appears broad and to afford the entity discretion </w:t>
      </w:r>
      <w:r w:rsidR="003D6470">
        <w:rPr>
          <w:rFonts w:ascii="Times New Roman" w:hAnsi="Times New Roman" w:cs="Times New Roman"/>
        </w:rPr>
        <w:t>as to what</w:t>
      </w:r>
      <w:r w:rsidR="0045379F">
        <w:rPr>
          <w:rFonts w:ascii="Times New Roman" w:hAnsi="Times New Roman" w:cs="Times New Roman"/>
        </w:rPr>
        <w:t xml:space="preserve"> information to file.  It is essential that Commission only </w:t>
      </w:r>
      <w:r>
        <w:rPr>
          <w:rFonts w:ascii="Times New Roman" w:hAnsi="Times New Roman" w:cs="Times New Roman"/>
        </w:rPr>
        <w:t xml:space="preserve">interpret this to </w:t>
      </w:r>
      <w:r w:rsidR="0045379F">
        <w:rPr>
          <w:rFonts w:ascii="Times New Roman" w:hAnsi="Times New Roman" w:cs="Times New Roman"/>
        </w:rPr>
        <w:t xml:space="preserve">require high-level information </w:t>
      </w:r>
      <w:r>
        <w:rPr>
          <w:rFonts w:ascii="Times New Roman" w:hAnsi="Times New Roman" w:cs="Times New Roman"/>
        </w:rPr>
        <w:t>on the existence of a plan and information concerning it.  To the extent that any other interpretation is intended, the language should be amended to clearly allow only high-level information to b</w:t>
      </w:r>
      <w:r w:rsidR="003D6470">
        <w:rPr>
          <w:rFonts w:ascii="Times New Roman" w:hAnsi="Times New Roman" w:cs="Times New Roman"/>
        </w:rPr>
        <w:t>e</w:t>
      </w:r>
      <w:r>
        <w:rPr>
          <w:rFonts w:ascii="Times New Roman" w:hAnsi="Times New Roman" w:cs="Times New Roman"/>
        </w:rPr>
        <w:t xml:space="preserve"> </w:t>
      </w:r>
      <w:r w:rsidR="00FA0E2D">
        <w:rPr>
          <w:rFonts w:ascii="Times New Roman" w:hAnsi="Times New Roman" w:cs="Times New Roman"/>
        </w:rPr>
        <w:t>submitted</w:t>
      </w:r>
      <w:r w:rsidR="003D6470">
        <w:rPr>
          <w:rFonts w:ascii="Times New Roman" w:hAnsi="Times New Roman" w:cs="Times New Roman"/>
        </w:rPr>
        <w:t xml:space="preserve"> to meet the requirement</w:t>
      </w:r>
      <w:r>
        <w:rPr>
          <w:rFonts w:ascii="Times New Roman" w:hAnsi="Times New Roman" w:cs="Times New Roman"/>
        </w:rPr>
        <w:t>.</w:t>
      </w:r>
      <w:r w:rsidR="0060552F">
        <w:rPr>
          <w:rFonts w:ascii="Times New Roman" w:hAnsi="Times New Roman" w:cs="Times New Roman"/>
        </w:rPr>
        <w:t xml:space="preserve"> </w:t>
      </w:r>
    </w:p>
    <w:bookmarkEnd w:id="7"/>
    <w:p w14:paraId="105BCBC3" w14:textId="52EF1BB4" w:rsidR="0060552F" w:rsidRPr="00C36738" w:rsidRDefault="0060552F" w:rsidP="0022662C">
      <w:pPr>
        <w:spacing w:after="240" w:line="480" w:lineRule="auto"/>
        <w:ind w:firstLine="720"/>
        <w:jc w:val="both"/>
        <w:rPr>
          <w:rFonts w:ascii="Times New Roman" w:hAnsi="Times New Roman" w:cs="Times New Roman"/>
          <w:b/>
          <w:bCs/>
          <w:color w:val="FF0000"/>
        </w:rPr>
      </w:pPr>
      <w:r>
        <w:rPr>
          <w:rFonts w:ascii="Times New Roman" w:hAnsi="Times New Roman" w:cs="Times New Roman"/>
        </w:rPr>
        <w:t>Additionally, the PFP’s provision in various parts of subsection (e) that EOPs include “any additional annexes as needed or appropriate to the entity’s particular circumstances” is unnecessary, as that requirement is already more efficiently established in subsection (d)(9) (requiring that the EOP include “[e]</w:t>
      </w:r>
      <w:r w:rsidRPr="0060552F">
        <w:rPr>
          <w:rFonts w:ascii="Times New Roman" w:hAnsi="Times New Roman" w:cs="Times New Roman"/>
        </w:rPr>
        <w:t>ach relevant annex as detailed in subsection (e) and other annexes applicable to an entity”</w:t>
      </w:r>
      <w:r>
        <w:rPr>
          <w:rFonts w:ascii="Times New Roman" w:hAnsi="Times New Roman" w:cs="Times New Roman"/>
        </w:rPr>
        <w:t>). The duplicative individual provisions in subparts (e)(1)(I), (e)(2)(I), (e)(3)(E), and (e)(4)(</w:t>
      </w:r>
      <w:r w:rsidR="009E0E45">
        <w:rPr>
          <w:rFonts w:ascii="Times New Roman" w:hAnsi="Times New Roman" w:cs="Times New Roman"/>
        </w:rPr>
        <w:t>F</w:t>
      </w:r>
      <w:r>
        <w:rPr>
          <w:rFonts w:ascii="Times New Roman" w:hAnsi="Times New Roman" w:cs="Times New Roman"/>
        </w:rPr>
        <w:t>)</w:t>
      </w:r>
      <w:r w:rsidR="009E0E45">
        <w:rPr>
          <w:rFonts w:ascii="Times New Roman" w:hAnsi="Times New Roman" w:cs="Times New Roman"/>
        </w:rPr>
        <w:t xml:space="preserve"> can therefore be left out of the final rule without loss of effect.</w:t>
      </w:r>
    </w:p>
    <w:p w14:paraId="6B4D68D8" w14:textId="30F66E2A" w:rsidR="006D6383" w:rsidRDefault="006D6383" w:rsidP="00E51397">
      <w:pPr>
        <w:pStyle w:val="ListParagraph"/>
        <w:numPr>
          <w:ilvl w:val="1"/>
          <w:numId w:val="6"/>
        </w:numPr>
        <w:spacing w:after="240"/>
        <w:jc w:val="both"/>
        <w:rPr>
          <w:rFonts w:ascii="Times New Roman" w:hAnsi="Times New Roman" w:cs="Times New Roman"/>
          <w:b/>
          <w:bCs/>
        </w:rPr>
      </w:pPr>
      <w:r>
        <w:rPr>
          <w:rFonts w:ascii="Times New Roman" w:hAnsi="Times New Roman" w:cs="Times New Roman"/>
          <w:b/>
          <w:bCs/>
        </w:rPr>
        <w:t>Consolidated redlines.</w:t>
      </w:r>
    </w:p>
    <w:p w14:paraId="4F1FD935" w14:textId="6AFD06D8" w:rsidR="00D069EE" w:rsidRDefault="00D069EE" w:rsidP="00D069EE">
      <w:pPr>
        <w:spacing w:line="480" w:lineRule="auto"/>
        <w:ind w:firstLine="720"/>
        <w:jc w:val="both"/>
        <w:rPr>
          <w:rFonts w:ascii="Times New Roman" w:hAnsi="Times New Roman" w:cs="Times New Roman"/>
        </w:rPr>
      </w:pPr>
      <w:r>
        <w:rPr>
          <w:rFonts w:ascii="Times New Roman" w:hAnsi="Times New Roman" w:cs="Times New Roman"/>
        </w:rPr>
        <w:t>Below reflects the summation of recommended modifications to the PFP language based on (1) – (</w:t>
      </w:r>
      <w:r w:rsidR="004B69A8">
        <w:rPr>
          <w:rFonts w:ascii="Times New Roman" w:hAnsi="Times New Roman" w:cs="Times New Roman"/>
        </w:rPr>
        <w:t>3</w:t>
      </w:r>
      <w:r>
        <w:rPr>
          <w:rFonts w:ascii="Times New Roman" w:hAnsi="Times New Roman" w:cs="Times New Roman"/>
        </w:rPr>
        <w:t>) above:</w:t>
      </w:r>
    </w:p>
    <w:p w14:paraId="13DCAE2F" w14:textId="533AC625" w:rsidR="00D069EE" w:rsidRPr="00C9435D" w:rsidRDefault="00D069EE" w:rsidP="002E2F76">
      <w:pPr>
        <w:pStyle w:val="ListParagraph"/>
        <w:numPr>
          <w:ilvl w:val="0"/>
          <w:numId w:val="5"/>
        </w:numPr>
        <w:jc w:val="both"/>
        <w:rPr>
          <w:rFonts w:ascii="Times New Roman" w:hAnsi="Times New Roman" w:cs="Times New Roman"/>
        </w:rPr>
      </w:pPr>
      <w:r w:rsidRPr="00C9435D">
        <w:rPr>
          <w:rFonts w:ascii="Times New Roman" w:hAnsi="Times New Roman" w:cs="Times New Roman"/>
        </w:rPr>
        <w:t>(</w:t>
      </w:r>
      <w:r>
        <w:rPr>
          <w:rFonts w:ascii="Times New Roman" w:hAnsi="Times New Roman" w:cs="Times New Roman"/>
        </w:rPr>
        <w:t>e</w:t>
      </w:r>
      <w:r w:rsidRPr="00C9435D">
        <w:rPr>
          <w:rFonts w:ascii="Times New Roman" w:hAnsi="Times New Roman" w:cs="Times New Roman"/>
        </w:rPr>
        <w:t xml:space="preserve">) </w:t>
      </w:r>
      <w:r w:rsidRPr="00D069EE">
        <w:rPr>
          <w:rFonts w:ascii="Times New Roman" w:eastAsia="Times New Roman" w:hAnsi="Times New Roman" w:cs="Times New Roman"/>
          <w:b/>
          <w:bCs/>
        </w:rPr>
        <w:t>Annexes to be included in the emergency operations plan</w:t>
      </w:r>
      <w:r w:rsidRPr="00C9435D">
        <w:rPr>
          <w:rFonts w:ascii="Times New Roman" w:eastAsia="Times New Roman" w:hAnsi="Times New Roman" w:cs="Times New Roman"/>
          <w:b/>
          <w:bCs/>
        </w:rPr>
        <w:t>.</w:t>
      </w:r>
      <w:r w:rsidRPr="00C9435D">
        <w:rPr>
          <w:rFonts w:ascii="Times New Roman" w:eastAsia="Times New Roman" w:hAnsi="Times New Roman" w:cs="Times New Roman"/>
        </w:rPr>
        <w:t xml:space="preserve"> </w:t>
      </w:r>
    </w:p>
    <w:p w14:paraId="1412F215" w14:textId="4C04984C" w:rsidR="00D069EE" w:rsidRDefault="00D069EE" w:rsidP="002E2F76">
      <w:pPr>
        <w:pStyle w:val="ListParagraph"/>
        <w:numPr>
          <w:ilvl w:val="1"/>
          <w:numId w:val="5"/>
        </w:numPr>
        <w:jc w:val="both"/>
        <w:rPr>
          <w:rFonts w:ascii="Times New Roman" w:hAnsi="Times New Roman" w:cs="Times New Roman"/>
        </w:rPr>
      </w:pPr>
      <w:r>
        <w:rPr>
          <w:rFonts w:eastAsia="Times New Roman"/>
        </w:rPr>
        <w:t>(no change)</w:t>
      </w:r>
    </w:p>
    <w:p w14:paraId="35DDBB2A" w14:textId="5D89A06D" w:rsidR="00D069EE" w:rsidRPr="00D069EE" w:rsidRDefault="00B83829" w:rsidP="002E2F76">
      <w:pPr>
        <w:ind w:left="1980"/>
        <w:jc w:val="both"/>
        <w:rPr>
          <w:rFonts w:ascii="Times New Roman" w:hAnsi="Times New Roman" w:cs="Times New Roman"/>
        </w:rPr>
      </w:pPr>
      <w:r>
        <w:rPr>
          <w:rFonts w:ascii="Times New Roman" w:hAnsi="Times New Roman" w:cs="Times New Roman"/>
        </w:rPr>
        <w:t>(A)-(H) (no change)</w:t>
      </w:r>
    </w:p>
    <w:p w14:paraId="320F787A" w14:textId="338DD5DB" w:rsidR="00D069EE" w:rsidRPr="00B83829" w:rsidRDefault="00B83829" w:rsidP="002E2F76">
      <w:pPr>
        <w:pStyle w:val="ListParagraph"/>
        <w:ind w:left="1980"/>
        <w:jc w:val="both"/>
        <w:rPr>
          <w:rFonts w:ascii="Times New Roman" w:hAnsi="Times New Roman" w:cs="Times New Roman"/>
          <w:strike/>
          <w:color w:val="FF0000"/>
        </w:rPr>
      </w:pPr>
      <w:r w:rsidRPr="00B83829">
        <w:rPr>
          <w:rFonts w:ascii="Times New Roman" w:hAnsi="Times New Roman" w:cs="Times New Roman"/>
          <w:strike/>
          <w:color w:val="FF0000"/>
        </w:rPr>
        <w:t>(I) Any additional annexes as needed or appropriate to the entity’s particular circumstances.</w:t>
      </w:r>
    </w:p>
    <w:p w14:paraId="3AC9A502" w14:textId="64CC2307" w:rsidR="00B83829" w:rsidRPr="00B83829" w:rsidRDefault="00B83829" w:rsidP="002E2F76">
      <w:pPr>
        <w:pStyle w:val="ListParagraph"/>
        <w:numPr>
          <w:ilvl w:val="1"/>
          <w:numId w:val="5"/>
        </w:numPr>
        <w:jc w:val="both"/>
        <w:rPr>
          <w:rFonts w:ascii="Times New Roman" w:hAnsi="Times New Roman" w:cs="Times New Roman"/>
        </w:rPr>
      </w:pPr>
      <w:r>
        <w:rPr>
          <w:rFonts w:eastAsia="Times New Roman"/>
        </w:rPr>
        <w:lastRenderedPageBreak/>
        <w:t>(no change)</w:t>
      </w:r>
    </w:p>
    <w:p w14:paraId="32892E12" w14:textId="77777777" w:rsidR="00B83829" w:rsidRPr="00B83829" w:rsidRDefault="00B83829" w:rsidP="002E2F76">
      <w:pPr>
        <w:pStyle w:val="ListParagraph"/>
        <w:numPr>
          <w:ilvl w:val="2"/>
          <w:numId w:val="5"/>
        </w:numPr>
        <w:jc w:val="both"/>
        <w:rPr>
          <w:rFonts w:ascii="Times New Roman" w:hAnsi="Times New Roman" w:cs="Times New Roman"/>
        </w:rPr>
      </w:pPr>
      <w:r w:rsidRPr="00B83829">
        <w:rPr>
          <w:rFonts w:ascii="Times New Roman" w:hAnsi="Times New Roman" w:cs="Times New Roman"/>
        </w:rPr>
        <w:t>A cold weather emergency annex that includes:</w:t>
      </w:r>
    </w:p>
    <w:p w14:paraId="0668B391" w14:textId="786B947A" w:rsidR="00B83829" w:rsidRDefault="00B83829" w:rsidP="002E2F76">
      <w:pPr>
        <w:pStyle w:val="ListParagraph"/>
        <w:numPr>
          <w:ilvl w:val="3"/>
          <w:numId w:val="17"/>
        </w:numPr>
        <w:jc w:val="both"/>
        <w:rPr>
          <w:rFonts w:ascii="Times New Roman" w:hAnsi="Times New Roman" w:cs="Times New Roman"/>
        </w:rPr>
      </w:pPr>
      <w:r w:rsidRPr="00B83829">
        <w:rPr>
          <w:rFonts w:ascii="Times New Roman" w:hAnsi="Times New Roman" w:cs="Times New Roman"/>
        </w:rPr>
        <w:t>operational plans intended to mitigate the hazards of a cold weather emergency</w:t>
      </w:r>
      <w:r w:rsidRPr="0058126E">
        <w:rPr>
          <w:rFonts w:ascii="Times New Roman" w:hAnsi="Times New Roman" w:cs="Times New Roman"/>
          <w:strike/>
          <w:color w:val="FF0000"/>
        </w:rPr>
        <w:t>, separate and distinct from the weather preparations standards under §25.55</w:t>
      </w:r>
      <w:r w:rsidRPr="00B83829">
        <w:rPr>
          <w:rFonts w:ascii="Times New Roman" w:hAnsi="Times New Roman" w:cs="Times New Roman"/>
        </w:rPr>
        <w:t>;</w:t>
      </w:r>
    </w:p>
    <w:p w14:paraId="522C0FAB" w14:textId="0EF48C8A" w:rsidR="00B83829" w:rsidRDefault="00B83829" w:rsidP="002E2F76">
      <w:pPr>
        <w:pStyle w:val="ListParagraph"/>
        <w:numPr>
          <w:ilvl w:val="3"/>
          <w:numId w:val="17"/>
        </w:numPr>
        <w:jc w:val="both"/>
        <w:rPr>
          <w:rFonts w:ascii="Times New Roman" w:hAnsi="Times New Roman" w:cs="Times New Roman"/>
        </w:rPr>
      </w:pPr>
      <w:r>
        <w:rPr>
          <w:rFonts w:ascii="Times New Roman" w:hAnsi="Times New Roman" w:cs="Times New Roman"/>
        </w:rPr>
        <w:t>– (iii) (no change)</w:t>
      </w:r>
    </w:p>
    <w:p w14:paraId="56C053C9" w14:textId="43A56010" w:rsidR="00B83829" w:rsidRDefault="00B83829" w:rsidP="002E2F76">
      <w:pPr>
        <w:pStyle w:val="ListParagraph"/>
        <w:numPr>
          <w:ilvl w:val="0"/>
          <w:numId w:val="18"/>
        </w:numPr>
        <w:jc w:val="both"/>
        <w:rPr>
          <w:rFonts w:ascii="Times New Roman" w:hAnsi="Times New Roman" w:cs="Times New Roman"/>
        </w:rPr>
      </w:pPr>
      <w:r>
        <w:rPr>
          <w:rFonts w:ascii="Times New Roman" w:hAnsi="Times New Roman" w:cs="Times New Roman"/>
        </w:rPr>
        <w:t xml:space="preserve"> </w:t>
      </w:r>
      <w:r w:rsidRPr="00B83829">
        <w:rPr>
          <w:rFonts w:ascii="Times New Roman" w:hAnsi="Times New Roman" w:cs="Times New Roman"/>
        </w:rPr>
        <w:t xml:space="preserve">a </w:t>
      </w:r>
      <w:r w:rsidRPr="0058126E">
        <w:rPr>
          <w:rFonts w:ascii="Times New Roman" w:hAnsi="Times New Roman" w:cs="Times New Roman"/>
          <w:strike/>
          <w:color w:val="FF0000"/>
        </w:rPr>
        <w:t xml:space="preserve">requirement for pre- and post-weather emergency meetings </w:t>
      </w:r>
      <w:r w:rsidR="0058126E" w:rsidRPr="0058126E">
        <w:rPr>
          <w:rFonts w:ascii="Times New Roman" w:hAnsi="Times New Roman" w:cs="Times New Roman"/>
          <w:color w:val="FF0000"/>
          <w:u w:val="single"/>
        </w:rPr>
        <w:t xml:space="preserve">plan </w:t>
      </w:r>
      <w:r w:rsidRPr="00B83829">
        <w:rPr>
          <w:rFonts w:ascii="Times New Roman" w:hAnsi="Times New Roman" w:cs="Times New Roman"/>
        </w:rPr>
        <w:t xml:space="preserve">to review </w:t>
      </w:r>
      <w:r w:rsidR="0058126E">
        <w:rPr>
          <w:rFonts w:ascii="Times New Roman" w:hAnsi="Times New Roman" w:cs="Times New Roman"/>
          <w:color w:val="FF0000"/>
          <w:u w:val="single"/>
        </w:rPr>
        <w:t xml:space="preserve">and socialize </w:t>
      </w:r>
      <w:r w:rsidRPr="00B83829">
        <w:rPr>
          <w:rFonts w:ascii="Times New Roman" w:hAnsi="Times New Roman" w:cs="Times New Roman"/>
        </w:rPr>
        <w:t xml:space="preserve">lessons learned from past cold weather emergency incidents </w:t>
      </w:r>
      <w:r w:rsidR="0058126E">
        <w:rPr>
          <w:rFonts w:ascii="Times New Roman" w:hAnsi="Times New Roman" w:cs="Times New Roman"/>
          <w:color w:val="FF0000"/>
          <w:u w:val="single"/>
        </w:rPr>
        <w:t xml:space="preserve">with relevant personnel </w:t>
      </w:r>
      <w:r w:rsidRPr="00B83829">
        <w:rPr>
          <w:rFonts w:ascii="Times New Roman" w:hAnsi="Times New Roman" w:cs="Times New Roman"/>
        </w:rPr>
        <w:t xml:space="preserve">and to ensure necessary supplies and personnel are available through </w:t>
      </w:r>
      <w:r w:rsidRPr="0058126E">
        <w:rPr>
          <w:rFonts w:ascii="Times New Roman" w:hAnsi="Times New Roman" w:cs="Times New Roman"/>
          <w:strike/>
          <w:color w:val="FF0000"/>
        </w:rPr>
        <w:t>the</w:t>
      </w:r>
      <w:r w:rsidRPr="0058126E">
        <w:rPr>
          <w:rFonts w:ascii="Times New Roman" w:hAnsi="Times New Roman" w:cs="Times New Roman"/>
          <w:color w:val="FF0000"/>
        </w:rPr>
        <w:t xml:space="preserve"> </w:t>
      </w:r>
      <w:r w:rsidR="0058126E">
        <w:rPr>
          <w:rFonts w:ascii="Times New Roman" w:hAnsi="Times New Roman" w:cs="Times New Roman"/>
          <w:color w:val="FF0000"/>
          <w:u w:val="single"/>
        </w:rPr>
        <w:t xml:space="preserve">a </w:t>
      </w:r>
      <w:r w:rsidRPr="00B83829">
        <w:rPr>
          <w:rFonts w:ascii="Times New Roman" w:hAnsi="Times New Roman" w:cs="Times New Roman"/>
        </w:rPr>
        <w:t>weather emergency</w:t>
      </w:r>
      <w:r>
        <w:rPr>
          <w:rFonts w:ascii="Times New Roman" w:hAnsi="Times New Roman" w:cs="Times New Roman"/>
        </w:rPr>
        <w:t>.</w:t>
      </w:r>
    </w:p>
    <w:p w14:paraId="2CAF93F9" w14:textId="564687D2" w:rsidR="00B83829" w:rsidRPr="00B83829" w:rsidRDefault="00B83829" w:rsidP="002E2F76">
      <w:pPr>
        <w:pStyle w:val="ListParagraph"/>
        <w:numPr>
          <w:ilvl w:val="2"/>
          <w:numId w:val="5"/>
        </w:numPr>
        <w:jc w:val="both"/>
        <w:rPr>
          <w:rFonts w:ascii="Times New Roman" w:hAnsi="Times New Roman" w:cs="Times New Roman"/>
        </w:rPr>
      </w:pPr>
      <w:r w:rsidRPr="00B83829">
        <w:rPr>
          <w:rFonts w:ascii="Times New Roman" w:hAnsi="Times New Roman" w:cs="Times New Roman"/>
        </w:rPr>
        <w:t xml:space="preserve">A </w:t>
      </w:r>
      <w:r>
        <w:rPr>
          <w:rFonts w:ascii="Times New Roman" w:hAnsi="Times New Roman" w:cs="Times New Roman"/>
        </w:rPr>
        <w:t>hot</w:t>
      </w:r>
      <w:r w:rsidRPr="00B83829">
        <w:rPr>
          <w:rFonts w:ascii="Times New Roman" w:hAnsi="Times New Roman" w:cs="Times New Roman"/>
        </w:rPr>
        <w:t xml:space="preserve"> weather emergency annex that includes:</w:t>
      </w:r>
    </w:p>
    <w:p w14:paraId="66CC7472" w14:textId="58260BCE" w:rsidR="00B83829" w:rsidRDefault="00B83829" w:rsidP="002E2F76">
      <w:pPr>
        <w:pStyle w:val="ListParagraph"/>
        <w:numPr>
          <w:ilvl w:val="0"/>
          <w:numId w:val="19"/>
        </w:numPr>
        <w:jc w:val="both"/>
        <w:rPr>
          <w:rFonts w:ascii="Times New Roman" w:hAnsi="Times New Roman" w:cs="Times New Roman"/>
        </w:rPr>
      </w:pPr>
      <w:r>
        <w:rPr>
          <w:rFonts w:ascii="Times New Roman" w:hAnsi="Times New Roman" w:cs="Times New Roman"/>
        </w:rPr>
        <w:t xml:space="preserve"> </w:t>
      </w:r>
      <w:r w:rsidRPr="00B83829">
        <w:rPr>
          <w:rFonts w:ascii="Times New Roman" w:hAnsi="Times New Roman" w:cs="Times New Roman"/>
        </w:rPr>
        <w:t xml:space="preserve">operational plans intended to mitigate the hazards of a </w:t>
      </w:r>
      <w:r>
        <w:rPr>
          <w:rFonts w:ascii="Times New Roman" w:hAnsi="Times New Roman" w:cs="Times New Roman"/>
        </w:rPr>
        <w:t>hot</w:t>
      </w:r>
      <w:r w:rsidRPr="00B83829">
        <w:rPr>
          <w:rFonts w:ascii="Times New Roman" w:hAnsi="Times New Roman" w:cs="Times New Roman"/>
        </w:rPr>
        <w:t xml:space="preserve"> weather emergency</w:t>
      </w:r>
      <w:r w:rsidRPr="0058126E">
        <w:rPr>
          <w:rFonts w:ascii="Times New Roman" w:hAnsi="Times New Roman" w:cs="Times New Roman"/>
          <w:strike/>
          <w:color w:val="FF0000"/>
        </w:rPr>
        <w:t>, separate and distinct from the weather preparations standards under §25.55</w:t>
      </w:r>
      <w:r w:rsidRPr="00B83829">
        <w:rPr>
          <w:rFonts w:ascii="Times New Roman" w:hAnsi="Times New Roman" w:cs="Times New Roman"/>
        </w:rPr>
        <w:t>;</w:t>
      </w:r>
    </w:p>
    <w:p w14:paraId="4C9C3412" w14:textId="77777777" w:rsidR="00B83829" w:rsidRDefault="00B83829" w:rsidP="002E2F76">
      <w:pPr>
        <w:pStyle w:val="ListParagraph"/>
        <w:numPr>
          <w:ilvl w:val="0"/>
          <w:numId w:val="19"/>
        </w:numPr>
        <w:jc w:val="both"/>
        <w:rPr>
          <w:rFonts w:ascii="Times New Roman" w:hAnsi="Times New Roman" w:cs="Times New Roman"/>
        </w:rPr>
      </w:pPr>
      <w:r>
        <w:rPr>
          <w:rFonts w:ascii="Times New Roman" w:hAnsi="Times New Roman" w:cs="Times New Roman"/>
        </w:rPr>
        <w:t>– (iii) (no change)</w:t>
      </w:r>
    </w:p>
    <w:p w14:paraId="1F867DA5" w14:textId="6DC7E75E" w:rsidR="00B83829" w:rsidRDefault="0058126E" w:rsidP="002E2F76">
      <w:pPr>
        <w:pStyle w:val="ListParagraph"/>
        <w:numPr>
          <w:ilvl w:val="0"/>
          <w:numId w:val="20"/>
        </w:numPr>
        <w:jc w:val="both"/>
        <w:rPr>
          <w:rFonts w:ascii="Times New Roman" w:hAnsi="Times New Roman" w:cs="Times New Roman"/>
        </w:rPr>
      </w:pPr>
      <w:r>
        <w:rPr>
          <w:rFonts w:ascii="Times New Roman" w:hAnsi="Times New Roman" w:cs="Times New Roman"/>
        </w:rPr>
        <w:t xml:space="preserve"> </w:t>
      </w:r>
      <w:r w:rsidRPr="00B83829">
        <w:rPr>
          <w:rFonts w:ascii="Times New Roman" w:hAnsi="Times New Roman" w:cs="Times New Roman"/>
        </w:rPr>
        <w:t xml:space="preserve">a </w:t>
      </w:r>
      <w:r w:rsidRPr="0058126E">
        <w:rPr>
          <w:rFonts w:ascii="Times New Roman" w:hAnsi="Times New Roman" w:cs="Times New Roman"/>
          <w:strike/>
          <w:color w:val="FF0000"/>
        </w:rPr>
        <w:t xml:space="preserve">requirement for pre- and post-weather emergency meetings </w:t>
      </w:r>
      <w:r w:rsidRPr="0058126E">
        <w:rPr>
          <w:rFonts w:ascii="Times New Roman" w:hAnsi="Times New Roman" w:cs="Times New Roman"/>
          <w:color w:val="FF0000"/>
          <w:u w:val="single"/>
        </w:rPr>
        <w:t xml:space="preserve">plan </w:t>
      </w:r>
      <w:r w:rsidRPr="00B83829">
        <w:rPr>
          <w:rFonts w:ascii="Times New Roman" w:hAnsi="Times New Roman" w:cs="Times New Roman"/>
        </w:rPr>
        <w:t xml:space="preserve">to review </w:t>
      </w:r>
      <w:r>
        <w:rPr>
          <w:rFonts w:ascii="Times New Roman" w:hAnsi="Times New Roman" w:cs="Times New Roman"/>
          <w:color w:val="FF0000"/>
          <w:u w:val="single"/>
        </w:rPr>
        <w:t xml:space="preserve">and socialize </w:t>
      </w:r>
      <w:r w:rsidRPr="00B83829">
        <w:rPr>
          <w:rFonts w:ascii="Times New Roman" w:hAnsi="Times New Roman" w:cs="Times New Roman"/>
        </w:rPr>
        <w:t xml:space="preserve">lessons learned from past </w:t>
      </w:r>
      <w:r>
        <w:rPr>
          <w:rFonts w:ascii="Times New Roman" w:hAnsi="Times New Roman" w:cs="Times New Roman"/>
        </w:rPr>
        <w:t>hot</w:t>
      </w:r>
      <w:r w:rsidRPr="00B83829">
        <w:rPr>
          <w:rFonts w:ascii="Times New Roman" w:hAnsi="Times New Roman" w:cs="Times New Roman"/>
        </w:rPr>
        <w:t xml:space="preserve"> weather </w:t>
      </w:r>
      <w:r w:rsidRPr="005C075F">
        <w:rPr>
          <w:rFonts w:ascii="Times New Roman" w:hAnsi="Times New Roman" w:cs="Times New Roman"/>
          <w:strike/>
          <w:color w:val="FF0000"/>
        </w:rPr>
        <w:t>emergency</w:t>
      </w:r>
      <w:r w:rsidRPr="00B83829">
        <w:rPr>
          <w:rFonts w:ascii="Times New Roman" w:hAnsi="Times New Roman" w:cs="Times New Roman"/>
        </w:rPr>
        <w:t xml:space="preserve"> incidents </w:t>
      </w:r>
      <w:r>
        <w:rPr>
          <w:rFonts w:ascii="Times New Roman" w:hAnsi="Times New Roman" w:cs="Times New Roman"/>
          <w:color w:val="FF0000"/>
          <w:u w:val="single"/>
        </w:rPr>
        <w:t xml:space="preserve">with relevant personnel </w:t>
      </w:r>
      <w:r w:rsidRPr="00B83829">
        <w:rPr>
          <w:rFonts w:ascii="Times New Roman" w:hAnsi="Times New Roman" w:cs="Times New Roman"/>
        </w:rPr>
        <w:t xml:space="preserve">and to ensure necessary supplies and personnel are available through </w:t>
      </w:r>
      <w:r w:rsidRPr="0058126E">
        <w:rPr>
          <w:rFonts w:ascii="Times New Roman" w:hAnsi="Times New Roman" w:cs="Times New Roman"/>
          <w:strike/>
          <w:color w:val="FF0000"/>
        </w:rPr>
        <w:t>the</w:t>
      </w:r>
      <w:r w:rsidRPr="0058126E">
        <w:rPr>
          <w:rFonts w:ascii="Times New Roman" w:hAnsi="Times New Roman" w:cs="Times New Roman"/>
          <w:color w:val="FF0000"/>
        </w:rPr>
        <w:t xml:space="preserve"> </w:t>
      </w:r>
      <w:r>
        <w:rPr>
          <w:rFonts w:ascii="Times New Roman" w:hAnsi="Times New Roman" w:cs="Times New Roman"/>
          <w:color w:val="FF0000"/>
          <w:u w:val="single"/>
        </w:rPr>
        <w:t xml:space="preserve">a </w:t>
      </w:r>
      <w:r w:rsidR="00B83829" w:rsidRPr="00B83829">
        <w:rPr>
          <w:rFonts w:ascii="Times New Roman" w:hAnsi="Times New Roman" w:cs="Times New Roman"/>
        </w:rPr>
        <w:t>weather emergency</w:t>
      </w:r>
      <w:r w:rsidR="00B83829">
        <w:rPr>
          <w:rFonts w:ascii="Times New Roman" w:hAnsi="Times New Roman" w:cs="Times New Roman"/>
        </w:rPr>
        <w:t>.</w:t>
      </w:r>
    </w:p>
    <w:p w14:paraId="2E7F2E71" w14:textId="6998C2F6" w:rsidR="0058126E" w:rsidRDefault="0058126E" w:rsidP="002E2F76">
      <w:pPr>
        <w:pStyle w:val="ListParagraph"/>
        <w:ind w:left="1980"/>
        <w:jc w:val="both"/>
        <w:rPr>
          <w:rFonts w:ascii="Times New Roman" w:hAnsi="Times New Roman" w:cs="Times New Roman"/>
        </w:rPr>
      </w:pPr>
      <w:r>
        <w:rPr>
          <w:rFonts w:ascii="Times New Roman" w:hAnsi="Times New Roman" w:cs="Times New Roman"/>
        </w:rPr>
        <w:t>(C) – (F) (no change)</w:t>
      </w:r>
    </w:p>
    <w:p w14:paraId="49802024" w14:textId="54AC1FC7" w:rsidR="0058126E" w:rsidRPr="00EB3AC7" w:rsidRDefault="00AC48B0" w:rsidP="005C075F">
      <w:pPr>
        <w:pStyle w:val="ListParagraph"/>
        <w:numPr>
          <w:ilvl w:val="0"/>
          <w:numId w:val="21"/>
        </w:numPr>
        <w:ind w:left="2160"/>
        <w:jc w:val="both"/>
        <w:rPr>
          <w:rFonts w:ascii="Times New Roman" w:hAnsi="Times New Roman" w:cs="Times New Roman"/>
        </w:rPr>
      </w:pPr>
      <w:r w:rsidRPr="00EB3AC7">
        <w:rPr>
          <w:rFonts w:ascii="Times New Roman" w:hAnsi="Times New Roman" w:cs="Times New Roman"/>
        </w:rPr>
        <w:t>A cyber security annex;</w:t>
      </w:r>
      <w:r w:rsidR="004B69A8">
        <w:rPr>
          <w:rFonts w:ascii="Times New Roman" w:hAnsi="Times New Roman" w:cs="Times New Roman"/>
          <w:color w:val="FF0000"/>
          <w:u w:val="single"/>
        </w:rPr>
        <w:t xml:space="preserve"> and</w:t>
      </w:r>
    </w:p>
    <w:p w14:paraId="0D7BD388" w14:textId="1197BA61" w:rsidR="00AC48B0" w:rsidRPr="0058331F" w:rsidRDefault="00AC48B0" w:rsidP="002E2F76">
      <w:pPr>
        <w:pStyle w:val="ListParagraph"/>
        <w:numPr>
          <w:ilvl w:val="0"/>
          <w:numId w:val="23"/>
        </w:numPr>
        <w:jc w:val="both"/>
        <w:rPr>
          <w:rFonts w:ascii="Times New Roman" w:hAnsi="Times New Roman" w:cs="Times New Roman"/>
        </w:rPr>
      </w:pPr>
      <w:r w:rsidRPr="0058331F">
        <w:rPr>
          <w:rFonts w:ascii="Times New Roman" w:hAnsi="Times New Roman" w:cs="Times New Roman"/>
        </w:rPr>
        <w:t>A physical security incident annex</w:t>
      </w:r>
      <w:r w:rsidRPr="005C075F">
        <w:rPr>
          <w:rFonts w:ascii="Times New Roman" w:hAnsi="Times New Roman" w:cs="Times New Roman"/>
          <w:strike/>
          <w:color w:val="FF0000"/>
        </w:rPr>
        <w:t>; and</w:t>
      </w:r>
      <w:r w:rsidR="00B55797" w:rsidRPr="005C075F">
        <w:rPr>
          <w:rFonts w:ascii="Times New Roman" w:hAnsi="Times New Roman" w:cs="Times New Roman"/>
          <w:color w:val="FF0000"/>
          <w:u w:val="single"/>
        </w:rPr>
        <w:t>.</w:t>
      </w:r>
    </w:p>
    <w:p w14:paraId="4D1C3F6B" w14:textId="77777777" w:rsidR="00AC48B0" w:rsidRPr="0058331F" w:rsidRDefault="00AC48B0" w:rsidP="002E2F76">
      <w:pPr>
        <w:pStyle w:val="ListParagraph"/>
        <w:numPr>
          <w:ilvl w:val="0"/>
          <w:numId w:val="23"/>
        </w:numPr>
        <w:jc w:val="both"/>
        <w:rPr>
          <w:rFonts w:ascii="Times New Roman" w:hAnsi="Times New Roman" w:cs="Times New Roman"/>
          <w:strike/>
          <w:color w:val="FF0000"/>
        </w:rPr>
      </w:pPr>
      <w:r w:rsidRPr="0058331F">
        <w:rPr>
          <w:rFonts w:ascii="Times New Roman" w:hAnsi="Times New Roman" w:cs="Times New Roman"/>
          <w:strike/>
          <w:color w:val="FF0000"/>
        </w:rPr>
        <w:t>Any additional annexes as needed or appropriate to the entity's particular circumstances.</w:t>
      </w:r>
    </w:p>
    <w:p w14:paraId="59389049" w14:textId="77777777" w:rsidR="00AC48B0" w:rsidRPr="005C075F" w:rsidRDefault="00AC48B0" w:rsidP="002E2F76">
      <w:pPr>
        <w:pStyle w:val="ListParagraph"/>
        <w:numPr>
          <w:ilvl w:val="1"/>
          <w:numId w:val="5"/>
        </w:numPr>
        <w:jc w:val="both"/>
        <w:rPr>
          <w:rFonts w:eastAsia="Times New Roman"/>
        </w:rPr>
      </w:pPr>
      <w:r w:rsidRPr="005C075F">
        <w:rPr>
          <w:rFonts w:eastAsia="Times New Roman"/>
        </w:rPr>
        <w:t>A REP must include in its EOP the following annexes:</w:t>
      </w:r>
    </w:p>
    <w:p w14:paraId="3D486C81" w14:textId="77777777" w:rsidR="00AC48B0" w:rsidRPr="005C075F" w:rsidRDefault="00AC48B0" w:rsidP="002E2F76">
      <w:pPr>
        <w:pStyle w:val="ListParagraph"/>
        <w:numPr>
          <w:ilvl w:val="2"/>
          <w:numId w:val="5"/>
        </w:numPr>
        <w:jc w:val="both"/>
        <w:rPr>
          <w:rFonts w:eastAsia="Times New Roman"/>
        </w:rPr>
      </w:pPr>
      <w:r w:rsidRPr="005C075F">
        <w:rPr>
          <w:rFonts w:eastAsia="Times New Roman"/>
        </w:rPr>
        <w:t>A pandemic and epidemic annex;</w:t>
      </w:r>
    </w:p>
    <w:p w14:paraId="65CC927E" w14:textId="77777777" w:rsidR="00AC48B0" w:rsidRPr="005C075F" w:rsidRDefault="00AC48B0" w:rsidP="002E2F76">
      <w:pPr>
        <w:pStyle w:val="ListParagraph"/>
        <w:numPr>
          <w:ilvl w:val="2"/>
          <w:numId w:val="5"/>
        </w:numPr>
        <w:jc w:val="both"/>
        <w:rPr>
          <w:rFonts w:eastAsia="Times New Roman"/>
        </w:rPr>
      </w:pPr>
      <w:r w:rsidRPr="005C075F">
        <w:rPr>
          <w:rFonts w:eastAsia="Times New Roman"/>
        </w:rPr>
        <w:t>A hurricane annex that includes evacuation and re-entry procedures if facilities are located within a hurricane evacuation zone, as defined by TDEM;</w:t>
      </w:r>
    </w:p>
    <w:p w14:paraId="741CD8CB" w14:textId="04E300F4" w:rsidR="00AC48B0" w:rsidRPr="005C075F" w:rsidRDefault="00AC48B0" w:rsidP="002E2F76">
      <w:pPr>
        <w:pStyle w:val="ListParagraph"/>
        <w:numPr>
          <w:ilvl w:val="2"/>
          <w:numId w:val="5"/>
        </w:numPr>
        <w:jc w:val="both"/>
        <w:rPr>
          <w:rFonts w:eastAsia="Times New Roman"/>
        </w:rPr>
      </w:pPr>
      <w:r w:rsidRPr="005C075F">
        <w:rPr>
          <w:rFonts w:eastAsia="Times New Roman"/>
        </w:rPr>
        <w:t>A cyber security annex;</w:t>
      </w:r>
      <w:r w:rsidR="00B55797">
        <w:rPr>
          <w:rFonts w:ascii="Times New Roman" w:hAnsi="Times New Roman" w:cs="Times New Roman"/>
          <w:color w:val="FF0000"/>
          <w:u w:val="single"/>
        </w:rPr>
        <w:t xml:space="preserve"> and</w:t>
      </w:r>
    </w:p>
    <w:p w14:paraId="05DD824F" w14:textId="77777777" w:rsidR="00AC48B0" w:rsidRPr="005C075F" w:rsidRDefault="00AC48B0" w:rsidP="002E2F76">
      <w:pPr>
        <w:pStyle w:val="ListParagraph"/>
        <w:numPr>
          <w:ilvl w:val="2"/>
          <w:numId w:val="5"/>
        </w:numPr>
        <w:jc w:val="both"/>
        <w:rPr>
          <w:rFonts w:eastAsia="Times New Roman"/>
        </w:rPr>
      </w:pPr>
      <w:r w:rsidRPr="005C075F">
        <w:rPr>
          <w:rFonts w:eastAsia="Times New Roman"/>
        </w:rPr>
        <w:t>A physical security incident annex</w:t>
      </w:r>
      <w:r w:rsidRPr="00B55797">
        <w:rPr>
          <w:rFonts w:eastAsia="Times New Roman"/>
          <w:strike/>
          <w:color w:val="FF0000"/>
        </w:rPr>
        <w:t>; and</w:t>
      </w:r>
    </w:p>
    <w:p w14:paraId="36D8011E" w14:textId="77777777" w:rsidR="00AC48B0" w:rsidRPr="00B93DC6" w:rsidRDefault="00AC48B0" w:rsidP="002E2F76">
      <w:pPr>
        <w:pStyle w:val="ListParagraph"/>
        <w:numPr>
          <w:ilvl w:val="2"/>
          <w:numId w:val="5"/>
        </w:numPr>
        <w:jc w:val="both"/>
        <w:rPr>
          <w:rFonts w:eastAsia="Times New Roman"/>
          <w:strike/>
          <w:color w:val="FF0000"/>
        </w:rPr>
      </w:pPr>
      <w:r w:rsidRPr="00B93DC6">
        <w:rPr>
          <w:rFonts w:eastAsia="Times New Roman"/>
          <w:strike/>
          <w:color w:val="FF0000"/>
        </w:rPr>
        <w:t>Any additional annexes as needed or appropriate to the entity's particular circumstances.</w:t>
      </w:r>
    </w:p>
    <w:p w14:paraId="79F72091" w14:textId="1C337F9C" w:rsidR="00AC48B0" w:rsidRPr="00B93DC6" w:rsidRDefault="00B93DC6" w:rsidP="002E2F76">
      <w:pPr>
        <w:ind w:left="720" w:firstLine="450"/>
        <w:jc w:val="both"/>
        <w:rPr>
          <w:rFonts w:eastAsia="Times New Roman"/>
        </w:rPr>
      </w:pPr>
      <w:r w:rsidRPr="00B93DC6">
        <w:rPr>
          <w:rFonts w:eastAsia="Times New Roman"/>
        </w:rPr>
        <w:t>(</w:t>
      </w:r>
      <w:r w:rsidRPr="00B93DC6">
        <w:rPr>
          <w:rFonts w:eastAsia="Times New Roman"/>
          <w:strike/>
          <w:color w:val="FF0000"/>
        </w:rPr>
        <w:t>4</w:t>
      </w:r>
      <w:r w:rsidRPr="00B93DC6">
        <w:rPr>
          <w:rFonts w:eastAsia="Times New Roman"/>
          <w:color w:val="FF0000"/>
          <w:u w:val="single"/>
        </w:rPr>
        <w:t>3</w:t>
      </w:r>
      <w:r w:rsidRPr="00B93DC6">
        <w:rPr>
          <w:rFonts w:eastAsia="Times New Roman"/>
        </w:rPr>
        <w:t>)</w:t>
      </w:r>
      <w:r w:rsidR="00AC48B0" w:rsidRPr="00B93DC6">
        <w:rPr>
          <w:rFonts w:eastAsia="Times New Roman"/>
        </w:rPr>
        <w:t>(no change)</w:t>
      </w:r>
    </w:p>
    <w:p w14:paraId="615D183F" w14:textId="1F5E4C5D" w:rsidR="00B93DC6" w:rsidRDefault="0058331F" w:rsidP="002E2F76">
      <w:pPr>
        <w:pStyle w:val="ListParagraph"/>
        <w:numPr>
          <w:ilvl w:val="2"/>
          <w:numId w:val="6"/>
        </w:numPr>
        <w:jc w:val="both"/>
        <w:rPr>
          <w:rFonts w:eastAsia="Times New Roman"/>
        </w:rPr>
      </w:pPr>
      <w:r>
        <w:rPr>
          <w:rFonts w:eastAsia="Times New Roman"/>
        </w:rPr>
        <w:t>– (</w:t>
      </w:r>
      <w:r w:rsidR="000E3D45">
        <w:rPr>
          <w:rFonts w:eastAsia="Times New Roman"/>
        </w:rPr>
        <w:t>D</w:t>
      </w:r>
      <w:r>
        <w:rPr>
          <w:rFonts w:eastAsia="Times New Roman"/>
        </w:rPr>
        <w:t>) (no change)</w:t>
      </w:r>
    </w:p>
    <w:p w14:paraId="472B3F59" w14:textId="4152185B" w:rsidR="0058331F" w:rsidRPr="0058331F" w:rsidRDefault="0058331F" w:rsidP="003F23C6">
      <w:pPr>
        <w:pStyle w:val="ListParagraph"/>
        <w:numPr>
          <w:ilvl w:val="0"/>
          <w:numId w:val="30"/>
        </w:numPr>
        <w:jc w:val="both"/>
        <w:rPr>
          <w:rFonts w:eastAsia="Times New Roman"/>
        </w:rPr>
      </w:pPr>
      <w:r w:rsidRPr="0058331F">
        <w:rPr>
          <w:rFonts w:eastAsia="Times New Roman"/>
        </w:rPr>
        <w:t>A physical security incident annex</w:t>
      </w:r>
      <w:r w:rsidRPr="005C075F">
        <w:rPr>
          <w:rFonts w:eastAsia="Times New Roman"/>
          <w:strike/>
          <w:color w:val="FF0000"/>
        </w:rPr>
        <w:t>; and</w:t>
      </w:r>
    </w:p>
    <w:p w14:paraId="277BC1A8" w14:textId="77777777" w:rsidR="0058331F" w:rsidRPr="0058331F" w:rsidRDefault="0058331F" w:rsidP="003F23C6">
      <w:pPr>
        <w:pStyle w:val="ListParagraph"/>
        <w:numPr>
          <w:ilvl w:val="0"/>
          <w:numId w:val="30"/>
        </w:numPr>
        <w:jc w:val="both"/>
        <w:rPr>
          <w:rFonts w:eastAsia="Times New Roman"/>
          <w:strike/>
          <w:color w:val="FF0000"/>
        </w:rPr>
      </w:pPr>
      <w:r w:rsidRPr="0058331F">
        <w:rPr>
          <w:rFonts w:eastAsia="Times New Roman"/>
          <w:strike/>
          <w:color w:val="FF0000"/>
        </w:rPr>
        <w:t>Any additional annexes as needed or appropriate to ERCOT's particular circumstances.</w:t>
      </w:r>
    </w:p>
    <w:p w14:paraId="12EBA94F" w14:textId="642B0BEE" w:rsidR="00B93DC6" w:rsidRDefault="00B93DC6" w:rsidP="0058331F">
      <w:pPr>
        <w:spacing w:after="240"/>
        <w:jc w:val="both"/>
        <w:rPr>
          <w:rFonts w:eastAsia="Times New Roman"/>
        </w:rPr>
      </w:pPr>
    </w:p>
    <w:p w14:paraId="467F8816" w14:textId="4F1EFBC5" w:rsidR="00213FE4" w:rsidRDefault="00213FE4" w:rsidP="00E51397">
      <w:pPr>
        <w:pStyle w:val="ListParagraph"/>
        <w:numPr>
          <w:ilvl w:val="0"/>
          <w:numId w:val="6"/>
        </w:numPr>
        <w:spacing w:after="240"/>
        <w:jc w:val="both"/>
        <w:rPr>
          <w:rFonts w:ascii="Times New Roman" w:hAnsi="Times New Roman" w:cs="Times New Roman"/>
          <w:b/>
          <w:bCs/>
        </w:rPr>
      </w:pPr>
      <w:r>
        <w:rPr>
          <w:rFonts w:ascii="Times New Roman" w:hAnsi="Times New Roman" w:cs="Times New Roman"/>
          <w:b/>
          <w:bCs/>
        </w:rPr>
        <w:t xml:space="preserve">Formal reporting requirements should </w:t>
      </w:r>
      <w:r w:rsidR="00BC5BD2">
        <w:rPr>
          <w:rFonts w:ascii="Times New Roman" w:hAnsi="Times New Roman" w:cs="Times New Roman"/>
          <w:b/>
          <w:bCs/>
        </w:rPr>
        <w:t>be set by Commission order.</w:t>
      </w:r>
    </w:p>
    <w:p w14:paraId="47953888" w14:textId="1FA2F2AB" w:rsidR="00453FD0" w:rsidRDefault="00A73861" w:rsidP="00E51397">
      <w:pPr>
        <w:spacing w:after="240" w:line="480" w:lineRule="auto"/>
        <w:ind w:firstLine="720"/>
        <w:jc w:val="both"/>
        <w:rPr>
          <w:rFonts w:ascii="Times New Roman" w:hAnsi="Times New Roman" w:cs="Times New Roman"/>
        </w:rPr>
      </w:pPr>
      <w:r>
        <w:rPr>
          <w:rFonts w:ascii="Times New Roman" w:hAnsi="Times New Roman" w:cs="Times New Roman"/>
        </w:rPr>
        <w:lastRenderedPageBreak/>
        <w:t xml:space="preserve">For the same reasons outlined above regarding protection of entities’ right to due process in the event of a disagreement with Staff, the PFP’s </w:t>
      </w:r>
      <w:r w:rsidR="00453FD0">
        <w:rPr>
          <w:rFonts w:ascii="Times New Roman" w:hAnsi="Times New Roman" w:cs="Times New Roman"/>
        </w:rPr>
        <w:t xml:space="preserve">provision in </w:t>
      </w:r>
      <w:r>
        <w:rPr>
          <w:rFonts w:ascii="Times New Roman" w:hAnsi="Times New Roman" w:cs="Times New Roman"/>
        </w:rPr>
        <w:t xml:space="preserve">subsection </w:t>
      </w:r>
      <w:r w:rsidR="00453FD0">
        <w:rPr>
          <w:rFonts w:ascii="Times New Roman" w:hAnsi="Times New Roman" w:cs="Times New Roman"/>
        </w:rPr>
        <w:t>(g) that “</w:t>
      </w:r>
      <w:r w:rsidR="00453FD0" w:rsidRPr="00453FD0">
        <w:rPr>
          <w:rFonts w:ascii="Times New Roman" w:hAnsi="Times New Roman" w:cs="Times New Roman"/>
        </w:rPr>
        <w:t>commission staff may require an affected entity to provide an after action or lessons learned report and file it with the commission by a date specified by commission staff</w:t>
      </w:r>
      <w:r w:rsidR="00453FD0">
        <w:rPr>
          <w:rFonts w:ascii="Times New Roman" w:hAnsi="Times New Roman" w:cs="Times New Roman"/>
        </w:rPr>
        <w:t xml:space="preserve">” should be revised to specify that </w:t>
      </w:r>
      <w:r w:rsidR="00453FD0" w:rsidRPr="00A73861">
        <w:rPr>
          <w:rFonts w:ascii="Times New Roman" w:hAnsi="Times New Roman" w:cs="Times New Roman"/>
          <w:i/>
          <w:iCs/>
        </w:rPr>
        <w:t>the Commission</w:t>
      </w:r>
      <w:r w:rsidR="00453FD0">
        <w:rPr>
          <w:rFonts w:ascii="Times New Roman" w:hAnsi="Times New Roman" w:cs="Times New Roman"/>
        </w:rPr>
        <w:t xml:space="preserve"> may require </w:t>
      </w:r>
      <w:r>
        <w:rPr>
          <w:rFonts w:ascii="Times New Roman" w:hAnsi="Times New Roman" w:cs="Times New Roman"/>
        </w:rPr>
        <w:t>such reporting.</w:t>
      </w:r>
      <w:r w:rsidR="003A3A8C">
        <w:rPr>
          <w:rFonts w:ascii="Times New Roman" w:hAnsi="Times New Roman" w:cs="Times New Roman"/>
        </w:rPr>
        <w:t xml:space="preserve"> This distinction is only for the reporting requirement in subsection (g), as it would be inefficient and potentially infeasible to produce a Commission order for the in-event updates contemplated in the first part of subsection (g). The date specification can also be deleted, as any Commission order would presumably set such a deadline for response. </w:t>
      </w:r>
    </w:p>
    <w:p w14:paraId="0C55046D" w14:textId="4C9CC4AE" w:rsidR="00A73861" w:rsidRPr="00A73861" w:rsidRDefault="00A73861" w:rsidP="00A73861">
      <w:pPr>
        <w:spacing w:after="240"/>
        <w:ind w:left="720"/>
        <w:jc w:val="both"/>
        <w:rPr>
          <w:rFonts w:ascii="Times New Roman" w:hAnsi="Times New Roman" w:cs="Times New Roman"/>
        </w:rPr>
      </w:pPr>
      <w:r>
        <w:rPr>
          <w:rFonts w:ascii="Times New Roman" w:hAnsi="Times New Roman" w:cs="Times New Roman"/>
        </w:rPr>
        <w:t xml:space="preserve">(g) </w:t>
      </w:r>
      <w:r w:rsidRPr="00A73861">
        <w:rPr>
          <w:rFonts w:ascii="Times New Roman" w:hAnsi="Times New Roman" w:cs="Times New Roman"/>
          <w:b/>
          <w:bCs/>
        </w:rPr>
        <w:t>Reporting requirements</w:t>
      </w:r>
      <w:r w:rsidRPr="00A73861">
        <w:rPr>
          <w:rFonts w:ascii="Times New Roman" w:hAnsi="Times New Roman" w:cs="Times New Roman"/>
        </w:rPr>
        <w:t xml:space="preserve">. Upon request by commission staff during an activation of the State Operations Center by TDEM, an entity must provide updates on the status of operations, outages, and restoration efforts. Updates must continue until all incident-related outages are restored or unless otherwise notified by commission staff. After an emergency, </w:t>
      </w:r>
      <w:r>
        <w:rPr>
          <w:rFonts w:ascii="Times New Roman" w:hAnsi="Times New Roman" w:cs="Times New Roman"/>
          <w:color w:val="FF0000"/>
          <w:u w:val="single"/>
        </w:rPr>
        <w:t xml:space="preserve">the </w:t>
      </w:r>
      <w:r w:rsidRPr="00A73861">
        <w:rPr>
          <w:rFonts w:ascii="Times New Roman" w:hAnsi="Times New Roman" w:cs="Times New Roman"/>
        </w:rPr>
        <w:t xml:space="preserve">commission </w:t>
      </w:r>
      <w:r w:rsidRPr="00A73861">
        <w:rPr>
          <w:rFonts w:ascii="Times New Roman" w:hAnsi="Times New Roman" w:cs="Times New Roman"/>
          <w:strike/>
          <w:color w:val="FF0000"/>
        </w:rPr>
        <w:t>staff</w:t>
      </w:r>
      <w:r w:rsidRPr="00A73861">
        <w:rPr>
          <w:rFonts w:ascii="Times New Roman" w:hAnsi="Times New Roman" w:cs="Times New Roman"/>
          <w:color w:val="FF0000"/>
        </w:rPr>
        <w:t xml:space="preserve"> </w:t>
      </w:r>
      <w:r w:rsidRPr="00A73861">
        <w:rPr>
          <w:rFonts w:ascii="Times New Roman" w:hAnsi="Times New Roman" w:cs="Times New Roman"/>
        </w:rPr>
        <w:t xml:space="preserve">may require an affected entity to provide an after action or lessons learned report and file it with the commission </w:t>
      </w:r>
      <w:r w:rsidRPr="00A73861">
        <w:rPr>
          <w:rFonts w:ascii="Times New Roman" w:hAnsi="Times New Roman" w:cs="Times New Roman"/>
          <w:strike/>
          <w:color w:val="FF0000"/>
        </w:rPr>
        <w:t>by a date specified by commission staff</w:t>
      </w:r>
      <w:r w:rsidRPr="00A73861">
        <w:rPr>
          <w:rFonts w:ascii="Times New Roman" w:hAnsi="Times New Roman" w:cs="Times New Roman"/>
        </w:rPr>
        <w:t>.</w:t>
      </w:r>
    </w:p>
    <w:p w14:paraId="37298D49" w14:textId="77777777" w:rsidR="00A73861" w:rsidRPr="00453FD0" w:rsidRDefault="00A73861" w:rsidP="00E51397">
      <w:pPr>
        <w:spacing w:after="240" w:line="480" w:lineRule="auto"/>
        <w:ind w:firstLine="720"/>
        <w:jc w:val="both"/>
        <w:rPr>
          <w:rFonts w:ascii="Times New Roman" w:hAnsi="Times New Roman" w:cs="Times New Roman"/>
          <w:b/>
          <w:bCs/>
          <w:color w:val="FF0000"/>
        </w:rPr>
      </w:pPr>
    </w:p>
    <w:p w14:paraId="5122E290" w14:textId="553E5953" w:rsidR="00242B62" w:rsidRPr="00C36738" w:rsidRDefault="0046186E" w:rsidP="00E51397">
      <w:pPr>
        <w:spacing w:line="480" w:lineRule="auto"/>
        <w:jc w:val="center"/>
        <w:rPr>
          <w:rFonts w:ascii="Times New Roman" w:hAnsi="Times New Roman" w:cs="Times New Roman"/>
          <w:b/>
          <w:bCs/>
        </w:rPr>
      </w:pPr>
      <w:r>
        <w:rPr>
          <w:rFonts w:ascii="Times New Roman" w:hAnsi="Times New Roman" w:cs="Times New Roman"/>
          <w:b/>
          <w:bCs/>
        </w:rPr>
        <w:t xml:space="preserve">III. </w:t>
      </w:r>
      <w:r w:rsidR="00242B62" w:rsidRPr="00C36738">
        <w:rPr>
          <w:rFonts w:ascii="Times New Roman" w:hAnsi="Times New Roman" w:cs="Times New Roman"/>
          <w:b/>
          <w:bCs/>
        </w:rPr>
        <w:t>Conclusion</w:t>
      </w:r>
    </w:p>
    <w:p w14:paraId="3191B59A" w14:textId="77E080AF" w:rsidR="00242B62" w:rsidRPr="00C36738" w:rsidRDefault="00242B62" w:rsidP="00E51397">
      <w:pPr>
        <w:spacing w:line="480" w:lineRule="auto"/>
        <w:jc w:val="both"/>
        <w:rPr>
          <w:rFonts w:ascii="Times New Roman" w:hAnsi="Times New Roman" w:cs="Times New Roman"/>
        </w:rPr>
      </w:pPr>
      <w:r w:rsidRPr="00C36738">
        <w:rPr>
          <w:rFonts w:ascii="Times New Roman" w:hAnsi="Times New Roman" w:cs="Times New Roman"/>
        </w:rPr>
        <w:tab/>
      </w:r>
      <w:r w:rsidR="006141FF">
        <w:rPr>
          <w:rFonts w:ascii="Times New Roman" w:hAnsi="Times New Roman" w:cs="Times New Roman"/>
        </w:rPr>
        <w:t>TCPA</w:t>
      </w:r>
      <w:r w:rsidRPr="00C36738">
        <w:rPr>
          <w:rFonts w:ascii="Times New Roman" w:hAnsi="Times New Roman" w:cs="Times New Roman"/>
        </w:rPr>
        <w:t xml:space="preserve"> appreciates the Commission’s effort</w:t>
      </w:r>
      <w:r w:rsidR="007B26E3">
        <w:rPr>
          <w:rFonts w:ascii="Times New Roman" w:hAnsi="Times New Roman" w:cs="Times New Roman"/>
        </w:rPr>
        <w:t>s</w:t>
      </w:r>
      <w:r w:rsidRPr="00C36738">
        <w:rPr>
          <w:rFonts w:ascii="Times New Roman" w:hAnsi="Times New Roman" w:cs="Times New Roman"/>
        </w:rPr>
        <w:t xml:space="preserve"> to implement provisions of S</w:t>
      </w:r>
      <w:r w:rsidR="009463E2" w:rsidRPr="00C36738">
        <w:rPr>
          <w:rFonts w:ascii="Times New Roman" w:hAnsi="Times New Roman" w:cs="Times New Roman"/>
        </w:rPr>
        <w:t xml:space="preserve">enate </w:t>
      </w:r>
      <w:r w:rsidRPr="00C36738">
        <w:rPr>
          <w:rFonts w:ascii="Times New Roman" w:hAnsi="Times New Roman" w:cs="Times New Roman"/>
        </w:rPr>
        <w:t>B</w:t>
      </w:r>
      <w:r w:rsidR="009463E2" w:rsidRPr="00C36738">
        <w:rPr>
          <w:rFonts w:ascii="Times New Roman" w:hAnsi="Times New Roman" w:cs="Times New Roman"/>
        </w:rPr>
        <w:t>ill</w:t>
      </w:r>
      <w:r w:rsidRPr="00C36738">
        <w:rPr>
          <w:rFonts w:ascii="Times New Roman" w:hAnsi="Times New Roman" w:cs="Times New Roman"/>
        </w:rPr>
        <w:t xml:space="preserve"> 3 and </w:t>
      </w:r>
      <w:r w:rsidR="007B26E3">
        <w:rPr>
          <w:rFonts w:ascii="Times New Roman" w:hAnsi="Times New Roman" w:cs="Times New Roman"/>
        </w:rPr>
        <w:t xml:space="preserve">bolster public confidence in the reliability of the electric system, as well as </w:t>
      </w:r>
      <w:r w:rsidRPr="00C36738">
        <w:rPr>
          <w:rFonts w:ascii="Times New Roman" w:hAnsi="Times New Roman" w:cs="Times New Roman"/>
        </w:rPr>
        <w:t>the opportunity to submit these comments.</w:t>
      </w:r>
      <w:r w:rsidR="00B0163A" w:rsidRPr="00C36738">
        <w:rPr>
          <w:rFonts w:ascii="Times New Roman" w:hAnsi="Times New Roman" w:cs="Times New Roman"/>
        </w:rPr>
        <w:t xml:space="preserve"> </w:t>
      </w:r>
      <w:r w:rsidR="00B844B7" w:rsidRPr="00C36738">
        <w:rPr>
          <w:rFonts w:ascii="Times New Roman" w:hAnsi="Times New Roman" w:cs="Times New Roman"/>
        </w:rPr>
        <w:t>As the Commission moves towards finalizing the rule, it is critically important that it maintain focus on the rule’s purpose:</w:t>
      </w:r>
      <w:r w:rsidR="00B0163A" w:rsidRPr="00C36738">
        <w:rPr>
          <w:rFonts w:ascii="Times New Roman" w:hAnsi="Times New Roman" w:cs="Times New Roman"/>
        </w:rPr>
        <w:t xml:space="preserve"> </w:t>
      </w:r>
      <w:r w:rsidR="007B26E3">
        <w:rPr>
          <w:rFonts w:ascii="Times New Roman" w:hAnsi="Times New Roman" w:cs="Times New Roman"/>
        </w:rPr>
        <w:t xml:space="preserve">supporting quality emergency preparedness plans that work across a diverse range of entities and </w:t>
      </w:r>
      <w:r w:rsidR="00AC74D4">
        <w:rPr>
          <w:rFonts w:ascii="Times New Roman" w:hAnsi="Times New Roman" w:cs="Times New Roman"/>
        </w:rPr>
        <w:t>without creating</w:t>
      </w:r>
      <w:r w:rsidR="007B26E3">
        <w:rPr>
          <w:rFonts w:ascii="Times New Roman" w:hAnsi="Times New Roman" w:cs="Times New Roman"/>
        </w:rPr>
        <w:t xml:space="preserve"> undue regulatory burdens</w:t>
      </w:r>
      <w:r w:rsidR="00B844B7" w:rsidRPr="00C36738">
        <w:rPr>
          <w:rFonts w:ascii="Times New Roman" w:hAnsi="Times New Roman" w:cs="Times New Roman"/>
        </w:rPr>
        <w:t>.</w:t>
      </w:r>
      <w:r w:rsidR="00B0163A" w:rsidRPr="00C36738">
        <w:rPr>
          <w:rFonts w:ascii="Times New Roman" w:hAnsi="Times New Roman" w:cs="Times New Roman"/>
        </w:rPr>
        <w:t xml:space="preserve"> </w:t>
      </w:r>
      <w:r w:rsidRPr="00C36738">
        <w:rPr>
          <w:rFonts w:ascii="Times New Roman" w:hAnsi="Times New Roman" w:cs="Times New Roman"/>
        </w:rPr>
        <w:t xml:space="preserve"> We look forward to working with Commission Staff and all other stakeholders to finalize a version of the rule that will achieve th</w:t>
      </w:r>
      <w:r w:rsidR="007B26E3">
        <w:rPr>
          <w:rFonts w:ascii="Times New Roman" w:hAnsi="Times New Roman" w:cs="Times New Roman"/>
        </w:rPr>
        <w:t>is</w:t>
      </w:r>
      <w:r w:rsidRPr="00C36738">
        <w:rPr>
          <w:rFonts w:ascii="Times New Roman" w:hAnsi="Times New Roman" w:cs="Times New Roman"/>
        </w:rPr>
        <w:t xml:space="preserve"> goal.</w:t>
      </w:r>
    </w:p>
    <w:p w14:paraId="2810A1FE" w14:textId="6E9DC749" w:rsidR="00F30BE0" w:rsidRDefault="00F30BE0" w:rsidP="00E51397">
      <w:pPr>
        <w:spacing w:line="480" w:lineRule="auto"/>
        <w:jc w:val="both"/>
        <w:rPr>
          <w:rFonts w:ascii="Times New Roman" w:hAnsi="Times New Roman" w:cs="Times New Roman"/>
        </w:rPr>
      </w:pPr>
    </w:p>
    <w:p w14:paraId="35F33342" w14:textId="4AC132CB" w:rsidR="000E3D45" w:rsidRDefault="000E3D45" w:rsidP="00E51397">
      <w:pPr>
        <w:spacing w:line="480" w:lineRule="auto"/>
        <w:jc w:val="both"/>
        <w:rPr>
          <w:rFonts w:ascii="Times New Roman" w:hAnsi="Times New Roman" w:cs="Times New Roman"/>
        </w:rPr>
      </w:pPr>
    </w:p>
    <w:p w14:paraId="28E325AC" w14:textId="7944DDB5" w:rsidR="00F30BE0" w:rsidRPr="00C36738" w:rsidRDefault="00F30BE0" w:rsidP="00E51397">
      <w:pPr>
        <w:spacing w:line="480" w:lineRule="auto"/>
        <w:jc w:val="both"/>
        <w:rPr>
          <w:rFonts w:ascii="Times New Roman" w:hAnsi="Times New Roman" w:cs="Times New Roman"/>
        </w:rPr>
      </w:pPr>
      <w:r w:rsidRPr="00C36738">
        <w:rPr>
          <w:rFonts w:ascii="Times New Roman" w:hAnsi="Times New Roman" w:cs="Times New Roman"/>
        </w:rPr>
        <w:lastRenderedPageBreak/>
        <w:t>Dated:</w:t>
      </w:r>
      <w:r w:rsidR="00B0163A" w:rsidRPr="00C36738">
        <w:rPr>
          <w:rFonts w:ascii="Times New Roman" w:hAnsi="Times New Roman" w:cs="Times New Roman"/>
        </w:rPr>
        <w:t xml:space="preserve"> </w:t>
      </w:r>
      <w:r w:rsidR="00FC4EA0">
        <w:rPr>
          <w:rFonts w:ascii="Times New Roman" w:hAnsi="Times New Roman" w:cs="Times New Roman"/>
        </w:rPr>
        <w:t>January</w:t>
      </w:r>
      <w:r w:rsidRPr="00C36738">
        <w:rPr>
          <w:rFonts w:ascii="Times New Roman" w:hAnsi="Times New Roman" w:cs="Times New Roman"/>
        </w:rPr>
        <w:t xml:space="preserve"> </w:t>
      </w:r>
      <w:r w:rsidR="00FC4EA0">
        <w:rPr>
          <w:rFonts w:ascii="Times New Roman" w:hAnsi="Times New Roman" w:cs="Times New Roman"/>
        </w:rPr>
        <w:t>4</w:t>
      </w:r>
      <w:r w:rsidRPr="00C36738">
        <w:rPr>
          <w:rFonts w:ascii="Times New Roman" w:hAnsi="Times New Roman" w:cs="Times New Roman"/>
        </w:rPr>
        <w:t>, 202</w:t>
      </w:r>
      <w:r w:rsidR="00FC4EA0">
        <w:rPr>
          <w:rFonts w:ascii="Times New Roman" w:hAnsi="Times New Roman" w:cs="Times New Roman"/>
        </w:rPr>
        <w:t>2</w:t>
      </w:r>
    </w:p>
    <w:p w14:paraId="3D4D0B14" w14:textId="4FAED6FB" w:rsidR="00F30BE0" w:rsidRPr="00C36738" w:rsidRDefault="00F30BE0" w:rsidP="00E51397">
      <w:pPr>
        <w:spacing w:line="480" w:lineRule="auto"/>
        <w:jc w:val="both"/>
        <w:rPr>
          <w:rFonts w:ascii="Times New Roman" w:hAnsi="Times New Roman" w:cs="Times New Roman"/>
        </w:rPr>
      </w:pPr>
    </w:p>
    <w:p w14:paraId="017A376D" w14:textId="3DC317EC" w:rsidR="00F30BE0" w:rsidRPr="00C36738" w:rsidRDefault="00F30BE0" w:rsidP="00E51397">
      <w:pPr>
        <w:spacing w:line="480" w:lineRule="auto"/>
        <w:jc w:val="both"/>
        <w:rPr>
          <w:rFonts w:ascii="Times New Roman" w:hAnsi="Times New Roman" w:cs="Times New Roman"/>
        </w:rPr>
      </w:pP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t>Respectfully submitted,</w:t>
      </w:r>
    </w:p>
    <w:p w14:paraId="00798E28" w14:textId="524F4AB4" w:rsidR="00F30BE0" w:rsidRPr="00C36738" w:rsidRDefault="00F30BE0" w:rsidP="00E51397">
      <w:pPr>
        <w:spacing w:line="480" w:lineRule="auto"/>
        <w:jc w:val="both"/>
        <w:rPr>
          <w:rFonts w:ascii="Times New Roman" w:hAnsi="Times New Roman" w:cs="Times New Roman"/>
        </w:rPr>
      </w:pPr>
    </w:p>
    <w:p w14:paraId="7A323786" w14:textId="55901607" w:rsidR="0093796B" w:rsidRPr="0048370E" w:rsidRDefault="0093796B" w:rsidP="0093796B">
      <w:pPr>
        <w:tabs>
          <w:tab w:val="left" w:pos="4320"/>
        </w:tabs>
        <w:ind w:right="-540"/>
        <w:rPr>
          <w:rFonts w:eastAsia="Times New Roman"/>
        </w:rPr>
      </w:pPr>
      <w:r>
        <w:rPr>
          <w:rFonts w:eastAsia="Times New Roman"/>
        </w:rPr>
        <w:tab/>
      </w:r>
      <w:r>
        <w:rPr>
          <w:rFonts w:eastAsia="Times New Roman"/>
          <w:noProof/>
          <w:lang w:eastAsia="en-US"/>
        </w:rPr>
        <w:drawing>
          <wp:inline distT="0" distB="0" distL="0" distR="0" wp14:anchorId="2225DE69" wp14:editId="21D223C9">
            <wp:extent cx="1925320" cy="50546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1943645" cy="510271"/>
                    </a:xfrm>
                    <a:prstGeom prst="rect">
                      <a:avLst/>
                    </a:prstGeom>
                  </pic:spPr>
                </pic:pic>
              </a:graphicData>
            </a:graphic>
          </wp:inline>
        </w:drawing>
      </w:r>
    </w:p>
    <w:p w14:paraId="73891067" w14:textId="13A9EF40" w:rsidR="0093796B" w:rsidRDefault="0093796B" w:rsidP="0093796B">
      <w:pPr>
        <w:outlineLvl w:val="0"/>
        <w:rPr>
          <w:rFonts w:eastAsia="Times New Roman"/>
        </w:rPr>
      </w:pP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Pr>
          <w:rFonts w:eastAsia="Times New Roman"/>
        </w:rPr>
        <w:tab/>
        <w:t>Michele Richmond</w:t>
      </w:r>
    </w:p>
    <w:p w14:paraId="6C474204" w14:textId="794C2285" w:rsidR="0093796B"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Executive Director</w:t>
      </w:r>
    </w:p>
    <w:p w14:paraId="04BC8460" w14:textId="78D531F6" w:rsidR="0093796B"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Texas Competitive Power Advocates (TCPA)</w:t>
      </w:r>
    </w:p>
    <w:p w14:paraId="4F2F0029" w14:textId="25EAAF11" w:rsidR="0093796B"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(512) 653-7447</w:t>
      </w:r>
    </w:p>
    <w:p w14:paraId="592601F4" w14:textId="7F6A56AE" w:rsidR="0093796B" w:rsidRDefault="0093796B" w:rsidP="0093796B">
      <w:pPr>
        <w:spacing w:line="360" w:lineRule="auto"/>
        <w:rPr>
          <w:rStyle w:val="Hyperlink"/>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hyperlink r:id="rId9" w:history="1">
        <w:r w:rsidRPr="005F619F">
          <w:rPr>
            <w:rStyle w:val="Hyperlink"/>
            <w:rFonts w:eastAsia="Times New Roman"/>
          </w:rPr>
          <w:t>michele@competitivepower.org</w:t>
        </w:r>
      </w:hyperlink>
    </w:p>
    <w:p w14:paraId="2E34D917" w14:textId="7279A327" w:rsidR="00F30BE0" w:rsidRPr="00C36738" w:rsidRDefault="00F30BE0" w:rsidP="00E51397">
      <w:pPr>
        <w:spacing w:line="480" w:lineRule="auto"/>
        <w:jc w:val="both"/>
        <w:rPr>
          <w:rFonts w:ascii="Times New Roman" w:hAnsi="Times New Roman" w:cs="Times New Roman"/>
        </w:rPr>
      </w:pP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p>
    <w:p w14:paraId="3948D103" w14:textId="77777777" w:rsidR="00EB6EE5" w:rsidRPr="00C36738" w:rsidRDefault="00EB6EE5" w:rsidP="00E51397">
      <w:pPr>
        <w:spacing w:line="480" w:lineRule="auto"/>
        <w:jc w:val="both"/>
        <w:rPr>
          <w:rFonts w:ascii="Times New Roman" w:hAnsi="Times New Roman" w:cs="Times New Roman"/>
        </w:rPr>
      </w:pPr>
    </w:p>
    <w:p w14:paraId="5F7623B6" w14:textId="59B097A7" w:rsidR="0088086C" w:rsidRDefault="0088086C">
      <w:pPr>
        <w:rPr>
          <w:rFonts w:ascii="Times New Roman" w:hAnsi="Times New Roman" w:cs="Times New Roman"/>
        </w:rPr>
      </w:pPr>
      <w:r>
        <w:rPr>
          <w:rFonts w:ascii="Times New Roman" w:hAnsi="Times New Roman" w:cs="Times New Roman"/>
        </w:rPr>
        <w:br w:type="page"/>
      </w:r>
    </w:p>
    <w:p w14:paraId="3678CE65" w14:textId="77777777" w:rsidR="0088086C" w:rsidRPr="00C36738" w:rsidRDefault="0088086C" w:rsidP="0088086C">
      <w:pPr>
        <w:jc w:val="center"/>
        <w:rPr>
          <w:rFonts w:ascii="Times New Roman" w:hAnsi="Times New Roman" w:cs="Times New Roman"/>
        </w:rPr>
      </w:pPr>
      <w:r w:rsidRPr="00C36738">
        <w:rPr>
          <w:rFonts w:ascii="Times New Roman" w:hAnsi="Times New Roman" w:cs="Times New Roman"/>
          <w:b/>
          <w:bCs/>
        </w:rPr>
        <w:lastRenderedPageBreak/>
        <w:t>PROJECT NO. 5184</w:t>
      </w:r>
      <w:r>
        <w:rPr>
          <w:rFonts w:ascii="Times New Roman" w:hAnsi="Times New Roman" w:cs="Times New Roman"/>
          <w:b/>
          <w:bCs/>
        </w:rPr>
        <w:t>1</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720"/>
        <w:gridCol w:w="4950"/>
      </w:tblGrid>
      <w:tr w:rsidR="0088086C" w:rsidRPr="00C36738" w14:paraId="70706D04" w14:textId="77777777" w:rsidTr="00D521E0">
        <w:trPr>
          <w:trHeight w:val="1341"/>
        </w:trPr>
        <w:tc>
          <w:tcPr>
            <w:tcW w:w="4230" w:type="dxa"/>
            <w:vAlign w:val="center"/>
          </w:tcPr>
          <w:p w14:paraId="5392C471" w14:textId="77777777" w:rsidR="0088086C" w:rsidRPr="00C36738" w:rsidRDefault="0088086C" w:rsidP="00D521E0">
            <w:pPr>
              <w:rPr>
                <w:rFonts w:ascii="Times New Roman" w:hAnsi="Times New Roman" w:cs="Times New Roman"/>
                <w:b/>
                <w:bCs/>
              </w:rPr>
            </w:pPr>
            <w:r w:rsidRPr="00D30ED9">
              <w:rPr>
                <w:rFonts w:ascii="Times New Roman" w:hAnsi="Times New Roman" w:cs="Times New Roman"/>
                <w:b/>
                <w:bCs/>
              </w:rPr>
              <w:t>REVIEW OF 16 TAC § 25.53 RELATING TO ELECTRIC SERVICE EMERGENCY OPERATIONS PLANS</w:t>
            </w:r>
          </w:p>
        </w:tc>
        <w:tc>
          <w:tcPr>
            <w:tcW w:w="720" w:type="dxa"/>
            <w:vAlign w:val="center"/>
          </w:tcPr>
          <w:p w14:paraId="40871564"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w:t>
            </w:r>
          </w:p>
          <w:p w14:paraId="194C7E37"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w:t>
            </w:r>
          </w:p>
          <w:p w14:paraId="2692B223"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w:t>
            </w:r>
          </w:p>
        </w:tc>
        <w:tc>
          <w:tcPr>
            <w:tcW w:w="4950" w:type="dxa"/>
            <w:vAlign w:val="center"/>
          </w:tcPr>
          <w:p w14:paraId="64C8BE5B"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BEFORE THE</w:t>
            </w:r>
          </w:p>
          <w:p w14:paraId="043B9A81"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PUBLIC UTILITY COMMISSION</w:t>
            </w:r>
          </w:p>
          <w:p w14:paraId="7DA2FA7C"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OF TEXAS</w:t>
            </w:r>
          </w:p>
        </w:tc>
      </w:tr>
    </w:tbl>
    <w:p w14:paraId="241329F7" w14:textId="77777777" w:rsidR="0088086C" w:rsidRPr="00C36738" w:rsidRDefault="0088086C" w:rsidP="0088086C">
      <w:pPr>
        <w:ind w:hanging="450"/>
        <w:rPr>
          <w:rFonts w:ascii="Times New Roman" w:hAnsi="Times New Roman" w:cs="Times New Roman"/>
        </w:rPr>
      </w:pPr>
      <w:r w:rsidRPr="00C36738">
        <w:rPr>
          <w:rFonts w:ascii="Times New Roman" w:hAnsi="Times New Roman" w:cs="Times New Roman"/>
          <w:b/>
          <w:bCs/>
        </w:rPr>
        <w:tab/>
      </w:r>
    </w:p>
    <w:p w14:paraId="0E3DB7C8" w14:textId="77777777" w:rsidR="0088086C" w:rsidRPr="00C36738" w:rsidRDefault="0088086C" w:rsidP="0088086C">
      <w:pPr>
        <w:rPr>
          <w:rFonts w:ascii="Times New Roman" w:hAnsi="Times New Roman" w:cs="Times New Roman"/>
          <w:u w:val="single"/>
        </w:rPr>
      </w:pPr>
    </w:p>
    <w:p w14:paraId="70C03F55" w14:textId="584D7D94" w:rsidR="0088086C" w:rsidRPr="00C36738" w:rsidRDefault="0088086C" w:rsidP="0088086C">
      <w:pPr>
        <w:jc w:val="center"/>
        <w:rPr>
          <w:rFonts w:ascii="Times New Roman" w:hAnsi="Times New Roman" w:cs="Times New Roman"/>
          <w:b/>
          <w:bCs/>
          <w:u w:val="single"/>
        </w:rPr>
      </w:pPr>
      <w:r>
        <w:rPr>
          <w:rFonts w:ascii="Times New Roman" w:hAnsi="Times New Roman" w:cs="Times New Roman"/>
          <w:b/>
          <w:bCs/>
          <w:u w:val="single"/>
        </w:rPr>
        <w:t>EXECUTIVE SUMMARY</w:t>
      </w:r>
      <w:r w:rsidRPr="00C36738">
        <w:rPr>
          <w:rFonts w:ascii="Times New Roman" w:hAnsi="Times New Roman" w:cs="Times New Roman"/>
          <w:b/>
          <w:bCs/>
          <w:u w:val="single"/>
        </w:rPr>
        <w:t xml:space="preserve"> OF </w:t>
      </w:r>
      <w:r w:rsidR="006141FF">
        <w:rPr>
          <w:rFonts w:ascii="Times New Roman" w:hAnsi="Times New Roman" w:cs="Times New Roman"/>
          <w:b/>
          <w:bCs/>
          <w:u w:val="single"/>
        </w:rPr>
        <w:t>TCPA</w:t>
      </w:r>
      <w:r>
        <w:rPr>
          <w:rFonts w:ascii="Times New Roman" w:hAnsi="Times New Roman" w:cs="Times New Roman"/>
          <w:b/>
          <w:bCs/>
          <w:u w:val="single"/>
        </w:rPr>
        <w:t xml:space="preserve"> COMMENTS</w:t>
      </w:r>
    </w:p>
    <w:p w14:paraId="66B6D9C7" w14:textId="76A62D9F" w:rsidR="00BD70E8" w:rsidRDefault="00BD70E8" w:rsidP="00E51397">
      <w:pPr>
        <w:spacing w:line="480" w:lineRule="auto"/>
        <w:jc w:val="both"/>
        <w:rPr>
          <w:rFonts w:ascii="Times New Roman" w:hAnsi="Times New Roman" w:cs="Times New Roman"/>
        </w:rPr>
      </w:pPr>
    </w:p>
    <w:p w14:paraId="1FE1AC44" w14:textId="77777777" w:rsidR="000E3D45" w:rsidRPr="003F23C6" w:rsidRDefault="001875EC" w:rsidP="009F03A5">
      <w:pPr>
        <w:pStyle w:val="ListParagraph"/>
        <w:numPr>
          <w:ilvl w:val="0"/>
          <w:numId w:val="26"/>
        </w:numPr>
        <w:jc w:val="both"/>
        <w:rPr>
          <w:rFonts w:ascii="Times New Roman" w:eastAsia="Calibri" w:hAnsi="Times New Roman" w:cs="Times New Roman"/>
        </w:rPr>
      </w:pPr>
      <w:r w:rsidRPr="003F23C6">
        <w:rPr>
          <w:rFonts w:ascii="Times New Roman" w:eastAsia="Times New Roman" w:hAnsi="Times New Roman" w:cs="Times New Roman"/>
          <w:szCs w:val="20"/>
        </w:rPr>
        <w:t>In general, the rule should</w:t>
      </w:r>
      <w:r w:rsidR="000E3D45">
        <w:rPr>
          <w:rFonts w:ascii="Times New Roman" w:eastAsia="Times New Roman" w:hAnsi="Times New Roman" w:cs="Times New Roman"/>
          <w:szCs w:val="20"/>
        </w:rPr>
        <w:t>:</w:t>
      </w:r>
      <w:r w:rsidRPr="003F23C6">
        <w:rPr>
          <w:rFonts w:ascii="Times New Roman" w:eastAsia="Times New Roman" w:hAnsi="Times New Roman" w:cs="Times New Roman"/>
          <w:szCs w:val="20"/>
        </w:rPr>
        <w:t xml:space="preserve"> </w:t>
      </w:r>
    </w:p>
    <w:p w14:paraId="60311523" w14:textId="0B5709D3" w:rsidR="0088086C" w:rsidRPr="003F23C6" w:rsidRDefault="000E3D45" w:rsidP="003F23C6">
      <w:pPr>
        <w:pStyle w:val="ListParagraph"/>
        <w:numPr>
          <w:ilvl w:val="1"/>
          <w:numId w:val="26"/>
        </w:numPr>
        <w:jc w:val="both"/>
        <w:rPr>
          <w:rFonts w:ascii="Times New Roman" w:eastAsia="Calibri" w:hAnsi="Times New Roman" w:cs="Times New Roman"/>
        </w:rPr>
      </w:pPr>
      <w:r>
        <w:rPr>
          <w:rFonts w:ascii="Times New Roman" w:eastAsia="Times New Roman" w:hAnsi="Times New Roman" w:cs="Times New Roman"/>
          <w:szCs w:val="20"/>
        </w:rPr>
        <w:t>S</w:t>
      </w:r>
      <w:r w:rsidR="001875EC" w:rsidRPr="003F23C6">
        <w:rPr>
          <w:rFonts w:ascii="Times New Roman" w:eastAsia="Times New Roman" w:hAnsi="Times New Roman" w:cs="Times New Roman"/>
          <w:szCs w:val="20"/>
        </w:rPr>
        <w:t>trike a balance that improves access for the Commission to information that has a practical value in supporting continuity of adequate electric service during an emergency while not burdening entities, ERCOT or Commission Staff with over-specified compliance and oversight obligations</w:t>
      </w:r>
      <w:r w:rsidR="001555F5">
        <w:rPr>
          <w:rFonts w:ascii="Times New Roman" w:eastAsia="Times New Roman" w:hAnsi="Times New Roman" w:cs="Times New Roman"/>
          <w:szCs w:val="20"/>
        </w:rPr>
        <w:t>;</w:t>
      </w:r>
    </w:p>
    <w:p w14:paraId="464548AE" w14:textId="68AEBB6B" w:rsidR="000E3D45" w:rsidRPr="003F23C6" w:rsidRDefault="001555F5" w:rsidP="001555F5">
      <w:pPr>
        <w:pStyle w:val="ListParagraph"/>
        <w:numPr>
          <w:ilvl w:val="1"/>
          <w:numId w:val="26"/>
        </w:numPr>
        <w:jc w:val="both"/>
        <w:rPr>
          <w:rFonts w:ascii="Times New Roman" w:eastAsia="Calibri" w:hAnsi="Times New Roman" w:cs="Times New Roman"/>
        </w:rPr>
      </w:pPr>
      <w:r>
        <w:rPr>
          <w:rFonts w:ascii="Times New Roman" w:eastAsia="Times New Roman" w:hAnsi="Times New Roman" w:cs="Times New Roman"/>
          <w:szCs w:val="20"/>
        </w:rPr>
        <w:t>R</w:t>
      </w:r>
      <w:r w:rsidR="000E3D45">
        <w:rPr>
          <w:rFonts w:ascii="Times New Roman" w:eastAsia="Times New Roman" w:hAnsi="Times New Roman" w:cs="Times New Roman"/>
          <w:szCs w:val="20"/>
        </w:rPr>
        <w:t xml:space="preserve">eflect that an EOP is not </w:t>
      </w:r>
      <w:r w:rsidR="000E3D45" w:rsidRPr="000E3D45">
        <w:rPr>
          <w:rFonts w:ascii="Times New Roman" w:eastAsia="Times New Roman" w:hAnsi="Times New Roman" w:cs="Times New Roman"/>
          <w:szCs w:val="20"/>
        </w:rPr>
        <w:t>necessarily a singular document distributed widely across an organization, but rather a compendium of procedures that are implemented by various teams across an organization in response to emergency conditions</w:t>
      </w:r>
      <w:r>
        <w:rPr>
          <w:rFonts w:ascii="Times New Roman" w:eastAsia="Times New Roman" w:hAnsi="Times New Roman" w:cs="Times New Roman"/>
          <w:szCs w:val="20"/>
        </w:rPr>
        <w:t>; and</w:t>
      </w:r>
    </w:p>
    <w:p w14:paraId="417E4BDE" w14:textId="274ED609" w:rsidR="001555F5" w:rsidRPr="003F23C6" w:rsidRDefault="001555F5" w:rsidP="003F23C6">
      <w:pPr>
        <w:pStyle w:val="ListParagraph"/>
        <w:numPr>
          <w:ilvl w:val="1"/>
          <w:numId w:val="26"/>
        </w:numPr>
        <w:jc w:val="both"/>
        <w:rPr>
          <w:rFonts w:ascii="Times New Roman" w:eastAsia="Calibri" w:hAnsi="Times New Roman" w:cs="Times New Roman"/>
        </w:rPr>
      </w:pPr>
      <w:r>
        <w:rPr>
          <w:rFonts w:ascii="Times New Roman" w:eastAsia="Calibri" w:hAnsi="Times New Roman" w:cs="Times New Roman"/>
        </w:rPr>
        <w:t xml:space="preserve">Protect EOPs, to the extent feasible, from public disclosure of sensitive information that might create risks to the entities, ERCOT, Commission, or the grid. </w:t>
      </w:r>
    </w:p>
    <w:p w14:paraId="009E6366" w14:textId="77777777" w:rsidR="008F15ED" w:rsidRDefault="008F15ED" w:rsidP="009F03A5">
      <w:pPr>
        <w:pStyle w:val="ListParagraph"/>
        <w:numPr>
          <w:ilvl w:val="0"/>
          <w:numId w:val="26"/>
        </w:numPr>
        <w:spacing w:after="240"/>
        <w:jc w:val="both"/>
        <w:rPr>
          <w:rFonts w:ascii="Times New Roman" w:hAnsi="Times New Roman" w:cs="Times New Roman"/>
        </w:rPr>
      </w:pPr>
      <w:r>
        <w:rPr>
          <w:rFonts w:ascii="Times New Roman" w:hAnsi="Times New Roman" w:cs="Times New Roman"/>
        </w:rPr>
        <w:t>Definition recommendations:</w:t>
      </w:r>
    </w:p>
    <w:p w14:paraId="736B2937" w14:textId="5EBDE5AF" w:rsidR="001875EC" w:rsidRPr="000E3D45" w:rsidRDefault="001875EC" w:rsidP="003F23C6">
      <w:pPr>
        <w:pStyle w:val="ListParagraph"/>
        <w:numPr>
          <w:ilvl w:val="1"/>
          <w:numId w:val="26"/>
        </w:numPr>
        <w:spacing w:after="240"/>
        <w:jc w:val="both"/>
        <w:rPr>
          <w:rFonts w:ascii="Times New Roman" w:hAnsi="Times New Roman" w:cs="Times New Roman"/>
        </w:rPr>
      </w:pPr>
      <w:r w:rsidRPr="000E3D45">
        <w:rPr>
          <w:rFonts w:ascii="Times New Roman" w:hAnsi="Times New Roman" w:cs="Times New Roman"/>
        </w:rPr>
        <w:t>Definition of “entity” should be included in subsection (b) and be broad enough to minimize duplication of efforts</w:t>
      </w:r>
      <w:r w:rsidR="008F15ED">
        <w:rPr>
          <w:rFonts w:ascii="Times New Roman" w:hAnsi="Times New Roman" w:cs="Times New Roman"/>
        </w:rPr>
        <w:t>.</w:t>
      </w:r>
      <w:r w:rsidRPr="000E3D45">
        <w:rPr>
          <w:rFonts w:ascii="Times New Roman" w:hAnsi="Times New Roman" w:cs="Times New Roman"/>
        </w:rPr>
        <w:t xml:space="preserve"> </w:t>
      </w:r>
    </w:p>
    <w:p w14:paraId="0A0F6C18" w14:textId="16CD5387" w:rsidR="001875EC" w:rsidRPr="000E3D45" w:rsidRDefault="001555F5" w:rsidP="003F23C6">
      <w:pPr>
        <w:pStyle w:val="ListParagraph"/>
        <w:numPr>
          <w:ilvl w:val="1"/>
          <w:numId w:val="26"/>
        </w:numPr>
        <w:spacing w:after="240"/>
        <w:jc w:val="both"/>
        <w:rPr>
          <w:rFonts w:ascii="Times New Roman" w:hAnsi="Times New Roman" w:cs="Times New Roman"/>
        </w:rPr>
      </w:pPr>
      <w:r>
        <w:rPr>
          <w:rFonts w:ascii="Times New Roman" w:hAnsi="Times New Roman" w:cs="Times New Roman"/>
        </w:rPr>
        <w:t>D</w:t>
      </w:r>
      <w:r w:rsidR="001875EC" w:rsidRPr="000E3D45">
        <w:rPr>
          <w:rFonts w:ascii="Times New Roman" w:hAnsi="Times New Roman" w:cs="Times New Roman"/>
        </w:rPr>
        <w:t>efinition</w:t>
      </w:r>
      <w:r>
        <w:rPr>
          <w:rFonts w:ascii="Times New Roman" w:hAnsi="Times New Roman" w:cs="Times New Roman"/>
        </w:rPr>
        <w:t>s</w:t>
      </w:r>
      <w:r w:rsidR="001875EC" w:rsidRPr="000E3D45">
        <w:rPr>
          <w:rFonts w:ascii="Times New Roman" w:hAnsi="Times New Roman" w:cs="Times New Roman"/>
        </w:rPr>
        <w:t xml:space="preserve"> of “Emergency” and “emergency operations plan”</w:t>
      </w:r>
      <w:r>
        <w:rPr>
          <w:rFonts w:ascii="Times New Roman" w:hAnsi="Times New Roman" w:cs="Times New Roman"/>
        </w:rPr>
        <w:t xml:space="preserve"> should be clarified to appropriately reflect “reasonably foreseeable” risks, include reference to disaster declarations, that not every emergency or disaster declaration is an “emergency” under the rule, and that an EOP consisting of compiled and organized procedures that meet the requirements of the rule may be deemed compliant. </w:t>
      </w:r>
    </w:p>
    <w:p w14:paraId="5E99A41D" w14:textId="555789CD" w:rsidR="001875EC" w:rsidRPr="000E3D45" w:rsidRDefault="001875EC" w:rsidP="003F23C6">
      <w:pPr>
        <w:pStyle w:val="ListParagraph"/>
        <w:numPr>
          <w:ilvl w:val="1"/>
          <w:numId w:val="26"/>
        </w:numPr>
        <w:jc w:val="both"/>
        <w:rPr>
          <w:rFonts w:ascii="Times New Roman" w:hAnsi="Times New Roman" w:cs="Times New Roman"/>
        </w:rPr>
      </w:pPr>
      <w:r w:rsidRPr="000E3D45">
        <w:rPr>
          <w:rFonts w:ascii="Times New Roman" w:hAnsi="Times New Roman" w:cs="Times New Roman"/>
        </w:rPr>
        <w:t>Definitions of “Hazard” and “Threat” should either be stricken or revised to conform with the definition of “emergency</w:t>
      </w:r>
      <w:r w:rsidR="008F15ED">
        <w:rPr>
          <w:rFonts w:ascii="Times New Roman" w:hAnsi="Times New Roman" w:cs="Times New Roman"/>
        </w:rPr>
        <w:t>.</w:t>
      </w:r>
      <w:r w:rsidRPr="000E3D45">
        <w:rPr>
          <w:rFonts w:ascii="Times New Roman" w:hAnsi="Times New Roman" w:cs="Times New Roman"/>
        </w:rPr>
        <w:t>”</w:t>
      </w:r>
    </w:p>
    <w:p w14:paraId="6F79EDAD" w14:textId="7A1D6308" w:rsidR="001875EC" w:rsidRPr="000E3D45" w:rsidRDefault="001875EC" w:rsidP="009F03A5">
      <w:pPr>
        <w:pStyle w:val="ListParagraph"/>
        <w:numPr>
          <w:ilvl w:val="0"/>
          <w:numId w:val="26"/>
        </w:numPr>
        <w:spacing w:after="240"/>
        <w:jc w:val="both"/>
        <w:rPr>
          <w:rFonts w:ascii="Times New Roman" w:hAnsi="Times New Roman" w:cs="Times New Roman"/>
        </w:rPr>
      </w:pPr>
      <w:r w:rsidRPr="000E3D45">
        <w:rPr>
          <w:rFonts w:ascii="Times New Roman" w:hAnsi="Times New Roman" w:cs="Times New Roman"/>
        </w:rPr>
        <w:t>Filing requirements recommendations</w:t>
      </w:r>
      <w:r w:rsidR="008F15ED">
        <w:rPr>
          <w:rFonts w:ascii="Times New Roman" w:hAnsi="Times New Roman" w:cs="Times New Roman"/>
        </w:rPr>
        <w:t>:</w:t>
      </w:r>
    </w:p>
    <w:p w14:paraId="0082F726" w14:textId="446DF9BF" w:rsidR="001875EC" w:rsidRPr="003F23C6" w:rsidRDefault="005B31B4" w:rsidP="003F23C6">
      <w:pPr>
        <w:pStyle w:val="ListParagraph"/>
        <w:numPr>
          <w:ilvl w:val="1"/>
          <w:numId w:val="26"/>
        </w:numPr>
        <w:jc w:val="both"/>
        <w:rPr>
          <w:rFonts w:ascii="Times New Roman" w:eastAsia="Calibri" w:hAnsi="Times New Roman" w:cs="Times New Roman"/>
        </w:rPr>
      </w:pPr>
      <w:r w:rsidRPr="003F23C6">
        <w:rPr>
          <w:rFonts w:ascii="Times New Roman" w:eastAsia="Calibri" w:hAnsi="Times New Roman" w:cs="Times New Roman"/>
        </w:rPr>
        <w:t>Any updated annual filing deadlines should fall on June 1, and any initial update filing deadline should fall on June 1 or 120 days from adoption of the final rule in this proceeding, whichever is later</w:t>
      </w:r>
      <w:r w:rsidR="008F15ED">
        <w:rPr>
          <w:rFonts w:ascii="Times New Roman" w:eastAsia="Calibri" w:hAnsi="Times New Roman" w:cs="Times New Roman"/>
        </w:rPr>
        <w:t>.</w:t>
      </w:r>
    </w:p>
    <w:p w14:paraId="79C80B72" w14:textId="77777777" w:rsidR="005B31B4" w:rsidRPr="000E3D45" w:rsidRDefault="005B31B4" w:rsidP="003F23C6">
      <w:pPr>
        <w:pStyle w:val="ListParagraph"/>
        <w:numPr>
          <w:ilvl w:val="1"/>
          <w:numId w:val="26"/>
        </w:numPr>
        <w:spacing w:after="240"/>
        <w:jc w:val="both"/>
        <w:rPr>
          <w:rFonts w:ascii="Times New Roman" w:hAnsi="Times New Roman" w:cs="Times New Roman"/>
        </w:rPr>
      </w:pPr>
      <w:r w:rsidRPr="000E3D45">
        <w:rPr>
          <w:rFonts w:ascii="Times New Roman" w:hAnsi="Times New Roman" w:cs="Times New Roman"/>
        </w:rPr>
        <w:t>The summary after-action report requirement should not be required to be on a per-incident basis, and the rule should not presume that changes to the EOP were warranted.</w:t>
      </w:r>
    </w:p>
    <w:p w14:paraId="45F3C163" w14:textId="595600BE" w:rsidR="005B31B4" w:rsidRPr="000E3D45" w:rsidRDefault="005B31B4" w:rsidP="003F23C6">
      <w:pPr>
        <w:pStyle w:val="ListParagraph"/>
        <w:numPr>
          <w:ilvl w:val="1"/>
          <w:numId w:val="26"/>
        </w:numPr>
        <w:spacing w:after="240"/>
        <w:jc w:val="both"/>
        <w:rPr>
          <w:rFonts w:ascii="Times New Roman" w:hAnsi="Times New Roman" w:cs="Times New Roman"/>
        </w:rPr>
      </w:pPr>
      <w:r w:rsidRPr="000E3D45">
        <w:rPr>
          <w:rFonts w:ascii="Times New Roman" w:hAnsi="Times New Roman" w:cs="Times New Roman"/>
        </w:rPr>
        <w:t>Required updates to EOPs should largely track statutory requirements requiring a Commission order</w:t>
      </w:r>
      <w:r w:rsidR="008F15ED">
        <w:rPr>
          <w:rFonts w:ascii="Times New Roman" w:hAnsi="Times New Roman" w:cs="Times New Roman"/>
        </w:rPr>
        <w:t>, while still encouraging entities and Staff to work together to manage the need for updating EOPs</w:t>
      </w:r>
      <w:r w:rsidRPr="000E3D45">
        <w:rPr>
          <w:rFonts w:ascii="Times New Roman" w:hAnsi="Times New Roman" w:cs="Times New Roman"/>
        </w:rPr>
        <w:t>.</w:t>
      </w:r>
    </w:p>
    <w:p w14:paraId="40AFD012" w14:textId="094025D7" w:rsidR="005B31B4" w:rsidRPr="003F23C6" w:rsidRDefault="005B31B4" w:rsidP="003F23C6">
      <w:pPr>
        <w:pStyle w:val="ListParagraph"/>
        <w:numPr>
          <w:ilvl w:val="1"/>
          <w:numId w:val="26"/>
        </w:numPr>
        <w:jc w:val="both"/>
        <w:rPr>
          <w:rFonts w:ascii="Times New Roman" w:eastAsia="Calibri" w:hAnsi="Times New Roman" w:cs="Times New Roman"/>
        </w:rPr>
      </w:pPr>
      <w:r w:rsidRPr="000E3D45">
        <w:rPr>
          <w:rFonts w:ascii="Times New Roman" w:hAnsi="Times New Roman" w:cs="Times New Roman"/>
        </w:rPr>
        <w:t>EOPs reflect commercially- and security-sensitive information that should be held confidential and protected from disclosure.</w:t>
      </w:r>
      <w:r w:rsidR="008F15ED">
        <w:rPr>
          <w:rFonts w:ascii="Times New Roman" w:hAnsi="Times New Roman" w:cs="Times New Roman"/>
        </w:rPr>
        <w:t xml:space="preserve"> Specifically, entities with operations in ERCOT should </w:t>
      </w:r>
      <w:r w:rsidR="001C14E7">
        <w:rPr>
          <w:rFonts w:ascii="Times New Roman" w:hAnsi="Times New Roman" w:cs="Times New Roman"/>
        </w:rPr>
        <w:t xml:space="preserve">only submit their unredacted EOPs to ERCOT and redacted copies with the Commission, and ERCOT should maintain Commission access to all </w:t>
      </w:r>
      <w:r w:rsidR="001C14E7">
        <w:rPr>
          <w:rFonts w:ascii="Times New Roman" w:hAnsi="Times New Roman" w:cs="Times New Roman"/>
        </w:rPr>
        <w:lastRenderedPageBreak/>
        <w:t>unredacted EOPs while treating them as Protected Information for purposes of 16 TAC § 25.362.</w:t>
      </w:r>
    </w:p>
    <w:p w14:paraId="4F87F977" w14:textId="71469FFC" w:rsidR="001C14E7" w:rsidRDefault="001C14E7" w:rsidP="003F23C6">
      <w:pPr>
        <w:pStyle w:val="ListParagraph"/>
        <w:numPr>
          <w:ilvl w:val="0"/>
          <w:numId w:val="26"/>
        </w:numPr>
        <w:spacing w:after="240"/>
        <w:jc w:val="both"/>
        <w:rPr>
          <w:rFonts w:ascii="Times New Roman" w:hAnsi="Times New Roman" w:cs="Times New Roman"/>
        </w:rPr>
      </w:pPr>
      <w:r>
        <w:rPr>
          <w:rFonts w:ascii="Times New Roman" w:hAnsi="Times New Roman" w:cs="Times New Roman"/>
        </w:rPr>
        <w:t>EOP content recommendations:</w:t>
      </w:r>
    </w:p>
    <w:p w14:paraId="4DAAED0D" w14:textId="1B1BFB2E" w:rsidR="005B31B4" w:rsidRPr="000E3D45" w:rsidRDefault="005B31B4" w:rsidP="003F23C6">
      <w:pPr>
        <w:pStyle w:val="ListParagraph"/>
        <w:numPr>
          <w:ilvl w:val="1"/>
          <w:numId w:val="26"/>
        </w:numPr>
        <w:spacing w:after="240"/>
        <w:jc w:val="both"/>
        <w:rPr>
          <w:rFonts w:ascii="Times New Roman" w:hAnsi="Times New Roman" w:cs="Times New Roman"/>
        </w:rPr>
      </w:pPr>
      <w:r w:rsidRPr="000E3D45">
        <w:rPr>
          <w:rFonts w:ascii="Times New Roman" w:hAnsi="Times New Roman" w:cs="Times New Roman"/>
        </w:rPr>
        <w:t>EOP scope should be limited to “reasonably foreseeable” emergencies</w:t>
      </w:r>
      <w:r w:rsidR="001C14E7">
        <w:rPr>
          <w:rFonts w:ascii="Times New Roman" w:hAnsi="Times New Roman" w:cs="Times New Roman"/>
        </w:rPr>
        <w:t>.</w:t>
      </w:r>
    </w:p>
    <w:p w14:paraId="59642FCA" w14:textId="753E2F1A" w:rsidR="005B31B4" w:rsidRPr="000E3D45" w:rsidRDefault="005B31B4" w:rsidP="003F23C6">
      <w:pPr>
        <w:pStyle w:val="ListParagraph"/>
        <w:numPr>
          <w:ilvl w:val="1"/>
          <w:numId w:val="26"/>
        </w:numPr>
        <w:spacing w:after="240"/>
        <w:jc w:val="both"/>
        <w:rPr>
          <w:rFonts w:ascii="Times New Roman" w:hAnsi="Times New Roman" w:cs="Times New Roman"/>
        </w:rPr>
      </w:pPr>
      <w:r w:rsidRPr="000E3D45">
        <w:rPr>
          <w:rFonts w:ascii="Times New Roman" w:hAnsi="Times New Roman" w:cs="Times New Roman"/>
        </w:rPr>
        <w:t>Specifying individuals in maintenance, implementation, and distribution records is inefficient; specifying groups, teams, or some other more sustainable reference will reduce unnecessary and unproductive use of resources.</w:t>
      </w:r>
    </w:p>
    <w:p w14:paraId="5F31BB1A" w14:textId="77777777" w:rsidR="005B31B4" w:rsidRPr="000E3D45" w:rsidRDefault="005B31B4" w:rsidP="003F23C6">
      <w:pPr>
        <w:pStyle w:val="ListParagraph"/>
        <w:numPr>
          <w:ilvl w:val="1"/>
          <w:numId w:val="26"/>
        </w:numPr>
        <w:spacing w:after="240"/>
        <w:jc w:val="both"/>
        <w:rPr>
          <w:rFonts w:ascii="Times New Roman" w:hAnsi="Times New Roman" w:cs="Times New Roman"/>
        </w:rPr>
      </w:pPr>
      <w:r w:rsidRPr="000E3D45">
        <w:rPr>
          <w:rFonts w:ascii="Times New Roman" w:hAnsi="Times New Roman" w:cs="Times New Roman"/>
        </w:rPr>
        <w:t>Revision control summary should either be stricken or only specify “material” changes.</w:t>
      </w:r>
    </w:p>
    <w:p w14:paraId="63DA23D8" w14:textId="3733881B" w:rsidR="005B31B4" w:rsidRPr="003F23C6" w:rsidRDefault="005B31B4" w:rsidP="003F23C6">
      <w:pPr>
        <w:pStyle w:val="ListParagraph"/>
        <w:numPr>
          <w:ilvl w:val="1"/>
          <w:numId w:val="26"/>
        </w:numPr>
        <w:jc w:val="both"/>
        <w:rPr>
          <w:rFonts w:ascii="Times New Roman" w:eastAsia="Calibri" w:hAnsi="Times New Roman" w:cs="Times New Roman"/>
        </w:rPr>
      </w:pPr>
      <w:r w:rsidRPr="000E3D45">
        <w:rPr>
          <w:rFonts w:ascii="Times New Roman" w:hAnsi="Times New Roman" w:cs="Times New Roman"/>
        </w:rPr>
        <w:t>Highest-ranking officer attestation requirement would create unnecessary bottlenecks and provide no incremental value over current rule requirements</w:t>
      </w:r>
      <w:r w:rsidR="001C14E7">
        <w:rPr>
          <w:rFonts w:ascii="Times New Roman" w:hAnsi="Times New Roman" w:cs="Times New Roman"/>
        </w:rPr>
        <w:t>, and should be omitted from the final rule.</w:t>
      </w:r>
    </w:p>
    <w:p w14:paraId="203D39F5" w14:textId="5BAAFA89" w:rsidR="00D91202" w:rsidRPr="003F23C6" w:rsidRDefault="00D91202" w:rsidP="001C14E7">
      <w:pPr>
        <w:pStyle w:val="ListParagraph"/>
        <w:numPr>
          <w:ilvl w:val="1"/>
          <w:numId w:val="26"/>
        </w:numPr>
        <w:jc w:val="both"/>
        <w:rPr>
          <w:rFonts w:ascii="Times New Roman" w:eastAsia="Calibri" w:hAnsi="Times New Roman" w:cs="Times New Roman"/>
        </w:rPr>
      </w:pPr>
      <w:bookmarkStart w:id="8" w:name="_Hlk92150890"/>
      <w:r w:rsidRPr="000E3D45">
        <w:rPr>
          <w:rFonts w:ascii="Times New Roman" w:hAnsi="Times New Roman" w:cs="Times New Roman"/>
        </w:rPr>
        <w:t>The rule should not imply a requirement for EOPs to be distributed to “local jurisdictions.”</w:t>
      </w:r>
      <w:bookmarkEnd w:id="8"/>
    </w:p>
    <w:p w14:paraId="495A3C4D" w14:textId="4ED8B912" w:rsidR="001C14E7" w:rsidRDefault="001C14E7" w:rsidP="001C14E7">
      <w:pPr>
        <w:pStyle w:val="ListParagraph"/>
        <w:numPr>
          <w:ilvl w:val="1"/>
          <w:numId w:val="26"/>
        </w:numPr>
        <w:jc w:val="both"/>
        <w:rPr>
          <w:rFonts w:ascii="Times New Roman" w:eastAsia="Calibri" w:hAnsi="Times New Roman" w:cs="Times New Roman"/>
        </w:rPr>
      </w:pPr>
      <w:r w:rsidRPr="003F23C6">
        <w:rPr>
          <w:rFonts w:ascii="Times New Roman" w:eastAsia="Calibri" w:hAnsi="Times New Roman" w:cs="Times New Roman"/>
        </w:rPr>
        <w:t>The National Incident Management System training requirement would create communication bottlenecks that might hinder rather than facilitate communications during an emergency.</w:t>
      </w:r>
      <w:r>
        <w:rPr>
          <w:rFonts w:ascii="Times New Roman" w:eastAsia="Calibri" w:hAnsi="Times New Roman" w:cs="Times New Roman"/>
        </w:rPr>
        <w:t xml:space="preserve"> Such specific training recommendations can be better addressed more flexibly outside of the rule, while the rule can still support the intended effect through slight modifications to subpart (d)(4)(A).</w:t>
      </w:r>
    </w:p>
    <w:p w14:paraId="6B40C56C" w14:textId="5B7B55DE" w:rsidR="001A4D72" w:rsidRPr="003F23C6" w:rsidRDefault="001A4D72" w:rsidP="003F23C6">
      <w:pPr>
        <w:pStyle w:val="ListParagraph"/>
        <w:numPr>
          <w:ilvl w:val="1"/>
          <w:numId w:val="26"/>
        </w:numPr>
        <w:jc w:val="both"/>
        <w:rPr>
          <w:rFonts w:ascii="Times New Roman" w:eastAsia="Calibri" w:hAnsi="Times New Roman" w:cs="Times New Roman"/>
        </w:rPr>
      </w:pPr>
      <w:r w:rsidRPr="003F23C6">
        <w:rPr>
          <w:rFonts w:ascii="Times New Roman" w:eastAsia="Calibri" w:hAnsi="Times New Roman" w:cs="Times New Roman"/>
        </w:rPr>
        <w:t>Communication requirements should be focused solely on issues related to continuity of electric service</w:t>
      </w:r>
      <w:r>
        <w:rPr>
          <w:rFonts w:ascii="Times New Roman" w:eastAsia="Calibri" w:hAnsi="Times New Roman" w:cs="Times New Roman"/>
        </w:rPr>
        <w:t>.</w:t>
      </w:r>
    </w:p>
    <w:p w14:paraId="4E124F62" w14:textId="346A2572" w:rsidR="001A4D72" w:rsidRPr="003F23C6" w:rsidRDefault="001A4D72" w:rsidP="001A4D72">
      <w:pPr>
        <w:pStyle w:val="ListParagraph"/>
        <w:numPr>
          <w:ilvl w:val="0"/>
          <w:numId w:val="26"/>
        </w:numPr>
        <w:jc w:val="both"/>
        <w:rPr>
          <w:rFonts w:ascii="Times New Roman" w:eastAsia="Calibri" w:hAnsi="Times New Roman" w:cs="Times New Roman"/>
        </w:rPr>
      </w:pPr>
      <w:r>
        <w:rPr>
          <w:rFonts w:ascii="Times New Roman" w:eastAsia="Calibri" w:hAnsi="Times New Roman" w:cs="Times New Roman"/>
        </w:rPr>
        <w:t>EOP annex content recommendations:</w:t>
      </w:r>
    </w:p>
    <w:p w14:paraId="5F30E5DA" w14:textId="58DC72C6" w:rsidR="005B31B4" w:rsidRPr="003F23C6" w:rsidRDefault="009F03A5" w:rsidP="003F23C6">
      <w:pPr>
        <w:pStyle w:val="ListParagraph"/>
        <w:numPr>
          <w:ilvl w:val="1"/>
          <w:numId w:val="26"/>
        </w:numPr>
        <w:jc w:val="both"/>
        <w:rPr>
          <w:rFonts w:ascii="Times New Roman" w:eastAsia="Calibri" w:hAnsi="Times New Roman" w:cs="Times New Roman"/>
        </w:rPr>
      </w:pPr>
      <w:r w:rsidRPr="000E3D45">
        <w:rPr>
          <w:rFonts w:ascii="Times New Roman" w:hAnsi="Times New Roman" w:cs="Times New Roman"/>
        </w:rPr>
        <w:t>There is no value gained by requiring a “separate and distinct” set of operational plans for cold/hot weather from those already required by the Commission’s weatherization requirements under 16 TAC § 25.55.</w:t>
      </w:r>
      <w:r w:rsidR="001A4D72">
        <w:rPr>
          <w:rFonts w:ascii="Times New Roman" w:hAnsi="Times New Roman" w:cs="Times New Roman"/>
        </w:rPr>
        <w:t xml:space="preserve"> This language should be omitted from the final rule.</w:t>
      </w:r>
    </w:p>
    <w:p w14:paraId="1EEBC17F" w14:textId="1DA3C66F" w:rsidR="001A4D72" w:rsidRDefault="009F03A5" w:rsidP="001A4D72">
      <w:pPr>
        <w:pStyle w:val="ListParagraph"/>
        <w:numPr>
          <w:ilvl w:val="1"/>
          <w:numId w:val="26"/>
        </w:numPr>
        <w:spacing w:after="240"/>
        <w:jc w:val="both"/>
        <w:rPr>
          <w:rFonts w:ascii="Times New Roman" w:hAnsi="Times New Roman" w:cs="Times New Roman"/>
        </w:rPr>
      </w:pPr>
      <w:r w:rsidRPr="000E3D45">
        <w:rPr>
          <w:rFonts w:ascii="Times New Roman" w:hAnsi="Times New Roman" w:cs="Times New Roman"/>
        </w:rPr>
        <w:t xml:space="preserve">A targeted “plan” for “socializing lessons learned” from prior cold/hot weather events is more flexible and functional than a requirement to pull personnel for specific meetings before/after an event. </w:t>
      </w:r>
    </w:p>
    <w:p w14:paraId="6CE1A49C" w14:textId="4D6E46E3" w:rsidR="009F03A5" w:rsidRPr="000E3D45" w:rsidRDefault="009F03A5" w:rsidP="003F23C6">
      <w:pPr>
        <w:pStyle w:val="ListParagraph"/>
        <w:numPr>
          <w:ilvl w:val="1"/>
          <w:numId w:val="26"/>
        </w:numPr>
        <w:spacing w:after="240"/>
        <w:jc w:val="both"/>
        <w:rPr>
          <w:rFonts w:ascii="Times New Roman" w:hAnsi="Times New Roman" w:cs="Times New Roman"/>
        </w:rPr>
      </w:pPr>
      <w:r w:rsidRPr="000E3D45">
        <w:rPr>
          <w:rFonts w:ascii="Times New Roman" w:hAnsi="Times New Roman" w:cs="Times New Roman"/>
        </w:rPr>
        <w:t xml:space="preserve">The cybersecurity annex </w:t>
      </w:r>
      <w:bookmarkStart w:id="9" w:name="_Hlk92187418"/>
      <w:r w:rsidR="001A4D72">
        <w:rPr>
          <w:rFonts w:ascii="Times New Roman" w:hAnsi="Times New Roman" w:cs="Times New Roman"/>
        </w:rPr>
        <w:t xml:space="preserve">should be carefully scoped to avoid heightened risks associated with public disclosure, </w:t>
      </w:r>
      <w:bookmarkEnd w:id="9"/>
      <w:r w:rsidRPr="000E3D45">
        <w:rPr>
          <w:rFonts w:ascii="Times New Roman" w:hAnsi="Times New Roman" w:cs="Times New Roman"/>
        </w:rPr>
        <w:t xml:space="preserve">and </w:t>
      </w:r>
      <w:r w:rsidR="001A4D72">
        <w:rPr>
          <w:rFonts w:ascii="Times New Roman" w:hAnsi="Times New Roman" w:cs="Times New Roman"/>
        </w:rPr>
        <w:t xml:space="preserve">the </w:t>
      </w:r>
      <w:r w:rsidRPr="000E3D45">
        <w:rPr>
          <w:rFonts w:ascii="Times New Roman" w:hAnsi="Times New Roman" w:cs="Times New Roman"/>
        </w:rPr>
        <w:t xml:space="preserve">open-ended “any additional annexes as needed or appropriate to the entity’s particular circumstances” requirement </w:t>
      </w:r>
      <w:r w:rsidR="001A4D72">
        <w:rPr>
          <w:rFonts w:ascii="Times New Roman" w:hAnsi="Times New Roman" w:cs="Times New Roman"/>
        </w:rPr>
        <w:t xml:space="preserve">can </w:t>
      </w:r>
      <w:r w:rsidRPr="000E3D45">
        <w:rPr>
          <w:rFonts w:ascii="Times New Roman" w:hAnsi="Times New Roman" w:cs="Times New Roman"/>
        </w:rPr>
        <w:t>be omitted from the final rule</w:t>
      </w:r>
      <w:r w:rsidR="001A4D72">
        <w:rPr>
          <w:rFonts w:ascii="Times New Roman" w:hAnsi="Times New Roman" w:cs="Times New Roman"/>
        </w:rPr>
        <w:t xml:space="preserve"> as duplicative of other rule requirements</w:t>
      </w:r>
      <w:r w:rsidRPr="000E3D45">
        <w:rPr>
          <w:rFonts w:ascii="Times New Roman" w:hAnsi="Times New Roman" w:cs="Times New Roman"/>
        </w:rPr>
        <w:t>.</w:t>
      </w:r>
    </w:p>
    <w:p w14:paraId="3814F16E" w14:textId="7982149A" w:rsidR="009F03A5" w:rsidRPr="000E3D45" w:rsidRDefault="009F03A5" w:rsidP="009F03A5">
      <w:pPr>
        <w:pStyle w:val="ListParagraph"/>
        <w:numPr>
          <w:ilvl w:val="0"/>
          <w:numId w:val="26"/>
        </w:numPr>
        <w:spacing w:after="240"/>
        <w:jc w:val="both"/>
        <w:rPr>
          <w:rFonts w:ascii="Times New Roman" w:hAnsi="Times New Roman" w:cs="Times New Roman"/>
        </w:rPr>
      </w:pPr>
      <w:r w:rsidRPr="000E3D45">
        <w:rPr>
          <w:rFonts w:ascii="Times New Roman" w:hAnsi="Times New Roman" w:cs="Times New Roman"/>
        </w:rPr>
        <w:t xml:space="preserve">Formal reporting requirements </w:t>
      </w:r>
      <w:r w:rsidR="001A4D72">
        <w:rPr>
          <w:rFonts w:ascii="Times New Roman" w:hAnsi="Times New Roman" w:cs="Times New Roman"/>
        </w:rPr>
        <w:t xml:space="preserve">under subsection (g) </w:t>
      </w:r>
      <w:r w:rsidRPr="000E3D45">
        <w:rPr>
          <w:rFonts w:ascii="Times New Roman" w:hAnsi="Times New Roman" w:cs="Times New Roman"/>
        </w:rPr>
        <w:t>should be set by Commission order.</w:t>
      </w:r>
    </w:p>
    <w:sectPr w:rsidR="009F03A5" w:rsidRPr="000E3D45" w:rsidSect="00DC3469">
      <w:footerReference w:type="default" r:id="rId10"/>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D579" w14:textId="77777777" w:rsidR="008A5C52" w:rsidRDefault="008A5C52" w:rsidP="00AF1446">
      <w:r>
        <w:separator/>
      </w:r>
    </w:p>
  </w:endnote>
  <w:endnote w:type="continuationSeparator" w:id="0">
    <w:p w14:paraId="2E313220" w14:textId="77777777" w:rsidR="008A5C52" w:rsidRDefault="008A5C52" w:rsidP="00AF1446">
      <w:r>
        <w:continuationSeparator/>
      </w:r>
    </w:p>
  </w:endnote>
  <w:endnote w:type="continuationNotice" w:id="1">
    <w:p w14:paraId="741CB390" w14:textId="77777777" w:rsidR="008A5C52" w:rsidRDefault="008A5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98A6" w14:textId="28D9DF9E" w:rsidR="00D00A3A" w:rsidRPr="00D8346C" w:rsidRDefault="006141FF" w:rsidP="00DC3469">
    <w:pPr>
      <w:pStyle w:val="Footer"/>
      <w:rPr>
        <w:rFonts w:ascii="Times New Roman" w:hAnsi="Times New Roman" w:cs="Times New Roman"/>
      </w:rPr>
    </w:pPr>
    <w:r>
      <w:rPr>
        <w:rFonts w:ascii="Times New Roman" w:hAnsi="Times New Roman" w:cs="Times New Roman"/>
      </w:rPr>
      <w:t>TCPA</w:t>
    </w:r>
    <w:r w:rsidR="00D00A3A" w:rsidRPr="00D8346C">
      <w:rPr>
        <w:rFonts w:ascii="Times New Roman" w:hAnsi="Times New Roman" w:cs="Times New Roman"/>
      </w:rPr>
      <w:t xml:space="preserve"> Comments in Project 5184</w:t>
    </w:r>
    <w:r w:rsidR="00FC4EA0">
      <w:rPr>
        <w:rFonts w:ascii="Times New Roman" w:hAnsi="Times New Roman" w:cs="Times New Roman"/>
      </w:rPr>
      <w:t>1</w:t>
    </w:r>
    <w:r w:rsidR="00D8346C">
      <w:rPr>
        <w:rFonts w:ascii="Times New Roman" w:hAnsi="Times New Roman" w:cs="Times New Roman"/>
      </w:rPr>
      <w:tab/>
    </w:r>
    <w:r w:rsidR="00D00A3A" w:rsidRPr="00D8346C">
      <w:rPr>
        <w:rFonts w:ascii="Times New Roman" w:hAnsi="Times New Roman" w:cs="Times New Roman"/>
      </w:rPr>
      <w:tab/>
      <w:t xml:space="preserve">Page </w:t>
    </w:r>
    <w:r w:rsidR="00D00A3A" w:rsidRPr="00D8346C">
      <w:rPr>
        <w:rFonts w:ascii="Times New Roman" w:hAnsi="Times New Roman" w:cs="Times New Roman"/>
      </w:rPr>
      <w:fldChar w:fldCharType="begin"/>
    </w:r>
    <w:r w:rsidR="00D00A3A" w:rsidRPr="00D8346C">
      <w:rPr>
        <w:rFonts w:ascii="Times New Roman" w:hAnsi="Times New Roman" w:cs="Times New Roman"/>
      </w:rPr>
      <w:instrText xml:space="preserve"> PAGE   \* MERGEFORMAT </w:instrText>
    </w:r>
    <w:r w:rsidR="00D00A3A" w:rsidRPr="00D8346C">
      <w:rPr>
        <w:rFonts w:ascii="Times New Roman" w:hAnsi="Times New Roman" w:cs="Times New Roman"/>
      </w:rPr>
      <w:fldChar w:fldCharType="separate"/>
    </w:r>
    <w:r w:rsidR="00A82E3B">
      <w:rPr>
        <w:rFonts w:ascii="Times New Roman" w:hAnsi="Times New Roman" w:cs="Times New Roman"/>
        <w:noProof/>
      </w:rPr>
      <w:t>26</w:t>
    </w:r>
    <w:r w:rsidR="00D00A3A" w:rsidRPr="00D8346C">
      <w:rPr>
        <w:rFonts w:ascii="Times New Roman" w:hAnsi="Times New Roman" w:cs="Times New Roman"/>
        <w:noProof/>
      </w:rPr>
      <w:fldChar w:fldCharType="end"/>
    </w:r>
  </w:p>
  <w:p w14:paraId="0F70DEEE" w14:textId="77777777" w:rsidR="00D00A3A" w:rsidRDefault="00D00A3A">
    <w:pPr>
      <w:pStyle w:val="Footer"/>
    </w:pPr>
  </w:p>
  <w:p w14:paraId="77AE2FF0" w14:textId="77777777" w:rsidR="00436101" w:rsidRDefault="004361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C94A" w14:textId="77777777" w:rsidR="008A5C52" w:rsidRDefault="008A5C52" w:rsidP="00AF1446">
      <w:r>
        <w:separator/>
      </w:r>
    </w:p>
  </w:footnote>
  <w:footnote w:type="continuationSeparator" w:id="0">
    <w:p w14:paraId="233B51E3" w14:textId="77777777" w:rsidR="008A5C52" w:rsidRDefault="008A5C52" w:rsidP="00AF1446">
      <w:r>
        <w:continuationSeparator/>
      </w:r>
    </w:p>
  </w:footnote>
  <w:footnote w:type="continuationNotice" w:id="1">
    <w:p w14:paraId="4FFA88F8" w14:textId="77777777" w:rsidR="008A5C52" w:rsidRDefault="008A5C52"/>
  </w:footnote>
  <w:footnote w:id="2">
    <w:p w14:paraId="0121B896" w14:textId="63E16334" w:rsidR="00D712D7" w:rsidRPr="00FF6B0A" w:rsidRDefault="00D712D7">
      <w:pPr>
        <w:pStyle w:val="FootnoteText"/>
        <w:rPr>
          <w:rFonts w:ascii="Times New Roman" w:hAnsi="Times New Roman" w:cs="Times New Roman"/>
          <w:sz w:val="20"/>
          <w:szCs w:val="20"/>
        </w:rPr>
      </w:pPr>
      <w:r w:rsidRPr="00FF6B0A">
        <w:rPr>
          <w:rStyle w:val="FootnoteReference"/>
          <w:rFonts w:ascii="Times New Roman" w:hAnsi="Times New Roman" w:cs="Times New Roman"/>
          <w:sz w:val="20"/>
          <w:szCs w:val="20"/>
        </w:rPr>
        <w:footnoteRef/>
      </w:r>
      <w:r w:rsidRPr="00FF6B0A">
        <w:rPr>
          <w:rFonts w:ascii="Times New Roman" w:hAnsi="Times New Roman" w:cs="Times New Roman"/>
          <w:sz w:val="20"/>
          <w:szCs w:val="20"/>
        </w:rPr>
        <w:t xml:space="preserve"> </w:t>
      </w:r>
      <w:hyperlink r:id="rId1" w:anchor="12" w:history="1">
        <w:r w:rsidR="00C811D6" w:rsidRPr="00FF6B0A">
          <w:rPr>
            <w:rStyle w:val="Hyperlink"/>
            <w:rFonts w:ascii="Times New Roman" w:hAnsi="Times New Roman" w:cs="Times New Roman"/>
            <w:sz w:val="20"/>
            <w:szCs w:val="20"/>
          </w:rPr>
          <w:t>Proposed Rules Title 16 (texas.gov)</w:t>
        </w:r>
      </w:hyperlink>
    </w:p>
  </w:footnote>
  <w:footnote w:id="3">
    <w:p w14:paraId="6807F396" w14:textId="77777777" w:rsidR="000C0B1A" w:rsidRPr="00FF6B0A" w:rsidRDefault="000C0B1A" w:rsidP="000C0B1A">
      <w:pPr>
        <w:pStyle w:val="FootnoteText"/>
        <w:rPr>
          <w:rFonts w:ascii="Times New Roman" w:hAnsi="Times New Roman" w:cs="Times New Roman"/>
          <w:sz w:val="20"/>
          <w:szCs w:val="20"/>
        </w:rPr>
      </w:pPr>
      <w:r w:rsidRPr="00FF6B0A">
        <w:rPr>
          <w:rStyle w:val="FootnoteReference"/>
          <w:rFonts w:ascii="Times New Roman" w:hAnsi="Times New Roman" w:cs="Times New Roman"/>
          <w:sz w:val="20"/>
          <w:szCs w:val="20"/>
        </w:rPr>
        <w:footnoteRef/>
      </w:r>
      <w:r w:rsidRPr="00FF6B0A">
        <w:rPr>
          <w:rFonts w:ascii="Times New Roman" w:hAnsi="Times New Roman" w:cs="Times New Roman"/>
          <w:sz w:val="20"/>
          <w:szCs w:val="20"/>
        </w:rPr>
        <w:t xml:space="preserve"> TCPA member companies participating in these comments include: Calpine, Cogentrix, EDF Trading North America, Exelon, Luminant, NRG, Shell Energy North America, Talen Energy, Tenaska, TexGen Power, and WattBridge. </w:t>
      </w:r>
    </w:p>
  </w:footnote>
  <w:footnote w:id="4">
    <w:p w14:paraId="6D92E07A" w14:textId="63F399B3" w:rsidR="00294C11" w:rsidRPr="00FF6B0A" w:rsidRDefault="00294C11">
      <w:pPr>
        <w:pStyle w:val="FootnoteText"/>
        <w:rPr>
          <w:rFonts w:ascii="Times New Roman" w:hAnsi="Times New Roman" w:cs="Times New Roman"/>
          <w:sz w:val="20"/>
          <w:szCs w:val="20"/>
        </w:rPr>
      </w:pPr>
      <w:r w:rsidRPr="00FF6B0A">
        <w:rPr>
          <w:rStyle w:val="FootnoteReference"/>
          <w:rFonts w:ascii="Times New Roman" w:hAnsi="Times New Roman" w:cs="Times New Roman"/>
          <w:sz w:val="20"/>
          <w:szCs w:val="20"/>
        </w:rPr>
        <w:footnoteRef/>
      </w:r>
      <w:r w:rsidRPr="00FF6B0A">
        <w:rPr>
          <w:rFonts w:ascii="Times New Roman" w:hAnsi="Times New Roman" w:cs="Times New Roman"/>
          <w:sz w:val="20"/>
          <w:szCs w:val="20"/>
        </w:rPr>
        <w:t xml:space="preserve"> </w:t>
      </w:r>
      <w:hyperlink r:id="rId2" w:history="1">
        <w:r w:rsidRPr="00FF6B0A">
          <w:rPr>
            <w:rStyle w:val="Hyperlink"/>
            <w:rFonts w:ascii="Times New Roman" w:hAnsi="Times New Roman" w:cs="Times New Roman"/>
            <w:sz w:val="20"/>
            <w:szCs w:val="20"/>
          </w:rPr>
          <w:t>https://www.merriam-webster.com/dictionary/hazard</w:t>
        </w:r>
      </w:hyperlink>
      <w:r w:rsidRPr="00FF6B0A">
        <w:rPr>
          <w:rFonts w:ascii="Times New Roman" w:hAnsi="Times New Roman" w:cs="Times New Roman"/>
          <w:sz w:val="20"/>
          <w:szCs w:val="20"/>
        </w:rPr>
        <w:t xml:space="preserve"> </w:t>
      </w:r>
    </w:p>
  </w:footnote>
  <w:footnote w:id="5">
    <w:p w14:paraId="299F5C35" w14:textId="320CD09F" w:rsidR="00294C11" w:rsidRDefault="00294C11">
      <w:pPr>
        <w:pStyle w:val="FootnoteText"/>
      </w:pPr>
      <w:r w:rsidRPr="00FF6B0A">
        <w:rPr>
          <w:rStyle w:val="FootnoteReference"/>
          <w:rFonts w:ascii="Times New Roman" w:hAnsi="Times New Roman" w:cs="Times New Roman"/>
          <w:sz w:val="20"/>
          <w:szCs w:val="20"/>
        </w:rPr>
        <w:footnoteRef/>
      </w:r>
      <w:r w:rsidRPr="00FF6B0A">
        <w:rPr>
          <w:rFonts w:ascii="Times New Roman" w:hAnsi="Times New Roman" w:cs="Times New Roman"/>
          <w:sz w:val="20"/>
          <w:szCs w:val="20"/>
        </w:rPr>
        <w:t xml:space="preserve"> </w:t>
      </w:r>
      <w:hyperlink r:id="rId3" w:history="1">
        <w:r w:rsidRPr="00FF6B0A">
          <w:rPr>
            <w:rStyle w:val="Hyperlink"/>
            <w:rFonts w:ascii="Times New Roman" w:hAnsi="Times New Roman" w:cs="Times New Roman"/>
            <w:sz w:val="20"/>
            <w:szCs w:val="20"/>
          </w:rPr>
          <w:t>https://www.merriam-webster.com/dictionary/threat</w:t>
        </w:r>
      </w:hyperlink>
      <w:r>
        <w:t xml:space="preserve"> </w:t>
      </w:r>
    </w:p>
  </w:footnote>
  <w:footnote w:id="6">
    <w:p w14:paraId="15335C4B" w14:textId="66A0FC4F" w:rsidR="00D66971" w:rsidRPr="005C13E2" w:rsidRDefault="00D66971">
      <w:pPr>
        <w:pStyle w:val="FootnoteText"/>
        <w:rPr>
          <w:rFonts w:ascii="Times New Roman" w:hAnsi="Times New Roman" w:cs="Times New Roman"/>
          <w:sz w:val="20"/>
          <w:szCs w:val="20"/>
        </w:rPr>
      </w:pPr>
      <w:r w:rsidRPr="005C13E2">
        <w:rPr>
          <w:rStyle w:val="FootnoteReference"/>
          <w:rFonts w:ascii="Times New Roman" w:hAnsi="Times New Roman" w:cs="Times New Roman"/>
          <w:sz w:val="20"/>
          <w:szCs w:val="20"/>
        </w:rPr>
        <w:footnoteRef/>
      </w:r>
      <w:r w:rsidRPr="005C13E2">
        <w:rPr>
          <w:rFonts w:ascii="Times New Roman" w:hAnsi="Times New Roman" w:cs="Times New Roman"/>
          <w:sz w:val="20"/>
          <w:szCs w:val="20"/>
        </w:rPr>
        <w:t xml:space="preserve"> </w:t>
      </w:r>
      <w:r w:rsidR="001952A5" w:rsidRPr="005C13E2">
        <w:rPr>
          <w:rFonts w:ascii="Times New Roman" w:hAnsi="Times New Roman" w:cs="Times New Roman"/>
          <w:sz w:val="20"/>
          <w:szCs w:val="20"/>
        </w:rPr>
        <w:t xml:space="preserve">e.g., </w:t>
      </w:r>
      <w:r w:rsidR="00061A66" w:rsidRPr="005C13E2">
        <w:rPr>
          <w:rFonts w:ascii="Times New Roman" w:hAnsi="Times New Roman" w:cs="Times New Roman"/>
          <w:sz w:val="20"/>
          <w:szCs w:val="20"/>
        </w:rPr>
        <w:t xml:space="preserve">generating capacity reports are due by the last working day of February (16 TAC § 25.91(c)), electric utility service quality reports are due on February 14 (16 TAC § 25.81), </w:t>
      </w:r>
      <w:r w:rsidR="00B12004" w:rsidRPr="005C13E2">
        <w:rPr>
          <w:rFonts w:ascii="Times New Roman" w:hAnsi="Times New Roman" w:cs="Times New Roman"/>
          <w:sz w:val="20"/>
          <w:szCs w:val="20"/>
        </w:rPr>
        <w:t xml:space="preserve">natural gas capacity reports are due on February 14 (unless waived; see 16 TAC § 25.172(h)), </w:t>
      </w:r>
      <w:r w:rsidR="006C28C9" w:rsidRPr="005C13E2">
        <w:rPr>
          <w:rFonts w:ascii="Times New Roman" w:hAnsi="Times New Roman" w:cs="Times New Roman"/>
          <w:sz w:val="20"/>
          <w:szCs w:val="20"/>
        </w:rPr>
        <w:t xml:space="preserve">generator emissions scorecard reports due to ERCOT on March 1 (16 TAC § 25.476(e)(3), </w:t>
      </w:r>
      <w:r w:rsidR="001952A5" w:rsidRPr="005C13E2">
        <w:rPr>
          <w:rFonts w:ascii="Times New Roman" w:hAnsi="Times New Roman" w:cs="Times New Roman"/>
          <w:sz w:val="20"/>
          <w:szCs w:val="20"/>
        </w:rPr>
        <w:t>REP annual report</w:t>
      </w:r>
      <w:r w:rsidR="00061A66" w:rsidRPr="005C13E2">
        <w:rPr>
          <w:rFonts w:ascii="Times New Roman" w:hAnsi="Times New Roman" w:cs="Times New Roman"/>
          <w:sz w:val="20"/>
          <w:szCs w:val="20"/>
        </w:rPr>
        <w:t xml:space="preserve">s are due on </w:t>
      </w:r>
      <w:r w:rsidR="006C28C9" w:rsidRPr="005C13E2">
        <w:rPr>
          <w:rFonts w:ascii="Times New Roman" w:hAnsi="Times New Roman" w:cs="Times New Roman"/>
          <w:sz w:val="20"/>
          <w:szCs w:val="20"/>
        </w:rPr>
        <w:t>March 5</w:t>
      </w:r>
      <w:r w:rsidR="00061A66" w:rsidRPr="005C13E2">
        <w:rPr>
          <w:rFonts w:ascii="Times New Roman" w:hAnsi="Times New Roman" w:cs="Times New Roman"/>
          <w:sz w:val="20"/>
          <w:szCs w:val="20"/>
        </w:rPr>
        <w:t xml:space="preserve"> (16 TAC § 25.</w:t>
      </w:r>
      <w:r w:rsidR="006C28C9" w:rsidRPr="005C13E2">
        <w:rPr>
          <w:rFonts w:ascii="Times New Roman" w:hAnsi="Times New Roman" w:cs="Times New Roman"/>
          <w:sz w:val="20"/>
          <w:szCs w:val="20"/>
        </w:rPr>
        <w:t>107</w:t>
      </w:r>
      <w:r w:rsidR="00061A66" w:rsidRPr="005C13E2">
        <w:rPr>
          <w:rFonts w:ascii="Times New Roman" w:hAnsi="Times New Roman" w:cs="Times New Roman"/>
          <w:sz w:val="20"/>
          <w:szCs w:val="20"/>
        </w:rPr>
        <w:t>(</w:t>
      </w:r>
      <w:r w:rsidR="006C28C9" w:rsidRPr="005C13E2">
        <w:rPr>
          <w:rFonts w:ascii="Times New Roman" w:hAnsi="Times New Roman" w:cs="Times New Roman"/>
          <w:sz w:val="20"/>
          <w:szCs w:val="20"/>
        </w:rPr>
        <w:t>i</w:t>
      </w:r>
      <w:r w:rsidR="00061A66" w:rsidRPr="005C13E2">
        <w:rPr>
          <w:rFonts w:ascii="Times New Roman" w:hAnsi="Times New Roman" w:cs="Times New Roman"/>
          <w:sz w:val="20"/>
          <w:szCs w:val="20"/>
        </w:rPr>
        <w:t>)(</w:t>
      </w:r>
      <w:r w:rsidR="006C28C9" w:rsidRPr="005C13E2">
        <w:rPr>
          <w:rFonts w:ascii="Times New Roman" w:hAnsi="Times New Roman" w:cs="Times New Roman"/>
          <w:sz w:val="20"/>
          <w:szCs w:val="20"/>
        </w:rPr>
        <w:t>5</w:t>
      </w:r>
      <w:r w:rsidR="00061A66" w:rsidRPr="005C13E2">
        <w:rPr>
          <w:rFonts w:ascii="Times New Roman" w:hAnsi="Times New Roman" w:cs="Times New Roman"/>
          <w:sz w:val="20"/>
          <w:szCs w:val="20"/>
        </w:rPr>
        <w:t>))</w:t>
      </w:r>
      <w:r w:rsidR="001952A5" w:rsidRPr="005C13E2">
        <w:rPr>
          <w:rFonts w:ascii="Times New Roman" w:hAnsi="Times New Roman" w:cs="Times New Roman"/>
          <w:sz w:val="20"/>
          <w:szCs w:val="20"/>
        </w:rPr>
        <w:t>, etc.</w:t>
      </w:r>
      <w:r w:rsidRPr="005C13E2">
        <w:rPr>
          <w:rFonts w:ascii="Times New Roman" w:hAnsi="Times New Roman" w:cs="Times New Roman"/>
          <w:sz w:val="20"/>
          <w:szCs w:val="20"/>
        </w:rPr>
        <w:t xml:space="preserve"> </w:t>
      </w:r>
    </w:p>
  </w:footnote>
  <w:footnote w:id="7">
    <w:p w14:paraId="593E380A" w14:textId="1B224C39" w:rsidR="0095439D" w:rsidRPr="005C13E2" w:rsidRDefault="0095439D">
      <w:pPr>
        <w:pStyle w:val="FootnoteText"/>
        <w:rPr>
          <w:rFonts w:ascii="Times New Roman" w:hAnsi="Times New Roman" w:cs="Times New Roman"/>
          <w:sz w:val="20"/>
          <w:szCs w:val="20"/>
        </w:rPr>
      </w:pPr>
      <w:r w:rsidRPr="005C13E2">
        <w:rPr>
          <w:rStyle w:val="FootnoteReference"/>
          <w:rFonts w:ascii="Times New Roman" w:hAnsi="Times New Roman" w:cs="Times New Roman"/>
          <w:sz w:val="20"/>
          <w:szCs w:val="20"/>
        </w:rPr>
        <w:footnoteRef/>
      </w:r>
      <w:r w:rsidRPr="005C13E2">
        <w:rPr>
          <w:rFonts w:ascii="Times New Roman" w:hAnsi="Times New Roman" w:cs="Times New Roman"/>
          <w:sz w:val="20"/>
          <w:szCs w:val="20"/>
        </w:rPr>
        <w:t xml:space="preserve"> ERCOT Nodal Protocols Section 3.21</w:t>
      </w:r>
    </w:p>
  </w:footnote>
  <w:footnote w:id="8">
    <w:p w14:paraId="05489B4E" w14:textId="3AE15B84" w:rsidR="0095439D" w:rsidRPr="005C13E2" w:rsidRDefault="0095439D">
      <w:pPr>
        <w:pStyle w:val="FootnoteText"/>
        <w:rPr>
          <w:rFonts w:ascii="Times New Roman" w:hAnsi="Times New Roman" w:cs="Times New Roman"/>
          <w:sz w:val="20"/>
          <w:szCs w:val="20"/>
        </w:rPr>
      </w:pPr>
      <w:r w:rsidRPr="005C13E2">
        <w:rPr>
          <w:rStyle w:val="FootnoteReference"/>
          <w:rFonts w:ascii="Times New Roman" w:hAnsi="Times New Roman" w:cs="Times New Roman"/>
          <w:sz w:val="20"/>
          <w:szCs w:val="20"/>
        </w:rPr>
        <w:footnoteRef/>
      </w:r>
      <w:r w:rsidRPr="005C13E2">
        <w:rPr>
          <w:rFonts w:ascii="Times New Roman" w:hAnsi="Times New Roman" w:cs="Times New Roman"/>
          <w:sz w:val="20"/>
          <w:szCs w:val="20"/>
        </w:rPr>
        <w:t xml:space="preserve"> ERCOT nodal protocols Sections 1.3.1.1(1)(bb)</w:t>
      </w:r>
    </w:p>
  </w:footnote>
  <w:footnote w:id="9">
    <w:p w14:paraId="3FA8109B" w14:textId="479496CA" w:rsidR="0095439D" w:rsidRPr="005C13E2" w:rsidRDefault="0095439D">
      <w:pPr>
        <w:pStyle w:val="FootnoteText"/>
        <w:rPr>
          <w:rFonts w:ascii="Times New Roman" w:hAnsi="Times New Roman" w:cs="Times New Roman"/>
          <w:sz w:val="20"/>
          <w:szCs w:val="20"/>
        </w:rPr>
      </w:pPr>
      <w:r w:rsidRPr="005C13E2">
        <w:rPr>
          <w:rStyle w:val="FootnoteReference"/>
          <w:rFonts w:ascii="Times New Roman" w:hAnsi="Times New Roman" w:cs="Times New Roman"/>
          <w:sz w:val="20"/>
          <w:szCs w:val="20"/>
        </w:rPr>
        <w:footnoteRef/>
      </w:r>
      <w:r w:rsidRPr="005C13E2">
        <w:rPr>
          <w:rFonts w:ascii="Times New Roman" w:hAnsi="Times New Roman" w:cs="Times New Roman"/>
          <w:sz w:val="20"/>
          <w:szCs w:val="20"/>
        </w:rPr>
        <w:t xml:space="preserve"> ERCOT Nodal Protocols Section 1.3.2.1(e)</w:t>
      </w:r>
      <w:r w:rsidR="00E11DEE" w:rsidRPr="005C13E2">
        <w:rPr>
          <w:rFonts w:ascii="Times New Roman" w:hAnsi="Times New Roman" w:cs="Times New Roman"/>
          <w:sz w:val="20"/>
          <w:szCs w:val="20"/>
        </w:rPr>
        <w:t>; note that this provision also includes EOPs for ERCOT and for transmission and distribution service providers (TDSPs).</w:t>
      </w:r>
    </w:p>
  </w:footnote>
  <w:footnote w:id="10">
    <w:p w14:paraId="0F7B1F5F" w14:textId="36E8825A" w:rsidR="00163C20" w:rsidRPr="005C13E2" w:rsidRDefault="00163C20">
      <w:pPr>
        <w:pStyle w:val="FootnoteText"/>
        <w:rPr>
          <w:rFonts w:ascii="Times New Roman" w:hAnsi="Times New Roman" w:cs="Times New Roman"/>
          <w:sz w:val="20"/>
          <w:szCs w:val="20"/>
        </w:rPr>
      </w:pPr>
      <w:r w:rsidRPr="005C13E2">
        <w:rPr>
          <w:rStyle w:val="FootnoteReference"/>
          <w:rFonts w:ascii="Times New Roman" w:hAnsi="Times New Roman" w:cs="Times New Roman"/>
          <w:sz w:val="20"/>
          <w:szCs w:val="20"/>
        </w:rPr>
        <w:footnoteRef/>
      </w:r>
      <w:r w:rsidRPr="005C13E2">
        <w:rPr>
          <w:rFonts w:ascii="Times New Roman" w:hAnsi="Times New Roman" w:cs="Times New Roman"/>
          <w:sz w:val="20"/>
          <w:szCs w:val="20"/>
        </w:rPr>
        <w:t xml:space="preserve"> </w:t>
      </w:r>
      <w:r w:rsidRPr="005C13E2">
        <w:rPr>
          <w:rFonts w:ascii="Times New Roman" w:hAnsi="Times New Roman" w:cs="Times New Roman"/>
          <w:i/>
          <w:iCs/>
          <w:sz w:val="20"/>
          <w:szCs w:val="20"/>
        </w:rPr>
        <w:t>See</w:t>
      </w:r>
      <w:r w:rsidRPr="005C13E2">
        <w:rPr>
          <w:rFonts w:ascii="Times New Roman" w:hAnsi="Times New Roman" w:cs="Times New Roman"/>
          <w:sz w:val="20"/>
          <w:szCs w:val="20"/>
        </w:rPr>
        <w:t xml:space="preserve"> Utilities Code Sec. 186.007(f).</w:t>
      </w:r>
    </w:p>
  </w:footnote>
  <w:footnote w:id="11">
    <w:p w14:paraId="324A4F2F" w14:textId="5D91664F" w:rsidR="00575393" w:rsidRPr="005C13E2" w:rsidRDefault="00575393">
      <w:pPr>
        <w:pStyle w:val="FootnoteText"/>
        <w:rPr>
          <w:rFonts w:ascii="Times New Roman" w:hAnsi="Times New Roman" w:cs="Times New Roman"/>
          <w:sz w:val="20"/>
          <w:szCs w:val="20"/>
        </w:rPr>
      </w:pPr>
      <w:r w:rsidRPr="005C13E2">
        <w:rPr>
          <w:rStyle w:val="FootnoteReference"/>
          <w:rFonts w:ascii="Times New Roman" w:hAnsi="Times New Roman" w:cs="Times New Roman"/>
          <w:sz w:val="20"/>
          <w:szCs w:val="20"/>
        </w:rPr>
        <w:footnoteRef/>
      </w:r>
      <w:r w:rsidRPr="005C13E2">
        <w:rPr>
          <w:rFonts w:ascii="Times New Roman" w:hAnsi="Times New Roman" w:cs="Times New Roman"/>
          <w:sz w:val="20"/>
          <w:szCs w:val="20"/>
        </w:rPr>
        <w:t xml:space="preserve"> </w:t>
      </w:r>
      <w:r w:rsidR="001918F1" w:rsidRPr="005C13E2">
        <w:rPr>
          <w:rFonts w:ascii="Times New Roman" w:hAnsi="Times New Roman" w:cs="Times New Roman"/>
          <w:sz w:val="20"/>
          <w:szCs w:val="20"/>
        </w:rPr>
        <w:t>It appears that each of the trainings has a different letter version associated with it. For example, IS-700.a redirects to IS-700.B (</w:t>
      </w:r>
      <w:hyperlink r:id="rId4" w:history="1">
        <w:r w:rsidR="001918F1" w:rsidRPr="005C13E2">
          <w:rPr>
            <w:rStyle w:val="Hyperlink"/>
            <w:rFonts w:ascii="Times New Roman" w:hAnsi="Times New Roman" w:cs="Times New Roman"/>
            <w:sz w:val="20"/>
            <w:szCs w:val="20"/>
          </w:rPr>
          <w:t>https://training.fema.gov/is/courseoverview.aspx?code=IS-700.b</w:t>
        </w:r>
      </w:hyperlink>
      <w:r w:rsidR="001918F1" w:rsidRPr="005C13E2">
        <w:rPr>
          <w:rFonts w:ascii="Times New Roman" w:hAnsi="Times New Roman" w:cs="Times New Roman"/>
          <w:sz w:val="20"/>
          <w:szCs w:val="20"/>
        </w:rPr>
        <w:t>), IS-800.b redirects to IS-800.D (</w:t>
      </w:r>
      <w:hyperlink r:id="rId5" w:history="1">
        <w:r w:rsidR="001918F1" w:rsidRPr="005C13E2">
          <w:rPr>
            <w:rStyle w:val="Hyperlink"/>
            <w:rFonts w:ascii="Times New Roman" w:hAnsi="Times New Roman" w:cs="Times New Roman"/>
            <w:sz w:val="20"/>
            <w:szCs w:val="20"/>
          </w:rPr>
          <w:t>https://training.fema.gov/is/courseoverview.aspx?code=IS-800.d</w:t>
        </w:r>
      </w:hyperlink>
      <w:r w:rsidR="001918F1" w:rsidRPr="005C13E2">
        <w:rPr>
          <w:rFonts w:ascii="Times New Roman" w:hAnsi="Times New Roman" w:cs="Times New Roman"/>
          <w:sz w:val="20"/>
          <w:szCs w:val="20"/>
        </w:rPr>
        <w:t>), IS-100.b redirects to IS-100.C (</w:t>
      </w:r>
      <w:hyperlink r:id="rId6" w:history="1">
        <w:r w:rsidR="001918F1" w:rsidRPr="005C13E2">
          <w:rPr>
            <w:rStyle w:val="Hyperlink"/>
            <w:rFonts w:ascii="Times New Roman" w:hAnsi="Times New Roman" w:cs="Times New Roman"/>
            <w:sz w:val="20"/>
            <w:szCs w:val="20"/>
          </w:rPr>
          <w:t>https://training.fema.gov/is/courseoverview.aspx?code=IS-100.c</w:t>
        </w:r>
      </w:hyperlink>
      <w:r w:rsidR="001918F1" w:rsidRPr="005C13E2">
        <w:rPr>
          <w:rFonts w:ascii="Times New Roman" w:hAnsi="Times New Roman" w:cs="Times New Roman"/>
          <w:sz w:val="20"/>
          <w:szCs w:val="20"/>
        </w:rPr>
        <w:t>), and IS-200.b redirects to IS-200.C (</w:t>
      </w:r>
      <w:hyperlink r:id="rId7" w:history="1">
        <w:r w:rsidR="001918F1" w:rsidRPr="005C13E2">
          <w:rPr>
            <w:rStyle w:val="Hyperlink"/>
            <w:rFonts w:ascii="Times New Roman" w:hAnsi="Times New Roman" w:cs="Times New Roman"/>
            <w:sz w:val="20"/>
            <w:szCs w:val="20"/>
          </w:rPr>
          <w:t>https://training.fema.gov/is/courseoverview.aspx?code=IS-200.c</w:t>
        </w:r>
      </w:hyperlink>
      <w:r w:rsidR="001918F1" w:rsidRPr="005C13E2">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1F"/>
    <w:multiLevelType w:val="hybridMultilevel"/>
    <w:tmpl w:val="6042265C"/>
    <w:lvl w:ilvl="0" w:tplc="F8104106">
      <w:start w:val="7"/>
      <w:numFmt w:val="lowerLetter"/>
      <w:lvlText w:val="(%1)"/>
      <w:lvlJc w:val="left"/>
    </w:lvl>
    <w:lvl w:ilvl="1" w:tplc="EAAEBA7A">
      <w:numFmt w:val="decimal"/>
      <w:lvlText w:val=""/>
      <w:lvlJc w:val="left"/>
    </w:lvl>
    <w:lvl w:ilvl="2" w:tplc="8E84F138">
      <w:numFmt w:val="decimal"/>
      <w:lvlText w:val=""/>
      <w:lvlJc w:val="left"/>
    </w:lvl>
    <w:lvl w:ilvl="3" w:tplc="96E2CABA">
      <w:numFmt w:val="decimal"/>
      <w:lvlText w:val=""/>
      <w:lvlJc w:val="left"/>
    </w:lvl>
    <w:lvl w:ilvl="4" w:tplc="C3F4EFE0">
      <w:numFmt w:val="decimal"/>
      <w:lvlText w:val=""/>
      <w:lvlJc w:val="left"/>
    </w:lvl>
    <w:lvl w:ilvl="5" w:tplc="0F3CAE60">
      <w:numFmt w:val="decimal"/>
      <w:lvlText w:val=""/>
      <w:lvlJc w:val="left"/>
    </w:lvl>
    <w:lvl w:ilvl="6" w:tplc="476ED36A">
      <w:numFmt w:val="decimal"/>
      <w:lvlText w:val=""/>
      <w:lvlJc w:val="left"/>
    </w:lvl>
    <w:lvl w:ilvl="7" w:tplc="049E74FA">
      <w:numFmt w:val="decimal"/>
      <w:lvlText w:val=""/>
      <w:lvlJc w:val="left"/>
    </w:lvl>
    <w:lvl w:ilvl="8" w:tplc="FF90FDE2">
      <w:numFmt w:val="decimal"/>
      <w:lvlText w:val=""/>
      <w:lvlJc w:val="left"/>
    </w:lvl>
  </w:abstractNum>
  <w:abstractNum w:abstractNumId="1" w15:restartNumberingAfterBreak="0">
    <w:nsid w:val="00004D06"/>
    <w:multiLevelType w:val="hybridMultilevel"/>
    <w:tmpl w:val="E660B834"/>
    <w:lvl w:ilvl="0" w:tplc="45D46368">
      <w:start w:val="1"/>
      <w:numFmt w:val="lowerLetter"/>
      <w:lvlText w:val="(%1)"/>
      <w:lvlJc w:val="left"/>
    </w:lvl>
    <w:lvl w:ilvl="1" w:tplc="00E8112A">
      <w:start w:val="1"/>
      <w:numFmt w:val="decimal"/>
      <w:lvlText w:val="(%2)"/>
      <w:lvlJc w:val="left"/>
    </w:lvl>
    <w:lvl w:ilvl="2" w:tplc="BBAA2036">
      <w:numFmt w:val="decimal"/>
      <w:lvlText w:val=""/>
      <w:lvlJc w:val="left"/>
    </w:lvl>
    <w:lvl w:ilvl="3" w:tplc="3112C754">
      <w:numFmt w:val="decimal"/>
      <w:lvlText w:val=""/>
      <w:lvlJc w:val="left"/>
    </w:lvl>
    <w:lvl w:ilvl="4" w:tplc="7A242630">
      <w:numFmt w:val="decimal"/>
      <w:lvlText w:val=""/>
      <w:lvlJc w:val="left"/>
    </w:lvl>
    <w:lvl w:ilvl="5" w:tplc="56685954">
      <w:numFmt w:val="decimal"/>
      <w:lvlText w:val=""/>
      <w:lvlJc w:val="left"/>
    </w:lvl>
    <w:lvl w:ilvl="6" w:tplc="699AB008">
      <w:numFmt w:val="decimal"/>
      <w:lvlText w:val=""/>
      <w:lvlJc w:val="left"/>
    </w:lvl>
    <w:lvl w:ilvl="7" w:tplc="A246F7D2">
      <w:numFmt w:val="decimal"/>
      <w:lvlText w:val=""/>
      <w:lvlJc w:val="left"/>
    </w:lvl>
    <w:lvl w:ilvl="8" w:tplc="ECC6106A">
      <w:numFmt w:val="decimal"/>
      <w:lvlText w:val=""/>
      <w:lvlJc w:val="left"/>
    </w:lvl>
  </w:abstractNum>
  <w:abstractNum w:abstractNumId="2" w15:restartNumberingAfterBreak="0">
    <w:nsid w:val="054B38DA"/>
    <w:multiLevelType w:val="hybridMultilevel"/>
    <w:tmpl w:val="2662E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B115C"/>
    <w:multiLevelType w:val="hybridMultilevel"/>
    <w:tmpl w:val="6D84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878B1"/>
    <w:multiLevelType w:val="hybridMultilevel"/>
    <w:tmpl w:val="BDAE5724"/>
    <w:lvl w:ilvl="0" w:tplc="3FC02F12">
      <w:start w:val="4"/>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C7AFB"/>
    <w:multiLevelType w:val="hybridMultilevel"/>
    <w:tmpl w:val="BDAE5724"/>
    <w:lvl w:ilvl="0" w:tplc="FFFFFFFF">
      <w:start w:val="4"/>
      <w:numFmt w:val="lowerRoman"/>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F205EC"/>
    <w:multiLevelType w:val="hybridMultilevel"/>
    <w:tmpl w:val="B7B4ED5C"/>
    <w:lvl w:ilvl="0" w:tplc="465EF95E">
      <w:start w:val="1"/>
      <w:numFmt w:val="upp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5A83"/>
    <w:multiLevelType w:val="hybridMultilevel"/>
    <w:tmpl w:val="1910D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73B31"/>
    <w:multiLevelType w:val="hybridMultilevel"/>
    <w:tmpl w:val="EE8C0296"/>
    <w:lvl w:ilvl="0" w:tplc="ECA6328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27A80"/>
    <w:multiLevelType w:val="hybridMultilevel"/>
    <w:tmpl w:val="C480D92E"/>
    <w:lvl w:ilvl="0" w:tplc="93BAAA84">
      <w:start w:val="4"/>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15989"/>
    <w:multiLevelType w:val="hybridMultilevel"/>
    <w:tmpl w:val="5B007748"/>
    <w:lvl w:ilvl="0" w:tplc="9412F96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A3C75"/>
    <w:multiLevelType w:val="hybridMultilevel"/>
    <w:tmpl w:val="4934B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6603B"/>
    <w:multiLevelType w:val="hybridMultilevel"/>
    <w:tmpl w:val="1C4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E0585"/>
    <w:multiLevelType w:val="hybridMultilevel"/>
    <w:tmpl w:val="02B2D9BE"/>
    <w:lvl w:ilvl="0" w:tplc="754C431E">
      <w:start w:val="3"/>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30E70"/>
    <w:multiLevelType w:val="hybridMultilevel"/>
    <w:tmpl w:val="58CAC864"/>
    <w:lvl w:ilvl="0" w:tplc="19C852C4">
      <w:start w:val="7"/>
      <w:numFmt w:val="upperLetter"/>
      <w:lvlText w:val="(%1)"/>
      <w:lvlJc w:val="left"/>
      <w:pPr>
        <w:ind w:left="1890" w:hanging="180"/>
      </w:pPr>
      <w:rPr>
        <w:rFonts w:hint="default"/>
        <w:strike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19F3266"/>
    <w:multiLevelType w:val="hybridMultilevel"/>
    <w:tmpl w:val="D6424BF6"/>
    <w:lvl w:ilvl="0" w:tplc="455C6A7C">
      <w:start w:val="1"/>
      <w:numFmt w:val="upperLetter"/>
      <w:lvlText w:val="%1."/>
      <w:lvlJc w:val="left"/>
      <w:pPr>
        <w:ind w:left="720" w:hanging="360"/>
      </w:pPr>
      <w:rPr>
        <w:b/>
        <w:bCs w:val="0"/>
      </w:rPr>
    </w:lvl>
    <w:lvl w:ilvl="1" w:tplc="0409000F">
      <w:start w:val="1"/>
      <w:numFmt w:val="decimal"/>
      <w:lvlText w:val="%2."/>
      <w:lvlJc w:val="left"/>
      <w:pPr>
        <w:ind w:left="1440" w:hanging="360"/>
      </w:pPr>
      <w:rPr>
        <w:b/>
        <w:bCs/>
      </w:rPr>
    </w:lvl>
    <w:lvl w:ilvl="2" w:tplc="AC42F83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077F8"/>
    <w:multiLevelType w:val="hybridMultilevel"/>
    <w:tmpl w:val="BA04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0471F"/>
    <w:multiLevelType w:val="hybridMultilevel"/>
    <w:tmpl w:val="62D4F122"/>
    <w:lvl w:ilvl="0" w:tplc="BCDE3A64">
      <w:start w:val="5"/>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950EA"/>
    <w:multiLevelType w:val="hybridMultilevel"/>
    <w:tmpl w:val="B0564D3C"/>
    <w:lvl w:ilvl="0" w:tplc="FFFFFFFF">
      <w:numFmt w:val="decimal"/>
      <w:lvlText w:val=""/>
      <w:lvlJc w:val="left"/>
    </w:lvl>
    <w:lvl w:ilvl="1" w:tplc="FFFFFFFF">
      <w:start w:val="1"/>
      <w:numFmt w:val="decimal"/>
      <w:lvlText w:val="(%2)"/>
      <w:lvlJc w:val="left"/>
      <w:pPr>
        <w:ind w:left="1440" w:hanging="360"/>
      </w:pPr>
    </w:lvl>
    <w:lvl w:ilvl="2" w:tplc="FFFFFFFF">
      <w:start w:val="1"/>
      <w:numFmt w:val="upperLetter"/>
      <w:lvlText w:val="(%3)"/>
      <w:lvlJc w:val="left"/>
      <w:pPr>
        <w:ind w:left="2160" w:hanging="180"/>
      </w:pPr>
    </w:lvl>
    <w:lvl w:ilvl="3" w:tplc="BC965232">
      <w:start w:val="1"/>
      <w:numFmt w:val="lowerRoman"/>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9E3698"/>
    <w:multiLevelType w:val="hybridMultilevel"/>
    <w:tmpl w:val="6A98A752"/>
    <w:lvl w:ilvl="0" w:tplc="149ACDA4">
      <w:start w:val="1"/>
      <w:numFmt w:val="lowerLetter"/>
      <w:lvlText w:val="(%1)"/>
      <w:lvlJc w:val="left"/>
      <w:pPr>
        <w:ind w:left="1080" w:hanging="360"/>
      </w:pPr>
      <w:rPr>
        <w:rFonts w:hint="default"/>
        <w:u w:val="none"/>
      </w:rPr>
    </w:lvl>
    <w:lvl w:ilvl="1" w:tplc="DFD8F0DE">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AF26BF"/>
    <w:multiLevelType w:val="hybridMultilevel"/>
    <w:tmpl w:val="79645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940F6"/>
    <w:multiLevelType w:val="hybridMultilevel"/>
    <w:tmpl w:val="7CC2C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F24C3"/>
    <w:multiLevelType w:val="hybridMultilevel"/>
    <w:tmpl w:val="FCFE36B8"/>
    <w:lvl w:ilvl="0" w:tplc="CA884796">
      <w:start w:val="9"/>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23436"/>
    <w:multiLevelType w:val="hybridMultilevel"/>
    <w:tmpl w:val="5DC25FD8"/>
    <w:lvl w:ilvl="0" w:tplc="39420F0E">
      <w:start w:val="3"/>
      <w:numFmt w:val="decimal"/>
      <w:lvlText w:val="(%1)"/>
      <w:lvlJc w:val="left"/>
      <w:pPr>
        <w:ind w:left="144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46CC8"/>
    <w:multiLevelType w:val="hybridMultilevel"/>
    <w:tmpl w:val="450EB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E5E21"/>
    <w:multiLevelType w:val="hybridMultilevel"/>
    <w:tmpl w:val="B1F48600"/>
    <w:lvl w:ilvl="0" w:tplc="BC965232">
      <w:start w:val="1"/>
      <w:numFmt w:val="lowerRoman"/>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4D274A0"/>
    <w:multiLevelType w:val="hybridMultilevel"/>
    <w:tmpl w:val="6E6A6C2E"/>
    <w:lvl w:ilvl="0" w:tplc="699AB008">
      <w:numFmt w:val="decimal"/>
      <w:lvlText w:val=""/>
      <w:lvlJc w:val="left"/>
    </w:lvl>
    <w:lvl w:ilvl="1" w:tplc="DFD8F0DE">
      <w:start w:val="1"/>
      <w:numFmt w:val="decimal"/>
      <w:lvlText w:val="(%2)"/>
      <w:lvlJc w:val="left"/>
      <w:pPr>
        <w:ind w:left="1440" w:hanging="360"/>
      </w:pPr>
    </w:lvl>
    <w:lvl w:ilvl="2" w:tplc="465EF95E">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D4763"/>
    <w:multiLevelType w:val="hybridMultilevel"/>
    <w:tmpl w:val="E4E6FD94"/>
    <w:lvl w:ilvl="0" w:tplc="E31AFDF2">
      <w:start w:val="8"/>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C1F47"/>
    <w:multiLevelType w:val="hybridMultilevel"/>
    <w:tmpl w:val="59A69714"/>
    <w:lvl w:ilvl="0" w:tplc="465EF95E">
      <w:start w:val="1"/>
      <w:numFmt w:val="upp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C7ADA"/>
    <w:multiLevelType w:val="hybridMultilevel"/>
    <w:tmpl w:val="EB1E7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1"/>
  </w:num>
  <w:num w:numId="5">
    <w:abstractNumId w:val="26"/>
  </w:num>
  <w:num w:numId="6">
    <w:abstractNumId w:val="15"/>
  </w:num>
  <w:num w:numId="7">
    <w:abstractNumId w:val="10"/>
  </w:num>
  <w:num w:numId="8">
    <w:abstractNumId w:val="2"/>
  </w:num>
  <w:num w:numId="9">
    <w:abstractNumId w:val="21"/>
  </w:num>
  <w:num w:numId="10">
    <w:abstractNumId w:val="24"/>
  </w:num>
  <w:num w:numId="11">
    <w:abstractNumId w:val="29"/>
  </w:num>
  <w:num w:numId="12">
    <w:abstractNumId w:val="11"/>
  </w:num>
  <w:num w:numId="13">
    <w:abstractNumId w:val="20"/>
  </w:num>
  <w:num w:numId="14">
    <w:abstractNumId w:val="7"/>
  </w:num>
  <w:num w:numId="15">
    <w:abstractNumId w:val="8"/>
  </w:num>
  <w:num w:numId="16">
    <w:abstractNumId w:val="22"/>
  </w:num>
  <w:num w:numId="17">
    <w:abstractNumId w:val="18"/>
  </w:num>
  <w:num w:numId="18">
    <w:abstractNumId w:val="4"/>
  </w:num>
  <w:num w:numId="19">
    <w:abstractNumId w:val="25"/>
  </w:num>
  <w:num w:numId="20">
    <w:abstractNumId w:val="5"/>
  </w:num>
  <w:num w:numId="21">
    <w:abstractNumId w:val="14"/>
  </w:num>
  <w:num w:numId="22">
    <w:abstractNumId w:val="6"/>
  </w:num>
  <w:num w:numId="23">
    <w:abstractNumId w:val="27"/>
  </w:num>
  <w:num w:numId="24">
    <w:abstractNumId w:val="9"/>
  </w:num>
  <w:num w:numId="25">
    <w:abstractNumId w:val="0"/>
  </w:num>
  <w:num w:numId="26">
    <w:abstractNumId w:val="16"/>
  </w:num>
  <w:num w:numId="27">
    <w:abstractNumId w:val="23"/>
  </w:num>
  <w:num w:numId="28">
    <w:abstractNumId w:val="28"/>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formatting="1" w:enforcement="1" w:cryptProviderType="rsaAES" w:cryptAlgorithmClass="hash" w:cryptAlgorithmType="typeAny" w:cryptAlgorithmSid="14" w:cryptSpinCount="100000" w:hash="0gIEI47TDFjlniWzn5QmDgySPHUlQ7EzC0TDUCxuQ6xUNCQta5tn8ffneRVmjSw//p8XMkkrz3N9G0Pnww3glw==" w:salt="uWTSVKGSD473N6otM9eyaQ=="/>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46"/>
    <w:rsid w:val="00027D49"/>
    <w:rsid w:val="00034906"/>
    <w:rsid w:val="00046C46"/>
    <w:rsid w:val="000470B5"/>
    <w:rsid w:val="00047366"/>
    <w:rsid w:val="000541D4"/>
    <w:rsid w:val="00061A66"/>
    <w:rsid w:val="0006560A"/>
    <w:rsid w:val="00067076"/>
    <w:rsid w:val="00072FB6"/>
    <w:rsid w:val="000A250F"/>
    <w:rsid w:val="000A46BE"/>
    <w:rsid w:val="000B1615"/>
    <w:rsid w:val="000B7E64"/>
    <w:rsid w:val="000C0948"/>
    <w:rsid w:val="000C0B1A"/>
    <w:rsid w:val="000C6468"/>
    <w:rsid w:val="000D006A"/>
    <w:rsid w:val="000D0AA0"/>
    <w:rsid w:val="000D18BA"/>
    <w:rsid w:val="000D529C"/>
    <w:rsid w:val="000E3D45"/>
    <w:rsid w:val="000E3FFB"/>
    <w:rsid w:val="000E64BF"/>
    <w:rsid w:val="000F1924"/>
    <w:rsid w:val="00107439"/>
    <w:rsid w:val="00113EB3"/>
    <w:rsid w:val="00114DD9"/>
    <w:rsid w:val="00116907"/>
    <w:rsid w:val="001253C7"/>
    <w:rsid w:val="00126DA7"/>
    <w:rsid w:val="001279D6"/>
    <w:rsid w:val="00132E60"/>
    <w:rsid w:val="00140CC3"/>
    <w:rsid w:val="00144AC4"/>
    <w:rsid w:val="001460B0"/>
    <w:rsid w:val="001516D7"/>
    <w:rsid w:val="001555F5"/>
    <w:rsid w:val="00163C20"/>
    <w:rsid w:val="00173DC7"/>
    <w:rsid w:val="001875EC"/>
    <w:rsid w:val="001918F1"/>
    <w:rsid w:val="001952A5"/>
    <w:rsid w:val="001A371A"/>
    <w:rsid w:val="001A4191"/>
    <w:rsid w:val="001A4D72"/>
    <w:rsid w:val="001A6228"/>
    <w:rsid w:val="001B5D20"/>
    <w:rsid w:val="001B6850"/>
    <w:rsid w:val="001C14E7"/>
    <w:rsid w:val="001C227C"/>
    <w:rsid w:val="001C4B7A"/>
    <w:rsid w:val="001C5A5D"/>
    <w:rsid w:val="001D4BE3"/>
    <w:rsid w:val="001D69D6"/>
    <w:rsid w:val="001E1D10"/>
    <w:rsid w:val="001E44EB"/>
    <w:rsid w:val="00203BF9"/>
    <w:rsid w:val="002114EC"/>
    <w:rsid w:val="00213FE4"/>
    <w:rsid w:val="002152F6"/>
    <w:rsid w:val="002174A6"/>
    <w:rsid w:val="00225E91"/>
    <w:rsid w:val="0022662C"/>
    <w:rsid w:val="00226B43"/>
    <w:rsid w:val="00242B62"/>
    <w:rsid w:val="00243B0F"/>
    <w:rsid w:val="00244341"/>
    <w:rsid w:val="00267EA8"/>
    <w:rsid w:val="00281E7B"/>
    <w:rsid w:val="00284883"/>
    <w:rsid w:val="00294C11"/>
    <w:rsid w:val="00296296"/>
    <w:rsid w:val="002A1FCB"/>
    <w:rsid w:val="002A57F7"/>
    <w:rsid w:val="002C4F86"/>
    <w:rsid w:val="002C5A90"/>
    <w:rsid w:val="002C7B5A"/>
    <w:rsid w:val="002D756B"/>
    <w:rsid w:val="002E2F76"/>
    <w:rsid w:val="002E4463"/>
    <w:rsid w:val="002E49A9"/>
    <w:rsid w:val="002F0AC0"/>
    <w:rsid w:val="002F43AF"/>
    <w:rsid w:val="002F750C"/>
    <w:rsid w:val="00307D53"/>
    <w:rsid w:val="00311AA4"/>
    <w:rsid w:val="0031721D"/>
    <w:rsid w:val="0032018B"/>
    <w:rsid w:val="003222A6"/>
    <w:rsid w:val="00330929"/>
    <w:rsid w:val="003322CD"/>
    <w:rsid w:val="00333188"/>
    <w:rsid w:val="003332D1"/>
    <w:rsid w:val="0034355A"/>
    <w:rsid w:val="00345356"/>
    <w:rsid w:val="00352E52"/>
    <w:rsid w:val="003772FD"/>
    <w:rsid w:val="00383B5B"/>
    <w:rsid w:val="00386ABE"/>
    <w:rsid w:val="0039088D"/>
    <w:rsid w:val="003A186B"/>
    <w:rsid w:val="003A3A8C"/>
    <w:rsid w:val="003B26A9"/>
    <w:rsid w:val="003B3AC6"/>
    <w:rsid w:val="003C516E"/>
    <w:rsid w:val="003D0743"/>
    <w:rsid w:val="003D0E9C"/>
    <w:rsid w:val="003D4730"/>
    <w:rsid w:val="003D4E7D"/>
    <w:rsid w:val="003D5964"/>
    <w:rsid w:val="003D6470"/>
    <w:rsid w:val="003D793F"/>
    <w:rsid w:val="003E261E"/>
    <w:rsid w:val="003E4F58"/>
    <w:rsid w:val="003E6FD7"/>
    <w:rsid w:val="003F23C6"/>
    <w:rsid w:val="004070DB"/>
    <w:rsid w:val="00415A88"/>
    <w:rsid w:val="0042151B"/>
    <w:rsid w:val="00422E07"/>
    <w:rsid w:val="00436101"/>
    <w:rsid w:val="004512AC"/>
    <w:rsid w:val="00452B90"/>
    <w:rsid w:val="0045379F"/>
    <w:rsid w:val="00453FD0"/>
    <w:rsid w:val="0045682A"/>
    <w:rsid w:val="00460079"/>
    <w:rsid w:val="0046186E"/>
    <w:rsid w:val="00461AFE"/>
    <w:rsid w:val="004676FA"/>
    <w:rsid w:val="0046788E"/>
    <w:rsid w:val="0048030D"/>
    <w:rsid w:val="00485239"/>
    <w:rsid w:val="0048691B"/>
    <w:rsid w:val="00497FA2"/>
    <w:rsid w:val="004A21ED"/>
    <w:rsid w:val="004A78F5"/>
    <w:rsid w:val="004B0B68"/>
    <w:rsid w:val="004B0D75"/>
    <w:rsid w:val="004B69A8"/>
    <w:rsid w:val="004B6DBF"/>
    <w:rsid w:val="004C7ED8"/>
    <w:rsid w:val="004E0391"/>
    <w:rsid w:val="00502A57"/>
    <w:rsid w:val="0050324E"/>
    <w:rsid w:val="00505C81"/>
    <w:rsid w:val="00523B95"/>
    <w:rsid w:val="00524889"/>
    <w:rsid w:val="005303C1"/>
    <w:rsid w:val="00530DBF"/>
    <w:rsid w:val="00531E61"/>
    <w:rsid w:val="005335AE"/>
    <w:rsid w:val="005342B4"/>
    <w:rsid w:val="00536F34"/>
    <w:rsid w:val="005426D4"/>
    <w:rsid w:val="005454F8"/>
    <w:rsid w:val="0055376A"/>
    <w:rsid w:val="0055594D"/>
    <w:rsid w:val="00561EF7"/>
    <w:rsid w:val="00575393"/>
    <w:rsid w:val="00577B92"/>
    <w:rsid w:val="00580715"/>
    <w:rsid w:val="0058126E"/>
    <w:rsid w:val="005818FD"/>
    <w:rsid w:val="00581F2F"/>
    <w:rsid w:val="0058331F"/>
    <w:rsid w:val="00586AD2"/>
    <w:rsid w:val="00587507"/>
    <w:rsid w:val="00590B8A"/>
    <w:rsid w:val="00595624"/>
    <w:rsid w:val="00595A68"/>
    <w:rsid w:val="005978E6"/>
    <w:rsid w:val="005A08AB"/>
    <w:rsid w:val="005B1BB2"/>
    <w:rsid w:val="005B31B4"/>
    <w:rsid w:val="005B3E62"/>
    <w:rsid w:val="005C075F"/>
    <w:rsid w:val="005C13E2"/>
    <w:rsid w:val="005D0221"/>
    <w:rsid w:val="005D0B40"/>
    <w:rsid w:val="005D3BB9"/>
    <w:rsid w:val="005D5C11"/>
    <w:rsid w:val="005E2D62"/>
    <w:rsid w:val="005E490E"/>
    <w:rsid w:val="005E7294"/>
    <w:rsid w:val="005E7992"/>
    <w:rsid w:val="005F7A80"/>
    <w:rsid w:val="00601E3D"/>
    <w:rsid w:val="0060552F"/>
    <w:rsid w:val="00607EDE"/>
    <w:rsid w:val="006141FF"/>
    <w:rsid w:val="006154D4"/>
    <w:rsid w:val="00624B4C"/>
    <w:rsid w:val="00630852"/>
    <w:rsid w:val="00634E60"/>
    <w:rsid w:val="00654EF0"/>
    <w:rsid w:val="00656E6B"/>
    <w:rsid w:val="00662F8E"/>
    <w:rsid w:val="00666970"/>
    <w:rsid w:val="00674E65"/>
    <w:rsid w:val="00680691"/>
    <w:rsid w:val="00683345"/>
    <w:rsid w:val="00684B58"/>
    <w:rsid w:val="006A56EF"/>
    <w:rsid w:val="006B6B0B"/>
    <w:rsid w:val="006C175A"/>
    <w:rsid w:val="006C28C9"/>
    <w:rsid w:val="006C3A47"/>
    <w:rsid w:val="006C4297"/>
    <w:rsid w:val="006C556C"/>
    <w:rsid w:val="006D0B47"/>
    <w:rsid w:val="006D2AE6"/>
    <w:rsid w:val="006D5A99"/>
    <w:rsid w:val="006D6383"/>
    <w:rsid w:val="006E40FF"/>
    <w:rsid w:val="006F109C"/>
    <w:rsid w:val="00700569"/>
    <w:rsid w:val="007024E1"/>
    <w:rsid w:val="00704ACE"/>
    <w:rsid w:val="00706573"/>
    <w:rsid w:val="00727E97"/>
    <w:rsid w:val="0073087C"/>
    <w:rsid w:val="00731811"/>
    <w:rsid w:val="00751AA5"/>
    <w:rsid w:val="0075638D"/>
    <w:rsid w:val="007601EA"/>
    <w:rsid w:val="00762903"/>
    <w:rsid w:val="007633B1"/>
    <w:rsid w:val="007822A4"/>
    <w:rsid w:val="007851D7"/>
    <w:rsid w:val="00792178"/>
    <w:rsid w:val="00792B92"/>
    <w:rsid w:val="0079543B"/>
    <w:rsid w:val="007960F5"/>
    <w:rsid w:val="007A741F"/>
    <w:rsid w:val="007B26E3"/>
    <w:rsid w:val="007D0349"/>
    <w:rsid w:val="007F44E1"/>
    <w:rsid w:val="007F735C"/>
    <w:rsid w:val="00803980"/>
    <w:rsid w:val="008070E5"/>
    <w:rsid w:val="00810F37"/>
    <w:rsid w:val="00814A7D"/>
    <w:rsid w:val="008245D1"/>
    <w:rsid w:val="00830ECC"/>
    <w:rsid w:val="00843D73"/>
    <w:rsid w:val="00854451"/>
    <w:rsid w:val="008566AF"/>
    <w:rsid w:val="00872CAE"/>
    <w:rsid w:val="00875A04"/>
    <w:rsid w:val="0088086C"/>
    <w:rsid w:val="00880FA4"/>
    <w:rsid w:val="00886C61"/>
    <w:rsid w:val="00894643"/>
    <w:rsid w:val="00897D2B"/>
    <w:rsid w:val="008A21FD"/>
    <w:rsid w:val="008A5C52"/>
    <w:rsid w:val="008B7546"/>
    <w:rsid w:val="008C5B78"/>
    <w:rsid w:val="008D112E"/>
    <w:rsid w:val="008E2C7A"/>
    <w:rsid w:val="008F15ED"/>
    <w:rsid w:val="008F4952"/>
    <w:rsid w:val="008F7D2C"/>
    <w:rsid w:val="009010BC"/>
    <w:rsid w:val="00902594"/>
    <w:rsid w:val="009063D3"/>
    <w:rsid w:val="00912839"/>
    <w:rsid w:val="00920D16"/>
    <w:rsid w:val="00921B24"/>
    <w:rsid w:val="00923F22"/>
    <w:rsid w:val="0093796B"/>
    <w:rsid w:val="009463E2"/>
    <w:rsid w:val="0095327F"/>
    <w:rsid w:val="0095439D"/>
    <w:rsid w:val="0095621B"/>
    <w:rsid w:val="009725DA"/>
    <w:rsid w:val="00974130"/>
    <w:rsid w:val="009927A8"/>
    <w:rsid w:val="00995FA2"/>
    <w:rsid w:val="00996CA9"/>
    <w:rsid w:val="009A4303"/>
    <w:rsid w:val="009A62BF"/>
    <w:rsid w:val="009A6F20"/>
    <w:rsid w:val="009B5999"/>
    <w:rsid w:val="009C5528"/>
    <w:rsid w:val="009C6279"/>
    <w:rsid w:val="009E0E45"/>
    <w:rsid w:val="009E4566"/>
    <w:rsid w:val="009F03A5"/>
    <w:rsid w:val="009F08DF"/>
    <w:rsid w:val="009F7055"/>
    <w:rsid w:val="00A01140"/>
    <w:rsid w:val="00A03DD6"/>
    <w:rsid w:val="00A15454"/>
    <w:rsid w:val="00A157F6"/>
    <w:rsid w:val="00A16E58"/>
    <w:rsid w:val="00A260A9"/>
    <w:rsid w:val="00A267AA"/>
    <w:rsid w:val="00A27E43"/>
    <w:rsid w:val="00A360FD"/>
    <w:rsid w:val="00A36F03"/>
    <w:rsid w:val="00A44108"/>
    <w:rsid w:val="00A61351"/>
    <w:rsid w:val="00A73861"/>
    <w:rsid w:val="00A7721F"/>
    <w:rsid w:val="00A82E3B"/>
    <w:rsid w:val="00A82EDA"/>
    <w:rsid w:val="00A93847"/>
    <w:rsid w:val="00A957E5"/>
    <w:rsid w:val="00AA68C6"/>
    <w:rsid w:val="00AC3C14"/>
    <w:rsid w:val="00AC4196"/>
    <w:rsid w:val="00AC48B0"/>
    <w:rsid w:val="00AC5CCE"/>
    <w:rsid w:val="00AC74D4"/>
    <w:rsid w:val="00AD5D21"/>
    <w:rsid w:val="00AE5F34"/>
    <w:rsid w:val="00AF1446"/>
    <w:rsid w:val="00AF7DE9"/>
    <w:rsid w:val="00B0163A"/>
    <w:rsid w:val="00B0351A"/>
    <w:rsid w:val="00B04E05"/>
    <w:rsid w:val="00B12004"/>
    <w:rsid w:val="00B2247F"/>
    <w:rsid w:val="00B256BD"/>
    <w:rsid w:val="00B25A21"/>
    <w:rsid w:val="00B271DE"/>
    <w:rsid w:val="00B46245"/>
    <w:rsid w:val="00B55797"/>
    <w:rsid w:val="00B72D17"/>
    <w:rsid w:val="00B74475"/>
    <w:rsid w:val="00B77185"/>
    <w:rsid w:val="00B82446"/>
    <w:rsid w:val="00B8337F"/>
    <w:rsid w:val="00B83829"/>
    <w:rsid w:val="00B844B7"/>
    <w:rsid w:val="00B869B4"/>
    <w:rsid w:val="00B93DC6"/>
    <w:rsid w:val="00B945A3"/>
    <w:rsid w:val="00BA0869"/>
    <w:rsid w:val="00BA515B"/>
    <w:rsid w:val="00BB184B"/>
    <w:rsid w:val="00BB44D2"/>
    <w:rsid w:val="00BB646D"/>
    <w:rsid w:val="00BC5BD2"/>
    <w:rsid w:val="00BC72CF"/>
    <w:rsid w:val="00BD1F97"/>
    <w:rsid w:val="00BD4DF2"/>
    <w:rsid w:val="00BD506B"/>
    <w:rsid w:val="00BD70E8"/>
    <w:rsid w:val="00BE5EEB"/>
    <w:rsid w:val="00BE6AA7"/>
    <w:rsid w:val="00BF0081"/>
    <w:rsid w:val="00BF0A06"/>
    <w:rsid w:val="00C11C4B"/>
    <w:rsid w:val="00C36738"/>
    <w:rsid w:val="00C4363E"/>
    <w:rsid w:val="00C5165B"/>
    <w:rsid w:val="00C56455"/>
    <w:rsid w:val="00C5691A"/>
    <w:rsid w:val="00C57A55"/>
    <w:rsid w:val="00C605D7"/>
    <w:rsid w:val="00C72D17"/>
    <w:rsid w:val="00C76C9B"/>
    <w:rsid w:val="00C811D6"/>
    <w:rsid w:val="00C8319F"/>
    <w:rsid w:val="00C85154"/>
    <w:rsid w:val="00C864F2"/>
    <w:rsid w:val="00C9169B"/>
    <w:rsid w:val="00C92AA5"/>
    <w:rsid w:val="00C9435D"/>
    <w:rsid w:val="00CA397A"/>
    <w:rsid w:val="00CA4476"/>
    <w:rsid w:val="00CA55DD"/>
    <w:rsid w:val="00CA65BA"/>
    <w:rsid w:val="00CC665E"/>
    <w:rsid w:val="00CE1254"/>
    <w:rsid w:val="00CE75D5"/>
    <w:rsid w:val="00CF34C9"/>
    <w:rsid w:val="00CF50C6"/>
    <w:rsid w:val="00D00A3A"/>
    <w:rsid w:val="00D014B9"/>
    <w:rsid w:val="00D016E7"/>
    <w:rsid w:val="00D069EE"/>
    <w:rsid w:val="00D16116"/>
    <w:rsid w:val="00D16CDB"/>
    <w:rsid w:val="00D233D6"/>
    <w:rsid w:val="00D27CEF"/>
    <w:rsid w:val="00D30ED9"/>
    <w:rsid w:val="00D33855"/>
    <w:rsid w:val="00D373DF"/>
    <w:rsid w:val="00D41F3B"/>
    <w:rsid w:val="00D42033"/>
    <w:rsid w:val="00D43F6E"/>
    <w:rsid w:val="00D52AE1"/>
    <w:rsid w:val="00D548DF"/>
    <w:rsid w:val="00D57C50"/>
    <w:rsid w:val="00D661E9"/>
    <w:rsid w:val="00D66971"/>
    <w:rsid w:val="00D712D7"/>
    <w:rsid w:val="00D714B8"/>
    <w:rsid w:val="00D74CC8"/>
    <w:rsid w:val="00D825EA"/>
    <w:rsid w:val="00D825ED"/>
    <w:rsid w:val="00D8346C"/>
    <w:rsid w:val="00D8657D"/>
    <w:rsid w:val="00D91202"/>
    <w:rsid w:val="00D976C3"/>
    <w:rsid w:val="00DA5B87"/>
    <w:rsid w:val="00DC1CBE"/>
    <w:rsid w:val="00DC3469"/>
    <w:rsid w:val="00DD12BF"/>
    <w:rsid w:val="00DD1657"/>
    <w:rsid w:val="00DE2623"/>
    <w:rsid w:val="00DE4437"/>
    <w:rsid w:val="00DF0A49"/>
    <w:rsid w:val="00DF4050"/>
    <w:rsid w:val="00DF5762"/>
    <w:rsid w:val="00E0100E"/>
    <w:rsid w:val="00E03248"/>
    <w:rsid w:val="00E039B0"/>
    <w:rsid w:val="00E11DEE"/>
    <w:rsid w:val="00E14B1C"/>
    <w:rsid w:val="00E17B6D"/>
    <w:rsid w:val="00E21723"/>
    <w:rsid w:val="00E21A70"/>
    <w:rsid w:val="00E21B1E"/>
    <w:rsid w:val="00E301B4"/>
    <w:rsid w:val="00E3052E"/>
    <w:rsid w:val="00E47D33"/>
    <w:rsid w:val="00E51397"/>
    <w:rsid w:val="00E5390C"/>
    <w:rsid w:val="00E54C81"/>
    <w:rsid w:val="00E674F5"/>
    <w:rsid w:val="00E705E0"/>
    <w:rsid w:val="00E8164B"/>
    <w:rsid w:val="00E8287B"/>
    <w:rsid w:val="00E93082"/>
    <w:rsid w:val="00E942D3"/>
    <w:rsid w:val="00EA4E02"/>
    <w:rsid w:val="00EA7401"/>
    <w:rsid w:val="00EB193D"/>
    <w:rsid w:val="00EB3AC7"/>
    <w:rsid w:val="00EB562A"/>
    <w:rsid w:val="00EB6EE5"/>
    <w:rsid w:val="00EC5230"/>
    <w:rsid w:val="00EC6513"/>
    <w:rsid w:val="00ED108D"/>
    <w:rsid w:val="00ED1BFF"/>
    <w:rsid w:val="00ED5D65"/>
    <w:rsid w:val="00EE435B"/>
    <w:rsid w:val="00EF12F0"/>
    <w:rsid w:val="00F125FF"/>
    <w:rsid w:val="00F155A8"/>
    <w:rsid w:val="00F30BE0"/>
    <w:rsid w:val="00F3627A"/>
    <w:rsid w:val="00F40502"/>
    <w:rsid w:val="00F40753"/>
    <w:rsid w:val="00F46E7C"/>
    <w:rsid w:val="00F55F97"/>
    <w:rsid w:val="00F84B65"/>
    <w:rsid w:val="00F974DF"/>
    <w:rsid w:val="00FA0E2D"/>
    <w:rsid w:val="00FA0E4C"/>
    <w:rsid w:val="00FA39ED"/>
    <w:rsid w:val="00FA50F0"/>
    <w:rsid w:val="00FC077A"/>
    <w:rsid w:val="00FC4EA0"/>
    <w:rsid w:val="00FD0915"/>
    <w:rsid w:val="00FD23E8"/>
    <w:rsid w:val="00FE1976"/>
    <w:rsid w:val="00FF3BEA"/>
    <w:rsid w:val="00FF6B0A"/>
    <w:rsid w:val="00FF76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C6EFCB"/>
  <w15:docId w15:val="{0C5CDDF8-A6CF-E142-9E1E-C2037201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F1446"/>
    <w:pPr>
      <w:tabs>
        <w:tab w:val="center" w:pos="4320"/>
        <w:tab w:val="right" w:pos="8640"/>
      </w:tabs>
    </w:pPr>
  </w:style>
  <w:style w:type="character" w:customStyle="1" w:styleId="HeaderChar">
    <w:name w:val="Header Char"/>
    <w:basedOn w:val="DefaultParagraphFont"/>
    <w:link w:val="Header"/>
    <w:uiPriority w:val="99"/>
    <w:rsid w:val="00AF1446"/>
  </w:style>
  <w:style w:type="paragraph" w:styleId="Footer">
    <w:name w:val="footer"/>
    <w:basedOn w:val="Normal"/>
    <w:link w:val="FooterChar"/>
    <w:uiPriority w:val="99"/>
    <w:unhideWhenUsed/>
    <w:locked/>
    <w:rsid w:val="00AF1446"/>
    <w:pPr>
      <w:tabs>
        <w:tab w:val="center" w:pos="4320"/>
        <w:tab w:val="right" w:pos="8640"/>
      </w:tabs>
    </w:pPr>
  </w:style>
  <w:style w:type="character" w:customStyle="1" w:styleId="FooterChar">
    <w:name w:val="Footer Char"/>
    <w:basedOn w:val="DefaultParagraphFont"/>
    <w:link w:val="Footer"/>
    <w:uiPriority w:val="99"/>
    <w:rsid w:val="00AF1446"/>
  </w:style>
  <w:style w:type="paragraph" w:styleId="ListParagraph">
    <w:name w:val="List Paragraph"/>
    <w:basedOn w:val="Normal"/>
    <w:link w:val="ListParagraphChar"/>
    <w:uiPriority w:val="34"/>
    <w:qFormat/>
    <w:locked/>
    <w:rsid w:val="00DF5762"/>
    <w:pPr>
      <w:ind w:left="720"/>
      <w:contextualSpacing/>
    </w:pPr>
  </w:style>
  <w:style w:type="paragraph" w:styleId="FootnoteText">
    <w:name w:val="footnote text"/>
    <w:basedOn w:val="Normal"/>
    <w:link w:val="FootnoteTextChar"/>
    <w:uiPriority w:val="99"/>
    <w:unhideWhenUsed/>
    <w:locked/>
    <w:rsid w:val="006B6B0B"/>
  </w:style>
  <w:style w:type="character" w:customStyle="1" w:styleId="FootnoteTextChar">
    <w:name w:val="Footnote Text Char"/>
    <w:basedOn w:val="DefaultParagraphFont"/>
    <w:link w:val="FootnoteText"/>
    <w:uiPriority w:val="99"/>
    <w:rsid w:val="006B6B0B"/>
  </w:style>
  <w:style w:type="character" w:styleId="FootnoteReference">
    <w:name w:val="footnote reference"/>
    <w:basedOn w:val="DefaultParagraphFont"/>
    <w:uiPriority w:val="99"/>
    <w:unhideWhenUsed/>
    <w:locked/>
    <w:rsid w:val="006B6B0B"/>
    <w:rPr>
      <w:vertAlign w:val="superscript"/>
    </w:rPr>
  </w:style>
  <w:style w:type="table" w:styleId="TableGrid">
    <w:name w:val="Table Grid"/>
    <w:basedOn w:val="TableNormal"/>
    <w:uiPriority w:val="59"/>
    <w:locked/>
    <w:rsid w:val="009A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D37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DF"/>
    <w:rPr>
      <w:rFonts w:ascii="Segoe UI" w:hAnsi="Segoe UI" w:cs="Segoe UI"/>
      <w:sz w:val="18"/>
      <w:szCs w:val="18"/>
    </w:rPr>
  </w:style>
  <w:style w:type="character" w:styleId="CommentReference">
    <w:name w:val="annotation reference"/>
    <w:basedOn w:val="DefaultParagraphFont"/>
    <w:uiPriority w:val="99"/>
    <w:semiHidden/>
    <w:unhideWhenUsed/>
    <w:locked/>
    <w:rsid w:val="00BF0A06"/>
    <w:rPr>
      <w:sz w:val="16"/>
      <w:szCs w:val="16"/>
    </w:rPr>
  </w:style>
  <w:style w:type="paragraph" w:styleId="CommentText">
    <w:name w:val="annotation text"/>
    <w:basedOn w:val="Normal"/>
    <w:link w:val="CommentTextChar"/>
    <w:uiPriority w:val="99"/>
    <w:unhideWhenUsed/>
    <w:locked/>
    <w:rsid w:val="00BF0A06"/>
    <w:rPr>
      <w:sz w:val="20"/>
      <w:szCs w:val="20"/>
    </w:rPr>
  </w:style>
  <w:style w:type="character" w:customStyle="1" w:styleId="CommentTextChar">
    <w:name w:val="Comment Text Char"/>
    <w:basedOn w:val="DefaultParagraphFont"/>
    <w:link w:val="CommentText"/>
    <w:uiPriority w:val="99"/>
    <w:rsid w:val="00BF0A06"/>
    <w:rPr>
      <w:sz w:val="20"/>
      <w:szCs w:val="20"/>
    </w:rPr>
  </w:style>
  <w:style w:type="paragraph" w:styleId="CommentSubject">
    <w:name w:val="annotation subject"/>
    <w:basedOn w:val="CommentText"/>
    <w:next w:val="CommentText"/>
    <w:link w:val="CommentSubjectChar"/>
    <w:uiPriority w:val="99"/>
    <w:semiHidden/>
    <w:unhideWhenUsed/>
    <w:locked/>
    <w:rsid w:val="00BF0A06"/>
    <w:rPr>
      <w:b/>
      <w:bCs/>
    </w:rPr>
  </w:style>
  <w:style w:type="character" w:customStyle="1" w:styleId="CommentSubjectChar">
    <w:name w:val="Comment Subject Char"/>
    <w:basedOn w:val="CommentTextChar"/>
    <w:link w:val="CommentSubject"/>
    <w:uiPriority w:val="99"/>
    <w:semiHidden/>
    <w:rsid w:val="00BF0A06"/>
    <w:rPr>
      <w:b/>
      <w:bCs/>
      <w:sz w:val="20"/>
      <w:szCs w:val="20"/>
    </w:rPr>
  </w:style>
  <w:style w:type="character" w:styleId="Hyperlink">
    <w:name w:val="Hyperlink"/>
    <w:basedOn w:val="DefaultParagraphFont"/>
    <w:uiPriority w:val="99"/>
    <w:unhideWhenUsed/>
    <w:locked/>
    <w:rsid w:val="00294C11"/>
    <w:rPr>
      <w:color w:val="0000FF" w:themeColor="hyperlink"/>
      <w:u w:val="single"/>
    </w:rPr>
  </w:style>
  <w:style w:type="character" w:customStyle="1" w:styleId="UnresolvedMention1">
    <w:name w:val="Unresolved Mention1"/>
    <w:basedOn w:val="DefaultParagraphFont"/>
    <w:uiPriority w:val="99"/>
    <w:semiHidden/>
    <w:unhideWhenUsed/>
    <w:locked/>
    <w:rsid w:val="00294C11"/>
    <w:rPr>
      <w:color w:val="605E5C"/>
      <w:shd w:val="clear" w:color="auto" w:fill="E1DFDD"/>
    </w:rPr>
  </w:style>
  <w:style w:type="character" w:customStyle="1" w:styleId="ListParagraphChar">
    <w:name w:val="List Paragraph Char"/>
    <w:basedOn w:val="DefaultParagraphFont"/>
    <w:link w:val="ListParagraph"/>
    <w:uiPriority w:val="34"/>
    <w:rsid w:val="0088086C"/>
  </w:style>
  <w:style w:type="paragraph" w:styleId="Revision">
    <w:name w:val="Revision"/>
    <w:hidden/>
    <w:uiPriority w:val="99"/>
    <w:semiHidden/>
    <w:rsid w:val="00B8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79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ele@competitivepowe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erriam-webster.com/dictionary/threat" TargetMode="External"/><Relationship Id="rId7" Type="http://schemas.openxmlformats.org/officeDocument/2006/relationships/hyperlink" Target="https://training.fema.gov/is/courseoverview.aspx?code=IS-200.c" TargetMode="External"/><Relationship Id="rId2" Type="http://schemas.openxmlformats.org/officeDocument/2006/relationships/hyperlink" Target="https://www.merriam-webster.com/dictionary/hazard" TargetMode="External"/><Relationship Id="rId1" Type="http://schemas.openxmlformats.org/officeDocument/2006/relationships/hyperlink" Target="https://www.sos.texas.gov/texreg/archive/December172021/Proposed%20Rules/16.ECONOMIC%20REGULATION.html" TargetMode="External"/><Relationship Id="rId6" Type="http://schemas.openxmlformats.org/officeDocument/2006/relationships/hyperlink" Target="https://training.fema.gov/is/courseoverview.aspx?code=IS-100.c" TargetMode="External"/><Relationship Id="rId5" Type="http://schemas.openxmlformats.org/officeDocument/2006/relationships/hyperlink" Target="https://training.fema.gov/is/courseoverview.aspx?code=IS-800.d" TargetMode="External"/><Relationship Id="rId4" Type="http://schemas.openxmlformats.org/officeDocument/2006/relationships/hyperlink" Target="https://training.fema.gov/is/courseoverview.aspx?code=IS-70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767E-8A26-4137-A124-CCEF8956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7494</Words>
  <Characters>42718</Characters>
  <Application>Microsoft Office Word</Application>
  <DocSecurity>8</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Shellman</dc:creator>
  <cp:keywords/>
  <dc:description/>
  <cp:lastModifiedBy>Michele Richmond</cp:lastModifiedBy>
  <cp:revision>9</cp:revision>
  <dcterms:created xsi:type="dcterms:W3CDTF">2022-01-04T18:08:00Z</dcterms:created>
  <dcterms:modified xsi:type="dcterms:W3CDTF">2022-01-04T19:51:00Z</dcterms:modified>
</cp:coreProperties>
</file>