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80C2F" w14:textId="694CA72F" w:rsidR="009A62BF" w:rsidRPr="00C36738" w:rsidRDefault="000A46BE" w:rsidP="00E47D33">
      <w:pPr>
        <w:jc w:val="center"/>
        <w:rPr>
          <w:rFonts w:ascii="Times New Roman" w:hAnsi="Times New Roman" w:cs="Times New Roman"/>
        </w:rPr>
      </w:pPr>
      <w:r w:rsidRPr="00C36738">
        <w:rPr>
          <w:rFonts w:ascii="Times New Roman" w:hAnsi="Times New Roman" w:cs="Times New Roman"/>
          <w:b/>
          <w:bCs/>
        </w:rPr>
        <w:t>PROJECT NO. 5</w:t>
      </w:r>
      <w:r w:rsidR="00F43278">
        <w:rPr>
          <w:rFonts w:ascii="Times New Roman" w:hAnsi="Times New Roman" w:cs="Times New Roman"/>
          <w:b/>
          <w:bCs/>
        </w:rPr>
        <w:t>2287</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0A46BE" w:rsidRPr="00C36738" w14:paraId="2DA35ED6" w14:textId="77777777" w:rsidTr="001C5A5D">
        <w:trPr>
          <w:trHeight w:val="1341"/>
        </w:trPr>
        <w:tc>
          <w:tcPr>
            <w:tcW w:w="4230" w:type="dxa"/>
            <w:vAlign w:val="center"/>
          </w:tcPr>
          <w:p w14:paraId="65985F7B" w14:textId="7DA3363B" w:rsidR="000A46BE" w:rsidRPr="00C36738" w:rsidRDefault="005864FF" w:rsidP="001C5A5D">
            <w:pPr>
              <w:rPr>
                <w:rFonts w:ascii="Times New Roman" w:hAnsi="Times New Roman" w:cs="Times New Roman"/>
                <w:b/>
                <w:bCs/>
              </w:rPr>
            </w:pPr>
            <w:r>
              <w:rPr>
                <w:rFonts w:ascii="Times New Roman" w:hAnsi="Times New Roman" w:cs="Times New Roman"/>
                <w:b/>
                <w:bCs/>
              </w:rPr>
              <w:t>POWER OUTAGE ALERT CRITERIA</w:t>
            </w:r>
          </w:p>
        </w:tc>
        <w:tc>
          <w:tcPr>
            <w:tcW w:w="720" w:type="dxa"/>
            <w:vAlign w:val="center"/>
          </w:tcPr>
          <w:p w14:paraId="6C106138" w14:textId="77777777" w:rsidR="000A46BE"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5F1E91B9" w14:textId="77777777"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p w14:paraId="0D33AC7C" w14:textId="32C95AB9" w:rsidR="001C5A5D" w:rsidRPr="00C36738" w:rsidRDefault="001C5A5D" w:rsidP="001C5A5D">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431DE9DD" w14:textId="1D45B606"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BEFORE THE</w:t>
            </w:r>
          </w:p>
          <w:p w14:paraId="6DA18CCA"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PUBLIC UTILITY COMMISSION</w:t>
            </w:r>
          </w:p>
          <w:p w14:paraId="69A3027D" w14:textId="77777777" w:rsidR="000A46BE" w:rsidRPr="00C36738" w:rsidRDefault="000A46BE" w:rsidP="001C5A5D">
            <w:pPr>
              <w:jc w:val="center"/>
              <w:rPr>
                <w:rFonts w:ascii="Times New Roman" w:hAnsi="Times New Roman" w:cs="Times New Roman"/>
                <w:b/>
                <w:bCs/>
              </w:rPr>
            </w:pPr>
            <w:r w:rsidRPr="00C36738">
              <w:rPr>
                <w:rFonts w:ascii="Times New Roman" w:hAnsi="Times New Roman" w:cs="Times New Roman"/>
                <w:b/>
                <w:bCs/>
              </w:rPr>
              <w:t>OF TEXAS</w:t>
            </w:r>
          </w:p>
        </w:tc>
      </w:tr>
    </w:tbl>
    <w:p w14:paraId="6F7A0105" w14:textId="77777777" w:rsidR="00AF1446" w:rsidRPr="00C36738" w:rsidRDefault="009A62BF" w:rsidP="009A62BF">
      <w:pPr>
        <w:ind w:hanging="450"/>
        <w:rPr>
          <w:rFonts w:ascii="Times New Roman" w:hAnsi="Times New Roman" w:cs="Times New Roman"/>
        </w:rPr>
      </w:pPr>
      <w:r w:rsidRPr="00C36738">
        <w:rPr>
          <w:rFonts w:ascii="Times New Roman" w:hAnsi="Times New Roman" w:cs="Times New Roman"/>
          <w:b/>
          <w:bCs/>
        </w:rPr>
        <w:tab/>
      </w:r>
    </w:p>
    <w:p w14:paraId="12A61059" w14:textId="048509F5" w:rsidR="003D4730" w:rsidRPr="00C36738" w:rsidRDefault="003D4730" w:rsidP="002C7B5A">
      <w:pPr>
        <w:rPr>
          <w:rFonts w:ascii="Times New Roman" w:hAnsi="Times New Roman" w:cs="Times New Roman"/>
          <w:u w:val="single"/>
        </w:rPr>
      </w:pPr>
    </w:p>
    <w:p w14:paraId="36860F62" w14:textId="0773446B" w:rsidR="00AF1446" w:rsidRPr="00C36738" w:rsidRDefault="00DF5762" w:rsidP="00AF1446">
      <w:pPr>
        <w:jc w:val="center"/>
        <w:rPr>
          <w:rFonts w:ascii="Times New Roman" w:hAnsi="Times New Roman" w:cs="Times New Roman"/>
          <w:b/>
          <w:bCs/>
          <w:u w:val="single"/>
        </w:rPr>
      </w:pPr>
      <w:r w:rsidRPr="00C36738">
        <w:rPr>
          <w:rFonts w:ascii="Times New Roman" w:hAnsi="Times New Roman" w:cs="Times New Roman"/>
          <w:b/>
          <w:bCs/>
          <w:u w:val="single"/>
        </w:rPr>
        <w:t xml:space="preserve">COMMENTS OF </w:t>
      </w:r>
      <w:r w:rsidR="006141FF">
        <w:rPr>
          <w:rFonts w:ascii="Times New Roman" w:hAnsi="Times New Roman" w:cs="Times New Roman"/>
          <w:b/>
          <w:bCs/>
          <w:u w:val="single"/>
        </w:rPr>
        <w:t>T</w:t>
      </w:r>
      <w:r w:rsidR="00792B92">
        <w:rPr>
          <w:rFonts w:ascii="Times New Roman" w:hAnsi="Times New Roman" w:cs="Times New Roman"/>
          <w:b/>
          <w:bCs/>
          <w:u w:val="single"/>
        </w:rPr>
        <w:t>EXAS</w:t>
      </w:r>
      <w:r w:rsidR="00EB3AC7">
        <w:rPr>
          <w:rFonts w:ascii="Times New Roman" w:hAnsi="Times New Roman" w:cs="Times New Roman"/>
          <w:b/>
          <w:bCs/>
          <w:u w:val="single"/>
        </w:rPr>
        <w:t xml:space="preserve"> </w:t>
      </w:r>
      <w:r w:rsidR="006141FF">
        <w:rPr>
          <w:rFonts w:ascii="Times New Roman" w:hAnsi="Times New Roman" w:cs="Times New Roman"/>
          <w:b/>
          <w:bCs/>
          <w:u w:val="single"/>
        </w:rPr>
        <w:t>C</w:t>
      </w:r>
      <w:r w:rsidR="00792B92">
        <w:rPr>
          <w:rFonts w:ascii="Times New Roman" w:hAnsi="Times New Roman" w:cs="Times New Roman"/>
          <w:b/>
          <w:bCs/>
          <w:u w:val="single"/>
        </w:rPr>
        <w:t>OMPETITIVE</w:t>
      </w:r>
      <w:r w:rsidR="00EB3AC7">
        <w:rPr>
          <w:rFonts w:ascii="Times New Roman" w:hAnsi="Times New Roman" w:cs="Times New Roman"/>
          <w:b/>
          <w:bCs/>
          <w:u w:val="single"/>
        </w:rPr>
        <w:t xml:space="preserve"> </w:t>
      </w:r>
      <w:r w:rsidR="006141FF">
        <w:rPr>
          <w:rFonts w:ascii="Times New Roman" w:hAnsi="Times New Roman" w:cs="Times New Roman"/>
          <w:b/>
          <w:bCs/>
          <w:u w:val="single"/>
        </w:rPr>
        <w:t>P</w:t>
      </w:r>
      <w:r w:rsidR="00792B92">
        <w:rPr>
          <w:rFonts w:ascii="Times New Roman" w:hAnsi="Times New Roman" w:cs="Times New Roman"/>
          <w:b/>
          <w:bCs/>
          <w:u w:val="single"/>
        </w:rPr>
        <w:t>OWER</w:t>
      </w:r>
      <w:r w:rsidR="00EB3AC7">
        <w:rPr>
          <w:rFonts w:ascii="Times New Roman" w:hAnsi="Times New Roman" w:cs="Times New Roman"/>
          <w:b/>
          <w:bCs/>
          <w:u w:val="single"/>
        </w:rPr>
        <w:t xml:space="preserve"> </w:t>
      </w:r>
      <w:r w:rsidR="006141FF">
        <w:rPr>
          <w:rFonts w:ascii="Times New Roman" w:hAnsi="Times New Roman" w:cs="Times New Roman"/>
          <w:b/>
          <w:bCs/>
          <w:u w:val="single"/>
        </w:rPr>
        <w:t>A</w:t>
      </w:r>
      <w:r w:rsidR="00792B92">
        <w:rPr>
          <w:rFonts w:ascii="Times New Roman" w:hAnsi="Times New Roman" w:cs="Times New Roman"/>
          <w:b/>
          <w:bCs/>
          <w:u w:val="single"/>
        </w:rPr>
        <w:t>DVOCATES</w:t>
      </w:r>
    </w:p>
    <w:p w14:paraId="6F8CE8E1" w14:textId="77777777" w:rsidR="00460079" w:rsidRPr="00C36738" w:rsidRDefault="00460079" w:rsidP="00AF1446">
      <w:pPr>
        <w:jc w:val="center"/>
        <w:rPr>
          <w:rFonts w:ascii="Times New Roman" w:hAnsi="Times New Roman" w:cs="Times New Roman"/>
          <w:u w:val="single"/>
        </w:rPr>
      </w:pPr>
    </w:p>
    <w:p w14:paraId="5008F21A" w14:textId="0BCEF754" w:rsidR="00AF1446" w:rsidRPr="00C36738" w:rsidRDefault="00AF1446" w:rsidP="00AF1446">
      <w:pPr>
        <w:jc w:val="both"/>
        <w:rPr>
          <w:rFonts w:ascii="Times New Roman" w:hAnsi="Times New Roman" w:cs="Times New Roman"/>
        </w:rPr>
      </w:pPr>
      <w:r w:rsidRPr="00C36738">
        <w:rPr>
          <w:rFonts w:ascii="Times New Roman" w:hAnsi="Times New Roman" w:cs="Times New Roman"/>
        </w:rPr>
        <w:t>TO THE PUBLIC UTILITY COMMISSION OF TEXAS:</w:t>
      </w:r>
    </w:p>
    <w:p w14:paraId="1DF30119" w14:textId="77777777" w:rsidR="00460079" w:rsidRPr="00C36738" w:rsidRDefault="00460079" w:rsidP="00AF1446">
      <w:pPr>
        <w:jc w:val="both"/>
        <w:rPr>
          <w:rFonts w:ascii="Times New Roman" w:hAnsi="Times New Roman" w:cs="Times New Roman"/>
        </w:rPr>
      </w:pPr>
    </w:p>
    <w:p w14:paraId="023C9E93" w14:textId="7763430D" w:rsidR="00AF1446" w:rsidRDefault="00AF1446" w:rsidP="00E51397">
      <w:pPr>
        <w:spacing w:line="480" w:lineRule="auto"/>
        <w:jc w:val="both"/>
        <w:rPr>
          <w:rFonts w:ascii="Times New Roman" w:hAnsi="Times New Roman" w:cs="Times New Roman"/>
        </w:rPr>
      </w:pPr>
      <w:r w:rsidRPr="00C36738">
        <w:rPr>
          <w:rFonts w:ascii="Times New Roman" w:hAnsi="Times New Roman" w:cs="Times New Roman"/>
        </w:rPr>
        <w:tab/>
      </w:r>
      <w:r w:rsidR="006141FF">
        <w:rPr>
          <w:rFonts w:ascii="Times New Roman" w:hAnsi="Times New Roman" w:cs="Times New Roman"/>
        </w:rPr>
        <w:t>Texas Competitive Power Advocates</w:t>
      </w:r>
      <w:r w:rsidR="00D30ED9">
        <w:rPr>
          <w:rFonts w:ascii="Times New Roman" w:hAnsi="Times New Roman" w:cs="Times New Roman"/>
        </w:rPr>
        <w:t xml:space="preserve"> (</w:t>
      </w:r>
      <w:r w:rsidR="006141FF">
        <w:rPr>
          <w:rFonts w:ascii="Times New Roman" w:hAnsi="Times New Roman" w:cs="Times New Roman"/>
        </w:rPr>
        <w:t>TCPA</w:t>
      </w:r>
      <w:r w:rsidR="00D30ED9">
        <w:rPr>
          <w:rFonts w:ascii="Times New Roman" w:hAnsi="Times New Roman" w:cs="Times New Roman"/>
        </w:rPr>
        <w:t>)</w:t>
      </w:r>
      <w:r w:rsidRPr="00C36738">
        <w:rPr>
          <w:rFonts w:ascii="Times New Roman" w:hAnsi="Times New Roman" w:cs="Times New Roman"/>
        </w:rPr>
        <w:t xml:space="preserve"> </w:t>
      </w:r>
      <w:r w:rsidR="00F30BE0" w:rsidRPr="00C36738">
        <w:rPr>
          <w:rFonts w:ascii="Times New Roman" w:hAnsi="Times New Roman" w:cs="Times New Roman"/>
        </w:rPr>
        <w:t xml:space="preserve">submits </w:t>
      </w:r>
      <w:r w:rsidRPr="00C36738">
        <w:rPr>
          <w:rFonts w:ascii="Times New Roman" w:hAnsi="Times New Roman" w:cs="Times New Roman"/>
        </w:rPr>
        <w:t xml:space="preserve">the following comments concerning </w:t>
      </w:r>
      <w:r w:rsidR="006B6B0B" w:rsidRPr="00C36738">
        <w:rPr>
          <w:rFonts w:ascii="Times New Roman" w:hAnsi="Times New Roman" w:cs="Times New Roman"/>
        </w:rPr>
        <w:t xml:space="preserve">proposed </w:t>
      </w:r>
      <w:r w:rsidRPr="00C36738">
        <w:rPr>
          <w:rFonts w:ascii="Times New Roman" w:hAnsi="Times New Roman" w:cs="Times New Roman"/>
        </w:rPr>
        <w:t xml:space="preserve">new 16 </w:t>
      </w:r>
      <w:r w:rsidR="00DF5762" w:rsidRPr="00C36738">
        <w:rPr>
          <w:rFonts w:ascii="Times New Roman" w:hAnsi="Times New Roman" w:cs="Times New Roman"/>
        </w:rPr>
        <w:t>Tex</w:t>
      </w:r>
      <w:r w:rsidR="00923F22" w:rsidRPr="00C36738">
        <w:rPr>
          <w:rFonts w:ascii="Times New Roman" w:hAnsi="Times New Roman" w:cs="Times New Roman"/>
        </w:rPr>
        <w:t>.</w:t>
      </w:r>
      <w:r w:rsidR="00DF5762" w:rsidRPr="00C36738">
        <w:rPr>
          <w:rFonts w:ascii="Times New Roman" w:hAnsi="Times New Roman" w:cs="Times New Roman"/>
        </w:rPr>
        <w:t xml:space="preserve"> Admin</w:t>
      </w:r>
      <w:r w:rsidR="00923F22" w:rsidRPr="00C36738">
        <w:rPr>
          <w:rFonts w:ascii="Times New Roman" w:hAnsi="Times New Roman" w:cs="Times New Roman"/>
        </w:rPr>
        <w:t>.</w:t>
      </w:r>
      <w:r w:rsidR="00DF5762" w:rsidRPr="00C36738">
        <w:rPr>
          <w:rFonts w:ascii="Times New Roman" w:hAnsi="Times New Roman" w:cs="Times New Roman"/>
        </w:rPr>
        <w:t xml:space="preserve"> Code (</w:t>
      </w:r>
      <w:r w:rsidRPr="00C36738">
        <w:rPr>
          <w:rFonts w:ascii="Times New Roman" w:hAnsi="Times New Roman" w:cs="Times New Roman"/>
        </w:rPr>
        <w:t>TAC</w:t>
      </w:r>
      <w:r w:rsidR="00DF5762" w:rsidRPr="00C36738">
        <w:rPr>
          <w:rFonts w:ascii="Times New Roman" w:hAnsi="Times New Roman" w:cs="Times New Roman"/>
        </w:rPr>
        <w:t>)</w:t>
      </w:r>
      <w:r w:rsidRPr="00C36738">
        <w:rPr>
          <w:rFonts w:ascii="Times New Roman" w:hAnsi="Times New Roman" w:cs="Times New Roman"/>
        </w:rPr>
        <w:t xml:space="preserve"> § 25</w:t>
      </w:r>
      <w:r w:rsidR="00DF5762" w:rsidRPr="00C36738">
        <w:rPr>
          <w:rFonts w:ascii="Times New Roman" w:hAnsi="Times New Roman" w:cs="Times New Roman"/>
        </w:rPr>
        <w:t>.5</w:t>
      </w:r>
      <w:r w:rsidR="005864FF">
        <w:rPr>
          <w:rFonts w:ascii="Times New Roman" w:hAnsi="Times New Roman" w:cs="Times New Roman"/>
        </w:rPr>
        <w:t>7</w:t>
      </w:r>
      <w:r w:rsidR="00DF5762" w:rsidRPr="00C36738">
        <w:rPr>
          <w:rFonts w:ascii="Times New Roman" w:hAnsi="Times New Roman" w:cs="Times New Roman"/>
        </w:rPr>
        <w:t xml:space="preserve"> relating to </w:t>
      </w:r>
      <w:r w:rsidR="005864FF">
        <w:rPr>
          <w:rFonts w:ascii="Times New Roman" w:hAnsi="Times New Roman" w:cs="Times New Roman"/>
        </w:rPr>
        <w:t>Power Outage Alert Criteria</w:t>
      </w:r>
      <w:r w:rsidR="00DF5762" w:rsidRPr="00C36738">
        <w:rPr>
          <w:rFonts w:ascii="Times New Roman" w:hAnsi="Times New Roman" w:cs="Times New Roman"/>
        </w:rPr>
        <w:t xml:space="preserve">, </w:t>
      </w:r>
      <w:r w:rsidRPr="00C36738">
        <w:rPr>
          <w:rFonts w:ascii="Times New Roman" w:hAnsi="Times New Roman" w:cs="Times New Roman"/>
        </w:rPr>
        <w:t xml:space="preserve">as approved </w:t>
      </w:r>
      <w:r w:rsidR="006B6B0B" w:rsidRPr="00C36738">
        <w:rPr>
          <w:rFonts w:ascii="Times New Roman" w:hAnsi="Times New Roman" w:cs="Times New Roman"/>
        </w:rPr>
        <w:t xml:space="preserve">for publication </w:t>
      </w:r>
      <w:r w:rsidRPr="00C36738">
        <w:rPr>
          <w:rFonts w:ascii="Times New Roman" w:hAnsi="Times New Roman" w:cs="Times New Roman"/>
        </w:rPr>
        <w:t xml:space="preserve">by the </w:t>
      </w:r>
      <w:r w:rsidR="0048030D">
        <w:rPr>
          <w:rFonts w:ascii="Times New Roman" w:hAnsi="Times New Roman" w:cs="Times New Roman"/>
        </w:rPr>
        <w:t>Public Utility Commission of Texas (</w:t>
      </w:r>
      <w:r w:rsidR="00923F22" w:rsidRPr="00C36738">
        <w:rPr>
          <w:rFonts w:ascii="Times New Roman" w:hAnsi="Times New Roman" w:cs="Times New Roman"/>
        </w:rPr>
        <w:t>Commission</w:t>
      </w:r>
      <w:r w:rsidR="0048030D">
        <w:rPr>
          <w:rFonts w:ascii="Times New Roman" w:hAnsi="Times New Roman" w:cs="Times New Roman"/>
        </w:rPr>
        <w:t>)</w:t>
      </w:r>
      <w:r w:rsidR="00923F22" w:rsidRPr="00C36738">
        <w:rPr>
          <w:rFonts w:ascii="Times New Roman" w:hAnsi="Times New Roman" w:cs="Times New Roman"/>
        </w:rPr>
        <w:t xml:space="preserve"> at its</w:t>
      </w:r>
      <w:r w:rsidRPr="00C36738">
        <w:rPr>
          <w:rFonts w:ascii="Times New Roman" w:hAnsi="Times New Roman" w:cs="Times New Roman"/>
        </w:rPr>
        <w:t xml:space="preserve"> </w:t>
      </w:r>
      <w:r w:rsidR="009A1BA2">
        <w:rPr>
          <w:rFonts w:ascii="Times New Roman" w:hAnsi="Times New Roman" w:cs="Times New Roman"/>
        </w:rPr>
        <w:t>December 17</w:t>
      </w:r>
      <w:r w:rsidR="00DF5762" w:rsidRPr="00C36738">
        <w:rPr>
          <w:rFonts w:ascii="Times New Roman" w:hAnsi="Times New Roman" w:cs="Times New Roman"/>
        </w:rPr>
        <w:t xml:space="preserve">, </w:t>
      </w:r>
      <w:proofErr w:type="gramStart"/>
      <w:r w:rsidR="00DF5762" w:rsidRPr="00C36738">
        <w:rPr>
          <w:rFonts w:ascii="Times New Roman" w:hAnsi="Times New Roman" w:cs="Times New Roman"/>
        </w:rPr>
        <w:t>2021</w:t>
      </w:r>
      <w:proofErr w:type="gramEnd"/>
      <w:r w:rsidR="00DF5762" w:rsidRPr="00C36738">
        <w:rPr>
          <w:rFonts w:ascii="Times New Roman" w:hAnsi="Times New Roman" w:cs="Times New Roman"/>
        </w:rPr>
        <w:t xml:space="preserve"> </w:t>
      </w:r>
      <w:r w:rsidR="00D30ED9">
        <w:rPr>
          <w:rFonts w:ascii="Times New Roman" w:hAnsi="Times New Roman" w:cs="Times New Roman"/>
        </w:rPr>
        <w:t>open meeting</w:t>
      </w:r>
      <w:r w:rsidR="00DF5762" w:rsidRPr="00C36738">
        <w:rPr>
          <w:rFonts w:ascii="Times New Roman" w:hAnsi="Times New Roman" w:cs="Times New Roman"/>
        </w:rPr>
        <w:t xml:space="preserve"> and as published in the </w:t>
      </w:r>
      <w:r w:rsidR="00DF5762" w:rsidRPr="00C36738">
        <w:rPr>
          <w:rFonts w:ascii="Times New Roman" w:hAnsi="Times New Roman" w:cs="Times New Roman"/>
          <w:i/>
        </w:rPr>
        <w:t>Texas Register</w:t>
      </w:r>
      <w:r w:rsidR="00DF5762" w:rsidRPr="00C36738">
        <w:rPr>
          <w:rFonts w:ascii="Times New Roman" w:hAnsi="Times New Roman" w:cs="Times New Roman"/>
        </w:rPr>
        <w:t xml:space="preserve"> on </w:t>
      </w:r>
      <w:r w:rsidR="00D30ED9">
        <w:rPr>
          <w:rFonts w:ascii="Times New Roman" w:hAnsi="Times New Roman" w:cs="Times New Roman"/>
        </w:rPr>
        <w:t xml:space="preserve">December </w:t>
      </w:r>
      <w:r w:rsidR="009A1BA2">
        <w:rPr>
          <w:rFonts w:ascii="Times New Roman" w:hAnsi="Times New Roman" w:cs="Times New Roman"/>
        </w:rPr>
        <w:t>31</w:t>
      </w:r>
      <w:r w:rsidR="00DF5762" w:rsidRPr="00C36738">
        <w:rPr>
          <w:rFonts w:ascii="Times New Roman" w:hAnsi="Times New Roman" w:cs="Times New Roman"/>
        </w:rPr>
        <w:t>, 2021.</w:t>
      </w:r>
      <w:r w:rsidR="00D712D7">
        <w:rPr>
          <w:rStyle w:val="FootnoteReference"/>
          <w:rFonts w:ascii="Times New Roman" w:hAnsi="Times New Roman" w:cs="Times New Roman"/>
        </w:rPr>
        <w:footnoteReference w:id="2"/>
      </w:r>
    </w:p>
    <w:p w14:paraId="372F4996" w14:textId="4637DB09" w:rsidR="000C0B1A" w:rsidRDefault="000C0B1A" w:rsidP="000C0B1A">
      <w:pPr>
        <w:spacing w:line="480" w:lineRule="auto"/>
        <w:ind w:firstLine="720"/>
        <w:jc w:val="both"/>
        <w:rPr>
          <w:rFonts w:ascii="Times New Roman" w:hAnsi="Times New Roman" w:cs="Times New Roman"/>
        </w:rPr>
      </w:pPr>
      <w:r w:rsidRPr="002F0AC0">
        <w:rPr>
          <w:rFonts w:ascii="Times New Roman" w:hAnsi="Times New Roman" w:cs="Times New Roman"/>
        </w:rPr>
        <w:t>Texas Competitive Power Advocates (TCPA) is a trade association representing power generation companies and wholesale power marketers with investments in Texas and the Electric Reliability Council of Texas (ERCOT) wholesale electric market. TCPA members</w:t>
      </w:r>
      <w:r w:rsidRPr="002F0AC0">
        <w:rPr>
          <w:rStyle w:val="FootnoteReference"/>
          <w:rFonts w:ascii="Times New Roman" w:hAnsi="Times New Roman" w:cs="Times New Roman"/>
        </w:rPr>
        <w:footnoteReference w:id="3"/>
      </w:r>
      <w:r w:rsidRPr="002F0AC0">
        <w:rPr>
          <w:rFonts w:ascii="Times New Roman" w:hAnsi="Times New Roman" w:cs="Times New Roman"/>
        </w:rPr>
        <w:t xml:space="preserve"> and </w:t>
      </w:r>
      <w:bookmarkStart w:id="0" w:name="_Hlk83381078"/>
      <w:r w:rsidRPr="002F0AC0">
        <w:rPr>
          <w:rFonts w:ascii="Times New Roman" w:hAnsi="Times New Roman" w:cs="Times New Roman"/>
        </w:rPr>
        <w:t>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participating in this filing provide nearly ninety percent (90%) of the non-wind electric generating capacity in ERCOT, representing billions of dollars of investment in the state, and employing thousands of Texans.</w:t>
      </w:r>
      <w:bookmarkEnd w:id="0"/>
    </w:p>
    <w:p w14:paraId="67DAD4B0" w14:textId="77777777" w:rsidR="00792B92" w:rsidRPr="00792B92" w:rsidRDefault="00792B92" w:rsidP="000C0B1A">
      <w:pPr>
        <w:spacing w:line="480" w:lineRule="auto"/>
        <w:ind w:firstLine="720"/>
        <w:jc w:val="both"/>
        <w:rPr>
          <w:rFonts w:ascii="Times New Roman" w:hAnsi="Times New Roman" w:cs="Times New Roman"/>
        </w:rPr>
      </w:pPr>
    </w:p>
    <w:p w14:paraId="1F059C17" w14:textId="77777777" w:rsidR="00620978" w:rsidRDefault="00620978" w:rsidP="00E51397">
      <w:pPr>
        <w:spacing w:line="480" w:lineRule="auto"/>
        <w:jc w:val="center"/>
        <w:rPr>
          <w:rFonts w:ascii="Times New Roman" w:hAnsi="Times New Roman" w:cs="Times New Roman"/>
          <w:b/>
        </w:rPr>
      </w:pPr>
    </w:p>
    <w:p w14:paraId="03DD8EF3" w14:textId="769075D6" w:rsidR="007851D7" w:rsidRPr="00C36738" w:rsidRDefault="007851D7" w:rsidP="00E51397">
      <w:pPr>
        <w:spacing w:line="480" w:lineRule="auto"/>
        <w:jc w:val="center"/>
        <w:rPr>
          <w:rFonts w:ascii="Times New Roman" w:hAnsi="Times New Roman" w:cs="Times New Roman"/>
          <w:b/>
        </w:rPr>
      </w:pPr>
      <w:r w:rsidRPr="00C36738">
        <w:rPr>
          <w:rFonts w:ascii="Times New Roman" w:hAnsi="Times New Roman" w:cs="Times New Roman"/>
          <w:b/>
        </w:rPr>
        <w:lastRenderedPageBreak/>
        <w:t>I.</w:t>
      </w:r>
      <w:r w:rsidR="00B0163A" w:rsidRPr="00C36738">
        <w:rPr>
          <w:rFonts w:ascii="Times New Roman" w:hAnsi="Times New Roman" w:cs="Times New Roman"/>
          <w:b/>
        </w:rPr>
        <w:t xml:space="preserve"> </w:t>
      </w:r>
      <w:r w:rsidR="0048030D">
        <w:rPr>
          <w:rFonts w:ascii="Times New Roman" w:hAnsi="Times New Roman" w:cs="Times New Roman"/>
          <w:b/>
        </w:rPr>
        <w:t xml:space="preserve">General </w:t>
      </w:r>
      <w:r w:rsidR="00E14B1C" w:rsidRPr="00C36738">
        <w:rPr>
          <w:rFonts w:ascii="Times New Roman" w:hAnsi="Times New Roman" w:cs="Times New Roman"/>
          <w:b/>
        </w:rPr>
        <w:t>Comments</w:t>
      </w:r>
    </w:p>
    <w:p w14:paraId="25A79EA5" w14:textId="62339FEF" w:rsidR="00047366" w:rsidRDefault="0048030D" w:rsidP="00E51397">
      <w:pPr>
        <w:spacing w:line="480" w:lineRule="auto"/>
        <w:jc w:val="both"/>
        <w:rPr>
          <w:rFonts w:ascii="Times New Roman" w:hAnsi="Times New Roman" w:cs="Times New Roman"/>
          <w:bCs/>
        </w:rPr>
      </w:pPr>
      <w:r>
        <w:rPr>
          <w:rFonts w:ascii="Times New Roman" w:hAnsi="Times New Roman" w:cs="Times New Roman"/>
          <w:bCs/>
        </w:rPr>
        <w:tab/>
      </w:r>
      <w:r w:rsidR="006141FF">
        <w:rPr>
          <w:rFonts w:ascii="Times New Roman" w:hAnsi="Times New Roman" w:cs="Times New Roman"/>
          <w:bCs/>
        </w:rPr>
        <w:t>TCPA</w:t>
      </w:r>
      <w:r w:rsidR="00047366">
        <w:rPr>
          <w:rFonts w:ascii="Times New Roman" w:hAnsi="Times New Roman" w:cs="Times New Roman"/>
          <w:bCs/>
        </w:rPr>
        <w:t xml:space="preserve"> appreciates the Commission’s continued </w:t>
      </w:r>
      <w:r w:rsidR="009A1BA2">
        <w:rPr>
          <w:rFonts w:ascii="Times New Roman" w:hAnsi="Times New Roman" w:cs="Times New Roman"/>
          <w:bCs/>
        </w:rPr>
        <w:t>efforts to better inform the public regarding grid emergencies and potential load shed events. Winter Storm Uri showed the need for a statewide power outage alert system</w:t>
      </w:r>
      <w:r w:rsidR="002C3670">
        <w:rPr>
          <w:rFonts w:ascii="Times New Roman" w:hAnsi="Times New Roman" w:cs="Times New Roman"/>
          <w:bCs/>
        </w:rPr>
        <w:t xml:space="preserve"> that can be directed to the power region experiencing the emergency</w:t>
      </w:r>
      <w:r w:rsidR="009A1BA2">
        <w:rPr>
          <w:rFonts w:ascii="Times New Roman" w:hAnsi="Times New Roman" w:cs="Times New Roman"/>
          <w:bCs/>
        </w:rPr>
        <w:t>, and the proposal for publication balances the importance of informing the public without causing alarm needlessly</w:t>
      </w:r>
      <w:r w:rsidR="00C864F2">
        <w:rPr>
          <w:rFonts w:ascii="Times New Roman" w:hAnsi="Times New Roman" w:cs="Times New Roman"/>
          <w:bCs/>
        </w:rPr>
        <w:t xml:space="preserve">. </w:t>
      </w:r>
      <w:r w:rsidR="002C3670">
        <w:rPr>
          <w:rFonts w:ascii="Times New Roman" w:hAnsi="Times New Roman" w:cs="Times New Roman"/>
          <w:bCs/>
        </w:rPr>
        <w:t>The proposal for publication provides the Commission with appropriate options for informing the public through the Power Outage Alert.</w:t>
      </w:r>
      <w:r w:rsidR="00620978">
        <w:rPr>
          <w:rStyle w:val="FootnoteReference"/>
          <w:rFonts w:ascii="Times New Roman" w:hAnsi="Times New Roman" w:cs="Times New Roman"/>
          <w:bCs/>
        </w:rPr>
        <w:footnoteReference w:id="4"/>
      </w:r>
      <w:r w:rsidR="00C864F2">
        <w:rPr>
          <w:rFonts w:ascii="Times New Roman" w:hAnsi="Times New Roman" w:cs="Times New Roman"/>
          <w:bCs/>
        </w:rPr>
        <w:t xml:space="preserve"> </w:t>
      </w:r>
    </w:p>
    <w:p w14:paraId="18327841" w14:textId="2AD855F1" w:rsidR="00047366" w:rsidRDefault="0048030D" w:rsidP="00620978">
      <w:pPr>
        <w:spacing w:line="480" w:lineRule="auto"/>
        <w:ind w:firstLine="720"/>
        <w:jc w:val="both"/>
        <w:rPr>
          <w:rFonts w:ascii="Times New Roman" w:hAnsi="Times New Roman" w:cs="Times New Roman"/>
        </w:rPr>
      </w:pPr>
      <w:r w:rsidRPr="0048030D">
        <w:rPr>
          <w:rFonts w:ascii="Times New Roman" w:hAnsi="Times New Roman" w:cs="Times New Roman"/>
        </w:rPr>
        <w:t xml:space="preserve">The </w:t>
      </w:r>
      <w:r w:rsidR="00620978">
        <w:rPr>
          <w:rFonts w:ascii="Times New Roman" w:hAnsi="Times New Roman" w:cs="Times New Roman"/>
        </w:rPr>
        <w:t xml:space="preserve">Proposal for Publication appropriately limits the Power Outage Alert to imminent load shed and applies to the ERCOT region as well as other systems that may have regions within Texas. The inclusion of other systems that oversee electricity for some Texans who are not within ERCOT is important as well as the ability to issue alerts based on the system-wide area as opposed to statewide. This is particularly important since Texas </w:t>
      </w:r>
      <w:r w:rsidR="009E1D4D">
        <w:rPr>
          <w:rFonts w:ascii="Times New Roman" w:hAnsi="Times New Roman" w:cs="Times New Roman"/>
        </w:rPr>
        <w:t>is home to consumers served by the Southwest Power Pool (SPP), the Midcontinent Independent System Operator (MISO), and the Western Electricity Coordinating Council (WECC) as well as ERCOT. It is entirely possible for one of those to experience load shed while the others may not. Allowing alerts to a certain system’s customers without alert</w:t>
      </w:r>
      <w:r w:rsidR="009D0943">
        <w:rPr>
          <w:rFonts w:ascii="Times New Roman" w:hAnsi="Times New Roman" w:cs="Times New Roman"/>
        </w:rPr>
        <w:t>ing other systems’ customers</w:t>
      </w:r>
      <w:r w:rsidR="009E1D4D">
        <w:rPr>
          <w:rFonts w:ascii="Times New Roman" w:hAnsi="Times New Roman" w:cs="Times New Roman"/>
        </w:rPr>
        <w:t xml:space="preserve"> that </w:t>
      </w:r>
      <w:r w:rsidR="009D0943">
        <w:rPr>
          <w:rFonts w:ascii="Times New Roman" w:hAnsi="Times New Roman" w:cs="Times New Roman"/>
        </w:rPr>
        <w:t xml:space="preserve">the alert </w:t>
      </w:r>
      <w:r w:rsidR="009E1D4D">
        <w:rPr>
          <w:rFonts w:ascii="Times New Roman" w:hAnsi="Times New Roman" w:cs="Times New Roman"/>
        </w:rPr>
        <w:t>is not applicable to is an important feature of the proposed rule. Similarly, the parameters around load shed or imminent load shed is important to preventing unnecessary alarm among consumers</w:t>
      </w:r>
      <w:r w:rsidR="009D0943">
        <w:rPr>
          <w:rFonts w:ascii="Times New Roman" w:hAnsi="Times New Roman" w:cs="Times New Roman"/>
        </w:rPr>
        <w:t>,</w:t>
      </w:r>
      <w:r w:rsidR="009E1D4D">
        <w:rPr>
          <w:rFonts w:ascii="Times New Roman" w:hAnsi="Times New Roman" w:cs="Times New Roman"/>
        </w:rPr>
        <w:t xml:space="preserve"> </w:t>
      </w:r>
      <w:r w:rsidR="009D0943">
        <w:rPr>
          <w:rFonts w:ascii="Times New Roman" w:hAnsi="Times New Roman" w:cs="Times New Roman"/>
        </w:rPr>
        <w:t xml:space="preserve">which can contribute to </w:t>
      </w:r>
      <w:r w:rsidR="009E1D4D">
        <w:rPr>
          <w:rFonts w:ascii="Times New Roman" w:hAnsi="Times New Roman" w:cs="Times New Roman"/>
        </w:rPr>
        <w:t xml:space="preserve">alert fatigue </w:t>
      </w:r>
      <w:r w:rsidR="009D0943">
        <w:rPr>
          <w:rFonts w:ascii="Times New Roman" w:hAnsi="Times New Roman" w:cs="Times New Roman"/>
        </w:rPr>
        <w:t xml:space="preserve">and desensitization </w:t>
      </w:r>
      <w:r w:rsidR="009E1D4D">
        <w:rPr>
          <w:rFonts w:ascii="Times New Roman" w:hAnsi="Times New Roman" w:cs="Times New Roman"/>
        </w:rPr>
        <w:t xml:space="preserve">if power loss is not </w:t>
      </w:r>
      <w:r w:rsidR="009D0943">
        <w:rPr>
          <w:rFonts w:ascii="Times New Roman" w:hAnsi="Times New Roman" w:cs="Times New Roman"/>
        </w:rPr>
        <w:t>actually experienced following the alert</w:t>
      </w:r>
      <w:r w:rsidR="009E1D4D">
        <w:rPr>
          <w:rFonts w:ascii="Times New Roman" w:hAnsi="Times New Roman" w:cs="Times New Roman"/>
        </w:rPr>
        <w:t xml:space="preserve">. </w:t>
      </w:r>
    </w:p>
    <w:p w14:paraId="75D7B90D" w14:textId="4939F78A" w:rsidR="00B61EA8" w:rsidRDefault="009E1D4D" w:rsidP="00620978">
      <w:pPr>
        <w:spacing w:line="480" w:lineRule="auto"/>
        <w:ind w:firstLine="720"/>
        <w:jc w:val="both"/>
        <w:rPr>
          <w:rFonts w:ascii="Times New Roman" w:hAnsi="Times New Roman" w:cs="Times New Roman"/>
        </w:rPr>
      </w:pPr>
      <w:r>
        <w:rPr>
          <w:rFonts w:ascii="Times New Roman" w:hAnsi="Times New Roman" w:cs="Times New Roman"/>
        </w:rPr>
        <w:t xml:space="preserve">The Proposal for Publication took </w:t>
      </w:r>
      <w:r w:rsidR="000A1E25">
        <w:rPr>
          <w:rFonts w:ascii="Times New Roman" w:hAnsi="Times New Roman" w:cs="Times New Roman"/>
        </w:rPr>
        <w:t xml:space="preserve">into consideration </w:t>
      </w:r>
      <w:r w:rsidR="009D0943">
        <w:rPr>
          <w:rFonts w:ascii="Times New Roman" w:hAnsi="Times New Roman" w:cs="Times New Roman"/>
        </w:rPr>
        <w:t xml:space="preserve">many of </w:t>
      </w:r>
      <w:r w:rsidR="000A1E25">
        <w:rPr>
          <w:rFonts w:ascii="Times New Roman" w:hAnsi="Times New Roman" w:cs="Times New Roman"/>
        </w:rPr>
        <w:t xml:space="preserve">the concerns expressed by TCPA member companies in individual comments filed in response to staff questions in August </w:t>
      </w:r>
      <w:r w:rsidR="000A1E25">
        <w:rPr>
          <w:rFonts w:ascii="Times New Roman" w:hAnsi="Times New Roman" w:cs="Times New Roman"/>
        </w:rPr>
        <w:lastRenderedPageBreak/>
        <w:t>2021.</w:t>
      </w:r>
      <w:r w:rsidR="000A1E25">
        <w:rPr>
          <w:rStyle w:val="FootnoteReference"/>
          <w:rFonts w:ascii="Times New Roman" w:hAnsi="Times New Roman" w:cs="Times New Roman"/>
        </w:rPr>
        <w:footnoteReference w:id="5"/>
      </w:r>
      <w:r w:rsidR="000A1E25">
        <w:rPr>
          <w:rFonts w:ascii="Times New Roman" w:hAnsi="Times New Roman" w:cs="Times New Roman"/>
        </w:rPr>
        <w:t xml:space="preserve"> Therefore, TCPA has </w:t>
      </w:r>
      <w:r w:rsidR="00B61EA8">
        <w:rPr>
          <w:rFonts w:ascii="Times New Roman" w:hAnsi="Times New Roman" w:cs="Times New Roman"/>
        </w:rPr>
        <w:t xml:space="preserve">only minimal </w:t>
      </w:r>
      <w:r w:rsidR="000A1E25">
        <w:rPr>
          <w:rFonts w:ascii="Times New Roman" w:hAnsi="Times New Roman" w:cs="Times New Roman"/>
        </w:rPr>
        <w:t xml:space="preserve">changes to recommend to the Proposal for Publication and applauds Commission Staff for a thorough and well-thought proposed rule. </w:t>
      </w:r>
    </w:p>
    <w:p w14:paraId="09961731" w14:textId="0CBE4CBF" w:rsidR="00B61EA8" w:rsidRDefault="00B61EA8" w:rsidP="00B61EA8">
      <w:pPr>
        <w:spacing w:line="480" w:lineRule="auto"/>
        <w:ind w:firstLine="720"/>
        <w:jc w:val="both"/>
        <w:rPr>
          <w:rFonts w:ascii="Times New Roman" w:hAnsi="Times New Roman" w:cs="Times New Roman"/>
        </w:rPr>
      </w:pPr>
      <w:r>
        <w:rPr>
          <w:rFonts w:ascii="Times New Roman" w:hAnsi="Times New Roman" w:cs="Times New Roman"/>
        </w:rPr>
        <w:t xml:space="preserve">First, TCPA recommends that the Commission strike “or as an alternative to” in subsection (c)(2). While TCPA </w:t>
      </w:r>
      <w:r w:rsidR="009479CA">
        <w:rPr>
          <w:rFonts w:ascii="Times New Roman" w:hAnsi="Times New Roman" w:cs="Times New Roman"/>
        </w:rPr>
        <w:t xml:space="preserve">fully </w:t>
      </w:r>
      <w:r>
        <w:rPr>
          <w:rFonts w:ascii="Times New Roman" w:hAnsi="Times New Roman" w:cs="Times New Roman"/>
        </w:rPr>
        <w:t>supports the Commission using its existing authority to disseminat</w:t>
      </w:r>
      <w:r w:rsidR="009479CA">
        <w:rPr>
          <w:rFonts w:ascii="Times New Roman" w:hAnsi="Times New Roman" w:cs="Times New Roman"/>
        </w:rPr>
        <w:t>e</w:t>
      </w:r>
      <w:r>
        <w:rPr>
          <w:rFonts w:ascii="Times New Roman" w:hAnsi="Times New Roman" w:cs="Times New Roman"/>
        </w:rPr>
        <w:t xml:space="preserve"> relevant public information during an </w:t>
      </w:r>
      <w:r w:rsidR="009479CA">
        <w:rPr>
          <w:rFonts w:ascii="Times New Roman" w:hAnsi="Times New Roman" w:cs="Times New Roman"/>
        </w:rPr>
        <w:t xml:space="preserve">emergency, TCPA suggests that the risk of a likely power outage will be more clearly and consistently convey its intended message if other standard Commission communication practices during certain other events cannot also be confused as signaling a likely or already-initiated power outage. </w:t>
      </w:r>
    </w:p>
    <w:p w14:paraId="34D43D23" w14:textId="131FA5BC" w:rsidR="00B61EA8" w:rsidRDefault="00B61EA8" w:rsidP="00620978">
      <w:pPr>
        <w:spacing w:line="480" w:lineRule="auto"/>
        <w:ind w:firstLine="720"/>
        <w:jc w:val="both"/>
        <w:rPr>
          <w:rFonts w:ascii="Times New Roman" w:hAnsi="Times New Roman" w:cs="Times New Roman"/>
        </w:rPr>
      </w:pPr>
      <w:r>
        <w:rPr>
          <w:rFonts w:ascii="Times New Roman" w:hAnsi="Times New Roman" w:cs="Times New Roman"/>
        </w:rPr>
        <w:t>Second, TCPA recommends that the Commission revise subsection (d)(1)(A) to replace “may” with “are likely to,” in order to be consistent with the issuance threshold defined in subsection (c).</w:t>
      </w:r>
    </w:p>
    <w:p w14:paraId="4025E022" w14:textId="71BD9D1E" w:rsidR="009479CA" w:rsidRDefault="009479CA" w:rsidP="00620978">
      <w:pPr>
        <w:spacing w:line="480" w:lineRule="auto"/>
        <w:ind w:firstLine="720"/>
        <w:jc w:val="both"/>
        <w:rPr>
          <w:rFonts w:ascii="Times New Roman" w:hAnsi="Times New Roman" w:cs="Times New Roman"/>
        </w:rPr>
      </w:pPr>
      <w:r>
        <w:rPr>
          <w:rFonts w:ascii="Times New Roman" w:hAnsi="Times New Roman" w:cs="Times New Roman"/>
        </w:rPr>
        <w:t xml:space="preserve">Finally, while TCPA recognizes that there can be a significant public appetite for information </w:t>
      </w:r>
      <w:r w:rsidR="0019416D">
        <w:rPr>
          <w:rFonts w:ascii="Times New Roman" w:hAnsi="Times New Roman" w:cs="Times New Roman"/>
        </w:rPr>
        <w:t>during extreme events, a lesson from Winter Storm Uri is that several tail risks may coincide or arrive in sequence, and each may have knock-on effects. Some of these factors may not be fully known ahead of or in the middle of an event. Therefore, TCPA respectfully requests that the Commission</w:t>
      </w:r>
      <w:r w:rsidR="00E87DEA">
        <w:rPr>
          <w:rFonts w:ascii="Times New Roman" w:hAnsi="Times New Roman" w:cs="Times New Roman"/>
        </w:rPr>
        <w:t>’s</w:t>
      </w:r>
      <w:r w:rsidR="0019416D">
        <w:rPr>
          <w:rFonts w:ascii="Times New Roman" w:hAnsi="Times New Roman" w:cs="Times New Roman"/>
        </w:rPr>
        <w:t xml:space="preserve"> </w:t>
      </w:r>
      <w:r w:rsidR="00E87DEA">
        <w:rPr>
          <w:rFonts w:ascii="Times New Roman" w:hAnsi="Times New Roman" w:cs="Times New Roman"/>
        </w:rPr>
        <w:t xml:space="preserve">implementation of power outage alerts focus on the primary message of the power outage </w:t>
      </w:r>
      <w:proofErr w:type="gramStart"/>
      <w:r w:rsidR="00E87DEA">
        <w:rPr>
          <w:rFonts w:ascii="Times New Roman" w:hAnsi="Times New Roman" w:cs="Times New Roman"/>
        </w:rPr>
        <w:t>risk, and</w:t>
      </w:r>
      <w:proofErr w:type="gramEnd"/>
      <w:r w:rsidR="00E87DEA">
        <w:rPr>
          <w:rFonts w:ascii="Times New Roman" w:hAnsi="Times New Roman" w:cs="Times New Roman"/>
        </w:rPr>
        <w:t xml:space="preserve"> utilize other means to communicate information regarding known causes and contributing factors.</w:t>
      </w:r>
    </w:p>
    <w:p w14:paraId="7815B9B6" w14:textId="4FDA3AF4" w:rsidR="009E1D4D" w:rsidRPr="0048030D" w:rsidRDefault="000A1E25" w:rsidP="00620978">
      <w:pPr>
        <w:spacing w:line="480" w:lineRule="auto"/>
        <w:ind w:firstLine="720"/>
        <w:jc w:val="both"/>
        <w:rPr>
          <w:rFonts w:ascii="Times New Roman" w:hAnsi="Times New Roman" w:cs="Times New Roman"/>
        </w:rPr>
      </w:pPr>
      <w:r>
        <w:rPr>
          <w:rFonts w:ascii="Times New Roman" w:hAnsi="Times New Roman" w:cs="Times New Roman"/>
        </w:rPr>
        <w:t xml:space="preserve">TCPA appreciates the opportunity to review the proposal and to provide comment. Our members recommend the Commission adopt the proposed rule with </w:t>
      </w:r>
      <w:r w:rsidR="00134975">
        <w:rPr>
          <w:rFonts w:ascii="Times New Roman" w:hAnsi="Times New Roman" w:cs="Times New Roman"/>
        </w:rPr>
        <w:t xml:space="preserve">only the two </w:t>
      </w:r>
      <w:r>
        <w:rPr>
          <w:rFonts w:ascii="Times New Roman" w:hAnsi="Times New Roman" w:cs="Times New Roman"/>
        </w:rPr>
        <w:t>changes</w:t>
      </w:r>
      <w:r w:rsidR="00134975">
        <w:rPr>
          <w:rFonts w:ascii="Times New Roman" w:hAnsi="Times New Roman" w:cs="Times New Roman"/>
        </w:rPr>
        <w:t xml:space="preserve"> explained above</w:t>
      </w:r>
      <w:r>
        <w:rPr>
          <w:rFonts w:ascii="Times New Roman" w:hAnsi="Times New Roman" w:cs="Times New Roman"/>
        </w:rPr>
        <w:t>.</w:t>
      </w:r>
    </w:p>
    <w:p w14:paraId="28E325AC" w14:textId="53736C11"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lastRenderedPageBreak/>
        <w:t>Dated:</w:t>
      </w:r>
      <w:r w:rsidR="00B0163A" w:rsidRPr="00C36738">
        <w:rPr>
          <w:rFonts w:ascii="Times New Roman" w:hAnsi="Times New Roman" w:cs="Times New Roman"/>
        </w:rPr>
        <w:t xml:space="preserve"> </w:t>
      </w:r>
      <w:r w:rsidR="00FC4EA0">
        <w:rPr>
          <w:rFonts w:ascii="Times New Roman" w:hAnsi="Times New Roman" w:cs="Times New Roman"/>
        </w:rPr>
        <w:t>January</w:t>
      </w:r>
      <w:r w:rsidRPr="00C36738">
        <w:rPr>
          <w:rFonts w:ascii="Times New Roman" w:hAnsi="Times New Roman" w:cs="Times New Roman"/>
        </w:rPr>
        <w:t xml:space="preserve"> </w:t>
      </w:r>
      <w:r w:rsidR="003E4C67">
        <w:rPr>
          <w:rFonts w:ascii="Times New Roman" w:hAnsi="Times New Roman" w:cs="Times New Roman"/>
        </w:rPr>
        <w:t>10, 20</w:t>
      </w:r>
      <w:r w:rsidRPr="00C36738">
        <w:rPr>
          <w:rFonts w:ascii="Times New Roman" w:hAnsi="Times New Roman" w:cs="Times New Roman"/>
        </w:rPr>
        <w:t>2</w:t>
      </w:r>
      <w:r w:rsidR="00FC4EA0">
        <w:rPr>
          <w:rFonts w:ascii="Times New Roman" w:hAnsi="Times New Roman" w:cs="Times New Roman"/>
        </w:rPr>
        <w:t>2</w:t>
      </w:r>
    </w:p>
    <w:p w14:paraId="3D4D0B14" w14:textId="4FAED6FB" w:rsidR="00F30BE0" w:rsidRPr="00C36738" w:rsidRDefault="00F30BE0" w:rsidP="00E51397">
      <w:pPr>
        <w:spacing w:line="480" w:lineRule="auto"/>
        <w:jc w:val="both"/>
        <w:rPr>
          <w:rFonts w:ascii="Times New Roman" w:hAnsi="Times New Roman" w:cs="Times New Roman"/>
        </w:rPr>
      </w:pPr>
    </w:p>
    <w:p w14:paraId="017A376D" w14:textId="3DC317EC"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t>Respectfully submitted,</w:t>
      </w:r>
    </w:p>
    <w:p w14:paraId="00798E28" w14:textId="524F4AB4" w:rsidR="00F30BE0" w:rsidRPr="00C36738" w:rsidRDefault="00F30BE0" w:rsidP="00E51397">
      <w:pPr>
        <w:spacing w:line="480" w:lineRule="auto"/>
        <w:jc w:val="both"/>
        <w:rPr>
          <w:rFonts w:ascii="Times New Roman" w:hAnsi="Times New Roman" w:cs="Times New Roman"/>
        </w:rPr>
      </w:pPr>
    </w:p>
    <w:p w14:paraId="7A323786" w14:textId="55901607" w:rsidR="0093796B" w:rsidRPr="0048370E" w:rsidRDefault="0093796B" w:rsidP="0093796B">
      <w:pPr>
        <w:tabs>
          <w:tab w:val="left" w:pos="4320"/>
        </w:tabs>
        <w:ind w:right="-540"/>
        <w:rPr>
          <w:rFonts w:eastAsia="Times New Roman"/>
        </w:rPr>
      </w:pPr>
      <w:r>
        <w:rPr>
          <w:rFonts w:eastAsia="Times New Roman"/>
        </w:rPr>
        <w:tab/>
      </w:r>
      <w:r>
        <w:rPr>
          <w:rFonts w:eastAsia="Times New Roman"/>
          <w:noProof/>
          <w:lang w:eastAsia="en-US"/>
        </w:rPr>
        <w:drawing>
          <wp:inline distT="0" distB="0" distL="0" distR="0" wp14:anchorId="2225DE69" wp14:editId="21D223C9">
            <wp:extent cx="1925320" cy="50546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1943645" cy="510271"/>
                    </a:xfrm>
                    <a:prstGeom prst="rect">
                      <a:avLst/>
                    </a:prstGeom>
                  </pic:spPr>
                </pic:pic>
              </a:graphicData>
            </a:graphic>
          </wp:inline>
        </w:drawing>
      </w:r>
    </w:p>
    <w:p w14:paraId="73891067" w14:textId="13A9EF40" w:rsidR="0093796B" w:rsidRDefault="0093796B" w:rsidP="0093796B">
      <w:pPr>
        <w:outlineLvl w:val="0"/>
        <w:rPr>
          <w:rFonts w:eastAsia="Times New Roman"/>
        </w:rPr>
      </w:pP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sidRPr="0048370E">
        <w:rPr>
          <w:rFonts w:eastAsia="Times New Roman"/>
        </w:rPr>
        <w:tab/>
      </w:r>
      <w:r>
        <w:rPr>
          <w:rFonts w:eastAsia="Times New Roman"/>
        </w:rPr>
        <w:tab/>
        <w:t>Michele Richmond</w:t>
      </w:r>
    </w:p>
    <w:p w14:paraId="6C474204" w14:textId="794C2285"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Executive Director</w:t>
      </w:r>
    </w:p>
    <w:p w14:paraId="04BC8460" w14:textId="78D531F6"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Texas Competitive Power Advocates (TCPA)</w:t>
      </w:r>
    </w:p>
    <w:p w14:paraId="4F2F0029" w14:textId="25EAAF11" w:rsidR="0093796B" w:rsidRDefault="0093796B" w:rsidP="0093796B">
      <w:pPr>
        <w:outlineLvl w:val="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(512) 653-7447</w:t>
      </w:r>
    </w:p>
    <w:p w14:paraId="592601F4" w14:textId="7F6A56AE" w:rsidR="0093796B" w:rsidRDefault="0093796B" w:rsidP="0093796B">
      <w:pPr>
        <w:spacing w:line="360" w:lineRule="auto"/>
        <w:rPr>
          <w:rStyle w:val="Hyperlink"/>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hyperlink r:id="rId9" w:history="1">
        <w:r w:rsidRPr="005F619F">
          <w:rPr>
            <w:rStyle w:val="Hyperlink"/>
            <w:rFonts w:eastAsia="Times New Roman"/>
          </w:rPr>
          <w:t>michele@competitivepower.org</w:t>
        </w:r>
      </w:hyperlink>
    </w:p>
    <w:p w14:paraId="2E34D917" w14:textId="7279A327" w:rsidR="00F30BE0" w:rsidRPr="00C36738" w:rsidRDefault="00F30BE0" w:rsidP="00E51397">
      <w:pPr>
        <w:spacing w:line="480" w:lineRule="auto"/>
        <w:jc w:val="both"/>
        <w:rPr>
          <w:rFonts w:ascii="Times New Roman" w:hAnsi="Times New Roman" w:cs="Times New Roman"/>
        </w:rPr>
      </w:pP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r w:rsidRPr="00C36738">
        <w:rPr>
          <w:rFonts w:ascii="Times New Roman" w:hAnsi="Times New Roman" w:cs="Times New Roman"/>
        </w:rPr>
        <w:tab/>
      </w:r>
    </w:p>
    <w:p w14:paraId="3948D103" w14:textId="77777777" w:rsidR="00EB6EE5" w:rsidRPr="00C36738" w:rsidRDefault="00EB6EE5" w:rsidP="00E51397">
      <w:pPr>
        <w:spacing w:line="480" w:lineRule="auto"/>
        <w:jc w:val="both"/>
        <w:rPr>
          <w:rFonts w:ascii="Times New Roman" w:hAnsi="Times New Roman" w:cs="Times New Roman"/>
        </w:rPr>
      </w:pPr>
    </w:p>
    <w:p w14:paraId="5F7623B6" w14:textId="59B097A7" w:rsidR="0088086C" w:rsidRDefault="0088086C">
      <w:pPr>
        <w:rPr>
          <w:rFonts w:ascii="Times New Roman" w:hAnsi="Times New Roman" w:cs="Times New Roman"/>
        </w:rPr>
      </w:pPr>
      <w:r>
        <w:rPr>
          <w:rFonts w:ascii="Times New Roman" w:hAnsi="Times New Roman" w:cs="Times New Roman"/>
        </w:rPr>
        <w:br w:type="page"/>
      </w:r>
    </w:p>
    <w:p w14:paraId="3678CE65" w14:textId="17F3BF1D" w:rsidR="0088086C" w:rsidRPr="00C36738" w:rsidRDefault="0088086C" w:rsidP="0088086C">
      <w:pPr>
        <w:jc w:val="center"/>
        <w:rPr>
          <w:rFonts w:ascii="Times New Roman" w:hAnsi="Times New Roman" w:cs="Times New Roman"/>
        </w:rPr>
      </w:pPr>
      <w:r w:rsidRPr="00C36738">
        <w:rPr>
          <w:rFonts w:ascii="Times New Roman" w:hAnsi="Times New Roman" w:cs="Times New Roman"/>
          <w:b/>
          <w:bCs/>
        </w:rPr>
        <w:lastRenderedPageBreak/>
        <w:t>PROJECT NO. 5</w:t>
      </w:r>
      <w:r w:rsidR="003E4C67">
        <w:rPr>
          <w:rFonts w:ascii="Times New Roman" w:hAnsi="Times New Roman" w:cs="Times New Roman"/>
          <w:b/>
          <w:bCs/>
        </w:rPr>
        <w:t>2287</w:t>
      </w:r>
    </w:p>
    <w:tbl>
      <w:tblPr>
        <w:tblStyle w:val="TableGrid"/>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720"/>
        <w:gridCol w:w="4950"/>
      </w:tblGrid>
      <w:tr w:rsidR="0088086C" w:rsidRPr="00C36738" w14:paraId="70706D04" w14:textId="77777777" w:rsidTr="00D521E0">
        <w:trPr>
          <w:trHeight w:val="1341"/>
        </w:trPr>
        <w:tc>
          <w:tcPr>
            <w:tcW w:w="4230" w:type="dxa"/>
            <w:vAlign w:val="center"/>
          </w:tcPr>
          <w:p w14:paraId="5392C471" w14:textId="7243355E" w:rsidR="0088086C" w:rsidRPr="00C36738" w:rsidRDefault="003E4C67" w:rsidP="00D521E0">
            <w:pPr>
              <w:rPr>
                <w:rFonts w:ascii="Times New Roman" w:hAnsi="Times New Roman" w:cs="Times New Roman"/>
                <w:b/>
                <w:bCs/>
              </w:rPr>
            </w:pPr>
            <w:r>
              <w:rPr>
                <w:rFonts w:ascii="Times New Roman" w:hAnsi="Times New Roman" w:cs="Times New Roman"/>
                <w:b/>
                <w:bCs/>
              </w:rPr>
              <w:t>POWER OUTAGE ALERT CRITERIA</w:t>
            </w:r>
          </w:p>
        </w:tc>
        <w:tc>
          <w:tcPr>
            <w:tcW w:w="720" w:type="dxa"/>
            <w:vAlign w:val="center"/>
          </w:tcPr>
          <w:p w14:paraId="40871564"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194C7E37"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p w14:paraId="2692B223"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w:t>
            </w:r>
          </w:p>
        </w:tc>
        <w:tc>
          <w:tcPr>
            <w:tcW w:w="4950" w:type="dxa"/>
            <w:vAlign w:val="center"/>
          </w:tcPr>
          <w:p w14:paraId="64C8BE5B"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BEFORE THE</w:t>
            </w:r>
          </w:p>
          <w:p w14:paraId="043B9A81"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PUBLIC UTILITY COMMISSION</w:t>
            </w:r>
          </w:p>
          <w:p w14:paraId="7DA2FA7C" w14:textId="77777777" w:rsidR="0088086C" w:rsidRPr="00C36738" w:rsidRDefault="0088086C" w:rsidP="00D521E0">
            <w:pPr>
              <w:jc w:val="center"/>
              <w:rPr>
                <w:rFonts w:ascii="Times New Roman" w:hAnsi="Times New Roman" w:cs="Times New Roman"/>
                <w:b/>
                <w:bCs/>
              </w:rPr>
            </w:pPr>
            <w:r w:rsidRPr="00C36738">
              <w:rPr>
                <w:rFonts w:ascii="Times New Roman" w:hAnsi="Times New Roman" w:cs="Times New Roman"/>
                <w:b/>
                <w:bCs/>
              </w:rPr>
              <w:t>OF TEXAS</w:t>
            </w:r>
          </w:p>
        </w:tc>
      </w:tr>
    </w:tbl>
    <w:p w14:paraId="241329F7" w14:textId="77777777" w:rsidR="0088086C" w:rsidRPr="00C36738" w:rsidRDefault="0088086C" w:rsidP="0088086C">
      <w:pPr>
        <w:ind w:hanging="450"/>
        <w:rPr>
          <w:rFonts w:ascii="Times New Roman" w:hAnsi="Times New Roman" w:cs="Times New Roman"/>
        </w:rPr>
      </w:pPr>
      <w:r w:rsidRPr="00C36738">
        <w:rPr>
          <w:rFonts w:ascii="Times New Roman" w:hAnsi="Times New Roman" w:cs="Times New Roman"/>
          <w:b/>
          <w:bCs/>
        </w:rPr>
        <w:tab/>
      </w:r>
    </w:p>
    <w:p w14:paraId="0E3DB7C8" w14:textId="77777777" w:rsidR="0088086C" w:rsidRPr="00C36738" w:rsidRDefault="0088086C" w:rsidP="0088086C">
      <w:pPr>
        <w:rPr>
          <w:rFonts w:ascii="Times New Roman" w:hAnsi="Times New Roman" w:cs="Times New Roman"/>
          <w:u w:val="single"/>
        </w:rPr>
      </w:pPr>
    </w:p>
    <w:p w14:paraId="70C03F55" w14:textId="584D7D94" w:rsidR="0088086C" w:rsidRPr="00C36738" w:rsidRDefault="0088086C" w:rsidP="0088086C">
      <w:pPr>
        <w:jc w:val="center"/>
        <w:rPr>
          <w:rFonts w:ascii="Times New Roman" w:hAnsi="Times New Roman" w:cs="Times New Roman"/>
          <w:b/>
          <w:bCs/>
          <w:u w:val="single"/>
        </w:rPr>
      </w:pPr>
      <w:r>
        <w:rPr>
          <w:rFonts w:ascii="Times New Roman" w:hAnsi="Times New Roman" w:cs="Times New Roman"/>
          <w:b/>
          <w:bCs/>
          <w:u w:val="single"/>
        </w:rPr>
        <w:t>EXECUTIVE SUMMARY</w:t>
      </w:r>
      <w:r w:rsidRPr="00C36738">
        <w:rPr>
          <w:rFonts w:ascii="Times New Roman" w:hAnsi="Times New Roman" w:cs="Times New Roman"/>
          <w:b/>
          <w:bCs/>
          <w:u w:val="single"/>
        </w:rPr>
        <w:t xml:space="preserve"> OF </w:t>
      </w:r>
      <w:r w:rsidR="006141FF">
        <w:rPr>
          <w:rFonts w:ascii="Times New Roman" w:hAnsi="Times New Roman" w:cs="Times New Roman"/>
          <w:b/>
          <w:bCs/>
          <w:u w:val="single"/>
        </w:rPr>
        <w:t>TCPA</w:t>
      </w:r>
      <w:r>
        <w:rPr>
          <w:rFonts w:ascii="Times New Roman" w:hAnsi="Times New Roman" w:cs="Times New Roman"/>
          <w:b/>
          <w:bCs/>
          <w:u w:val="single"/>
        </w:rPr>
        <w:t xml:space="preserve"> COMMENTS</w:t>
      </w:r>
    </w:p>
    <w:p w14:paraId="66B6D9C7" w14:textId="76A62D9F" w:rsidR="00BD70E8" w:rsidRDefault="00BD70E8" w:rsidP="00E51397">
      <w:pPr>
        <w:spacing w:line="480" w:lineRule="auto"/>
        <w:jc w:val="both"/>
        <w:rPr>
          <w:rFonts w:ascii="Times New Roman" w:hAnsi="Times New Roman" w:cs="Times New Roman"/>
        </w:rPr>
      </w:pPr>
    </w:p>
    <w:p w14:paraId="3814F16E" w14:textId="0DED3D11" w:rsidR="009F03A5" w:rsidRPr="003E4C67" w:rsidRDefault="001742F3" w:rsidP="003E4C67">
      <w:pPr>
        <w:pStyle w:val="ListParagraph"/>
        <w:numPr>
          <w:ilvl w:val="0"/>
          <w:numId w:val="26"/>
        </w:numPr>
        <w:spacing w:line="480" w:lineRule="auto"/>
        <w:jc w:val="both"/>
        <w:rPr>
          <w:rFonts w:ascii="Times New Roman" w:hAnsi="Times New Roman" w:cs="Times New Roman"/>
        </w:rPr>
      </w:pPr>
      <w:r>
        <w:rPr>
          <w:rFonts w:eastAsia="Times New Roman"/>
          <w:szCs w:val="20"/>
        </w:rPr>
        <w:t>T</w:t>
      </w:r>
      <w:r w:rsidR="001875EC" w:rsidRPr="009F03A5">
        <w:rPr>
          <w:rFonts w:eastAsia="Times New Roman"/>
          <w:szCs w:val="20"/>
        </w:rPr>
        <w:t xml:space="preserve">he </w:t>
      </w:r>
      <w:r w:rsidR="003E4C67">
        <w:rPr>
          <w:rFonts w:eastAsia="Times New Roman"/>
          <w:szCs w:val="20"/>
        </w:rPr>
        <w:t>proposed rule strikes the appropriate balance between informing the public and ensuring a load shed event is likely to occur.</w:t>
      </w:r>
    </w:p>
    <w:p w14:paraId="6D01D8E0" w14:textId="77777777" w:rsidR="005B0045" w:rsidRDefault="005B0045" w:rsidP="005B0045">
      <w:pPr>
        <w:pStyle w:val="ListParagraph"/>
        <w:numPr>
          <w:ilvl w:val="0"/>
          <w:numId w:val="26"/>
        </w:numPr>
        <w:spacing w:line="480" w:lineRule="auto"/>
        <w:jc w:val="both"/>
        <w:rPr>
          <w:rFonts w:ascii="Times New Roman" w:hAnsi="Times New Roman" w:cs="Times New Roman"/>
        </w:rPr>
      </w:pPr>
      <w:r>
        <w:rPr>
          <w:rFonts w:ascii="Times New Roman" w:hAnsi="Times New Roman" w:cs="Times New Roman"/>
        </w:rPr>
        <w:t>Staff did an excellent job of incorporating stakeholder feedback to their questions posed in August 2021.</w:t>
      </w:r>
    </w:p>
    <w:p w14:paraId="33B602B7" w14:textId="7A3997F5" w:rsidR="003E4C67" w:rsidRPr="003E4C67" w:rsidRDefault="003E4C67" w:rsidP="003E4C67">
      <w:pPr>
        <w:pStyle w:val="ListParagraph"/>
        <w:numPr>
          <w:ilvl w:val="0"/>
          <w:numId w:val="26"/>
        </w:numPr>
        <w:spacing w:line="480" w:lineRule="auto"/>
        <w:jc w:val="both"/>
        <w:rPr>
          <w:rFonts w:ascii="Times New Roman" w:hAnsi="Times New Roman" w:cs="Times New Roman"/>
        </w:rPr>
      </w:pPr>
      <w:r>
        <w:rPr>
          <w:rFonts w:eastAsia="Times New Roman"/>
          <w:szCs w:val="20"/>
        </w:rPr>
        <w:t>Inclusion of systems that serve Texans outside of ERCOT is an important component to the rule.</w:t>
      </w:r>
    </w:p>
    <w:p w14:paraId="0E878087" w14:textId="3E0BE4C8" w:rsidR="003E4C67" w:rsidRDefault="003E4C67" w:rsidP="003E4C67">
      <w:pPr>
        <w:pStyle w:val="ListParagraph"/>
        <w:numPr>
          <w:ilvl w:val="0"/>
          <w:numId w:val="26"/>
        </w:numPr>
        <w:spacing w:line="480" w:lineRule="auto"/>
        <w:jc w:val="both"/>
        <w:rPr>
          <w:rFonts w:ascii="Times New Roman" w:hAnsi="Times New Roman" w:cs="Times New Roman"/>
        </w:rPr>
      </w:pPr>
      <w:r>
        <w:rPr>
          <w:rFonts w:ascii="Times New Roman" w:hAnsi="Times New Roman" w:cs="Times New Roman"/>
        </w:rPr>
        <w:t>Ensuring Power Outage Alerts can be disseminated based on the electric system operation region impacted is a key feature in the proposed rule.</w:t>
      </w:r>
    </w:p>
    <w:p w14:paraId="107E4C9B" w14:textId="6094CC8C" w:rsidR="003E4C67" w:rsidRDefault="003E4C67" w:rsidP="003E4C67">
      <w:pPr>
        <w:pStyle w:val="ListParagraph"/>
        <w:numPr>
          <w:ilvl w:val="0"/>
          <w:numId w:val="26"/>
        </w:numPr>
        <w:spacing w:line="480" w:lineRule="auto"/>
        <w:jc w:val="both"/>
        <w:rPr>
          <w:rFonts w:ascii="Times New Roman" w:hAnsi="Times New Roman" w:cs="Times New Roman"/>
        </w:rPr>
      </w:pPr>
      <w:r>
        <w:rPr>
          <w:rFonts w:ascii="Times New Roman" w:hAnsi="Times New Roman" w:cs="Times New Roman"/>
        </w:rPr>
        <w:t>TCPA recommends adoption of the rule with</w:t>
      </w:r>
      <w:r w:rsidR="005B0045">
        <w:rPr>
          <w:rFonts w:ascii="Times New Roman" w:hAnsi="Times New Roman" w:cs="Times New Roman"/>
        </w:rPr>
        <w:t xml:space="preserve"> only the following</w:t>
      </w:r>
      <w:r>
        <w:rPr>
          <w:rFonts w:ascii="Times New Roman" w:hAnsi="Times New Roman" w:cs="Times New Roman"/>
        </w:rPr>
        <w:t xml:space="preserve"> changes</w:t>
      </w:r>
      <w:r w:rsidR="005B0045">
        <w:rPr>
          <w:rFonts w:ascii="Times New Roman" w:hAnsi="Times New Roman" w:cs="Times New Roman"/>
        </w:rPr>
        <w:t>:</w:t>
      </w:r>
    </w:p>
    <w:p w14:paraId="2602C12F" w14:textId="65CE9C80" w:rsidR="005B0045" w:rsidRDefault="005B0045" w:rsidP="005B0045">
      <w:pPr>
        <w:pStyle w:val="ListParagraph"/>
        <w:numPr>
          <w:ilvl w:val="1"/>
          <w:numId w:val="26"/>
        </w:numPr>
        <w:spacing w:line="480" w:lineRule="auto"/>
        <w:jc w:val="both"/>
        <w:rPr>
          <w:rFonts w:ascii="Times New Roman" w:hAnsi="Times New Roman" w:cs="Times New Roman"/>
        </w:rPr>
      </w:pPr>
      <w:r>
        <w:rPr>
          <w:rFonts w:ascii="Times New Roman" w:hAnsi="Times New Roman" w:cs="Times New Roman"/>
        </w:rPr>
        <w:t xml:space="preserve">Strike “or as an alternative to” from subsection (c)(2) to ensure that a likely power outage is consistently communicated, which does not otherwise limit the Commission’s communications </w:t>
      </w:r>
      <w:proofErr w:type="gramStart"/>
      <w:r>
        <w:rPr>
          <w:rFonts w:ascii="Times New Roman" w:hAnsi="Times New Roman" w:cs="Times New Roman"/>
        </w:rPr>
        <w:t>channels;</w:t>
      </w:r>
      <w:proofErr w:type="gramEnd"/>
    </w:p>
    <w:p w14:paraId="4256B816" w14:textId="202D5645" w:rsidR="005B0045" w:rsidRDefault="005B0045" w:rsidP="005B0045">
      <w:pPr>
        <w:pStyle w:val="ListParagraph"/>
        <w:numPr>
          <w:ilvl w:val="1"/>
          <w:numId w:val="26"/>
        </w:numPr>
        <w:spacing w:line="480" w:lineRule="auto"/>
        <w:jc w:val="both"/>
        <w:rPr>
          <w:rFonts w:ascii="Times New Roman" w:hAnsi="Times New Roman" w:cs="Times New Roman"/>
        </w:rPr>
      </w:pPr>
      <w:r>
        <w:rPr>
          <w:rFonts w:ascii="Times New Roman" w:hAnsi="Times New Roman" w:cs="Times New Roman"/>
        </w:rPr>
        <w:t>Revise subsection (d)(1)(A) to replace “may” with “are likely to,” in order to be consistent with the issuance threshold defined in subsection (c).</w:t>
      </w:r>
    </w:p>
    <w:p w14:paraId="065347B9" w14:textId="00D49E08" w:rsidR="005B0045" w:rsidRPr="009F03A5" w:rsidRDefault="005B0045" w:rsidP="005B0045">
      <w:pPr>
        <w:pStyle w:val="ListParagraph"/>
        <w:numPr>
          <w:ilvl w:val="0"/>
          <w:numId w:val="26"/>
        </w:numPr>
        <w:spacing w:line="480" w:lineRule="auto"/>
        <w:jc w:val="both"/>
        <w:rPr>
          <w:rFonts w:ascii="Times New Roman" w:hAnsi="Times New Roman" w:cs="Times New Roman"/>
        </w:rPr>
      </w:pPr>
      <w:r>
        <w:rPr>
          <w:rFonts w:ascii="Times New Roman" w:hAnsi="Times New Roman" w:cs="Times New Roman"/>
        </w:rPr>
        <w:t xml:space="preserve">Additionally, TCPA generally recommends that the Commission focus Power Outage Alerts primarily on awareness of a likely </w:t>
      </w:r>
      <w:proofErr w:type="gramStart"/>
      <w:r>
        <w:rPr>
          <w:rFonts w:ascii="Times New Roman" w:hAnsi="Times New Roman" w:cs="Times New Roman"/>
        </w:rPr>
        <w:t xml:space="preserve">outage, </w:t>
      </w:r>
      <w:r w:rsidR="00497945">
        <w:rPr>
          <w:rFonts w:ascii="Times New Roman" w:hAnsi="Times New Roman" w:cs="Times New Roman"/>
        </w:rPr>
        <w:t>and</w:t>
      </w:r>
      <w:proofErr w:type="gramEnd"/>
      <w:r w:rsidR="00497945">
        <w:rPr>
          <w:rFonts w:ascii="Times New Roman" w:hAnsi="Times New Roman" w:cs="Times New Roman"/>
        </w:rPr>
        <w:t xml:space="preserve"> use other channels for disseminating information about circumstances surrounding an event once that information is known with greater certainty.</w:t>
      </w:r>
      <w:r>
        <w:rPr>
          <w:rFonts w:ascii="Times New Roman" w:hAnsi="Times New Roman" w:cs="Times New Roman"/>
        </w:rPr>
        <w:t xml:space="preserve"> </w:t>
      </w:r>
    </w:p>
    <w:sectPr w:rsidR="005B0045" w:rsidRPr="009F03A5" w:rsidSect="00DC3469">
      <w:footerReference w:type="default" r:id="rId10"/>
      <w:pgSz w:w="12240" w:h="15840"/>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17496" w14:textId="77777777" w:rsidR="008C7B98" w:rsidRDefault="008C7B98" w:rsidP="00AF1446">
      <w:r>
        <w:separator/>
      </w:r>
    </w:p>
  </w:endnote>
  <w:endnote w:type="continuationSeparator" w:id="0">
    <w:p w14:paraId="6518AE5D" w14:textId="77777777" w:rsidR="008C7B98" w:rsidRDefault="008C7B98" w:rsidP="00AF1446">
      <w:r>
        <w:continuationSeparator/>
      </w:r>
    </w:p>
  </w:endnote>
  <w:endnote w:type="continuationNotice" w:id="1">
    <w:p w14:paraId="5DB9932D" w14:textId="77777777" w:rsidR="008C7B98" w:rsidRDefault="008C7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98A6" w14:textId="28D9DF9E" w:rsidR="00D00A3A" w:rsidRPr="00D8346C" w:rsidRDefault="006141FF" w:rsidP="00DC3469">
    <w:pPr>
      <w:pStyle w:val="Footer"/>
      <w:rPr>
        <w:rFonts w:ascii="Times New Roman" w:hAnsi="Times New Roman" w:cs="Times New Roman"/>
      </w:rPr>
    </w:pPr>
    <w:r>
      <w:rPr>
        <w:rFonts w:ascii="Times New Roman" w:hAnsi="Times New Roman" w:cs="Times New Roman"/>
      </w:rPr>
      <w:t>TCPA</w:t>
    </w:r>
    <w:r w:rsidR="00D00A3A" w:rsidRPr="00D8346C">
      <w:rPr>
        <w:rFonts w:ascii="Times New Roman" w:hAnsi="Times New Roman" w:cs="Times New Roman"/>
      </w:rPr>
      <w:t xml:space="preserve"> Comments in Project 5184</w:t>
    </w:r>
    <w:r w:rsidR="00FC4EA0">
      <w:rPr>
        <w:rFonts w:ascii="Times New Roman" w:hAnsi="Times New Roman" w:cs="Times New Roman"/>
      </w:rPr>
      <w:t>1</w:t>
    </w:r>
    <w:r w:rsidR="00D8346C">
      <w:rPr>
        <w:rFonts w:ascii="Times New Roman" w:hAnsi="Times New Roman" w:cs="Times New Roman"/>
      </w:rPr>
      <w:tab/>
    </w:r>
    <w:r w:rsidR="00D00A3A" w:rsidRPr="00D8346C">
      <w:rPr>
        <w:rFonts w:ascii="Times New Roman" w:hAnsi="Times New Roman" w:cs="Times New Roman"/>
      </w:rPr>
      <w:tab/>
      <w:t xml:space="preserve">Page </w:t>
    </w:r>
    <w:r w:rsidR="00D00A3A" w:rsidRPr="00D8346C">
      <w:rPr>
        <w:rFonts w:ascii="Times New Roman" w:hAnsi="Times New Roman" w:cs="Times New Roman"/>
      </w:rPr>
      <w:fldChar w:fldCharType="begin"/>
    </w:r>
    <w:r w:rsidR="00D00A3A" w:rsidRPr="00D8346C">
      <w:rPr>
        <w:rFonts w:ascii="Times New Roman" w:hAnsi="Times New Roman" w:cs="Times New Roman"/>
      </w:rPr>
      <w:instrText xml:space="preserve"> PAGE   \* MERGEFORMAT </w:instrText>
    </w:r>
    <w:r w:rsidR="00D00A3A" w:rsidRPr="00D8346C">
      <w:rPr>
        <w:rFonts w:ascii="Times New Roman" w:hAnsi="Times New Roman" w:cs="Times New Roman"/>
      </w:rPr>
      <w:fldChar w:fldCharType="separate"/>
    </w:r>
    <w:r w:rsidR="00A82E3B">
      <w:rPr>
        <w:rFonts w:ascii="Times New Roman" w:hAnsi="Times New Roman" w:cs="Times New Roman"/>
        <w:noProof/>
      </w:rPr>
      <w:t>26</w:t>
    </w:r>
    <w:r w:rsidR="00D00A3A" w:rsidRPr="00D8346C">
      <w:rPr>
        <w:rFonts w:ascii="Times New Roman" w:hAnsi="Times New Roman" w:cs="Times New Roman"/>
        <w:noProof/>
      </w:rPr>
      <w:fldChar w:fldCharType="end"/>
    </w:r>
  </w:p>
  <w:p w14:paraId="0F70DEEE" w14:textId="77777777" w:rsidR="00D00A3A" w:rsidRDefault="00D00A3A">
    <w:pPr>
      <w:pStyle w:val="Footer"/>
    </w:pPr>
  </w:p>
  <w:p w14:paraId="77AE2FF0" w14:textId="77777777" w:rsidR="00436101" w:rsidRDefault="004361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77AD" w14:textId="77777777" w:rsidR="008C7B98" w:rsidRDefault="008C7B98" w:rsidP="00AF1446">
      <w:r>
        <w:separator/>
      </w:r>
    </w:p>
  </w:footnote>
  <w:footnote w:type="continuationSeparator" w:id="0">
    <w:p w14:paraId="6BAC8B81" w14:textId="77777777" w:rsidR="008C7B98" w:rsidRDefault="008C7B98" w:rsidP="00AF1446">
      <w:r>
        <w:continuationSeparator/>
      </w:r>
    </w:p>
  </w:footnote>
  <w:footnote w:type="continuationNotice" w:id="1">
    <w:p w14:paraId="612048FA" w14:textId="77777777" w:rsidR="008C7B98" w:rsidRDefault="008C7B98"/>
  </w:footnote>
  <w:footnote w:id="2">
    <w:p w14:paraId="0121B896" w14:textId="042324B2" w:rsidR="00D712D7" w:rsidRDefault="00D712D7">
      <w:pPr>
        <w:pStyle w:val="FootnoteText"/>
      </w:pPr>
      <w:r>
        <w:rPr>
          <w:rStyle w:val="FootnoteReference"/>
        </w:rPr>
        <w:footnoteRef/>
      </w:r>
      <w:r>
        <w:t xml:space="preserve"> </w:t>
      </w:r>
      <w:hyperlink r:id="rId1" w:anchor="26" w:history="1">
        <w:r w:rsidR="009A1BA2">
          <w:rPr>
            <w:rStyle w:val="Hyperlink"/>
          </w:rPr>
          <w:t>Proposed Rules Title 16 (texas.gov)</w:t>
        </w:r>
      </w:hyperlink>
    </w:p>
  </w:footnote>
  <w:footnote w:id="3">
    <w:p w14:paraId="6807F396" w14:textId="77777777" w:rsidR="000C0B1A" w:rsidRPr="003168B9" w:rsidRDefault="000C0B1A" w:rsidP="000C0B1A">
      <w:pPr>
        <w:pStyle w:val="FootnoteText"/>
      </w:pPr>
      <w:r>
        <w:rPr>
          <w:rStyle w:val="FootnoteReference"/>
        </w:rPr>
        <w:footnoteRef/>
      </w:r>
      <w:r>
        <w:t xml:space="preserve"> </w:t>
      </w:r>
      <w:r w:rsidRPr="006A290D">
        <w:t>TCPA member companies</w:t>
      </w:r>
      <w:r>
        <w:t xml:space="preserve"> participating in these comments</w:t>
      </w:r>
      <w:r w:rsidRPr="006A290D">
        <w:t xml:space="preserve"> </w:t>
      </w:r>
      <w:proofErr w:type="gramStart"/>
      <w:r w:rsidRPr="006A290D">
        <w:t>include:</w:t>
      </w:r>
      <w:proofErr w:type="gramEnd"/>
      <w:r w:rsidRPr="006A290D">
        <w:t xml:space="preserve"> Calpine, </w:t>
      </w:r>
      <w:proofErr w:type="spellStart"/>
      <w:r>
        <w:t>Cogentrix</w:t>
      </w:r>
      <w:proofErr w:type="spellEnd"/>
      <w:r>
        <w:t xml:space="preserve">, </w:t>
      </w:r>
      <w:r w:rsidRPr="006A290D">
        <w:t>EDF Trading North America, Exelon</w:t>
      </w:r>
      <w:r>
        <w:t xml:space="preserve">, Luminant, </w:t>
      </w:r>
      <w:r w:rsidRPr="006A290D">
        <w:t>NRG, Shell Energy North America, Talen Energy, Tenaska</w:t>
      </w:r>
      <w:r>
        <w:t xml:space="preserve">, </w:t>
      </w:r>
      <w:proofErr w:type="spellStart"/>
      <w:r>
        <w:t>TexGen</w:t>
      </w:r>
      <w:proofErr w:type="spellEnd"/>
      <w:r>
        <w:t xml:space="preserve"> Power, and </w:t>
      </w:r>
      <w:proofErr w:type="spellStart"/>
      <w:r>
        <w:t>WattBridge</w:t>
      </w:r>
      <w:proofErr w:type="spellEnd"/>
      <w:r w:rsidRPr="006A290D">
        <w:t>.</w:t>
      </w:r>
      <w:r>
        <w:t xml:space="preserve"> </w:t>
      </w:r>
    </w:p>
  </w:footnote>
  <w:footnote w:id="4">
    <w:p w14:paraId="4230CCF4" w14:textId="3BFAD1BB" w:rsidR="00620978" w:rsidRDefault="00620978">
      <w:pPr>
        <w:pStyle w:val="FootnoteText"/>
      </w:pPr>
      <w:r>
        <w:rPr>
          <w:rStyle w:val="FootnoteReference"/>
        </w:rPr>
        <w:footnoteRef/>
      </w:r>
      <w:r>
        <w:t xml:space="preserve"> Proposed 16 TAC §25.57(c)</w:t>
      </w:r>
    </w:p>
  </w:footnote>
  <w:footnote w:id="5">
    <w:p w14:paraId="52AE14DF" w14:textId="1CBD8377" w:rsidR="000A1E25" w:rsidRDefault="000A1E25">
      <w:pPr>
        <w:pStyle w:val="FootnoteText"/>
      </w:pPr>
      <w:r>
        <w:rPr>
          <w:rStyle w:val="FootnoteReference"/>
        </w:rPr>
        <w:footnoteRef/>
      </w:r>
      <w:r>
        <w:t xml:space="preserve"> </w:t>
      </w:r>
      <w:hyperlink r:id="rId2" w:history="1">
        <w:r>
          <w:rPr>
            <w:rStyle w:val="Hyperlink"/>
          </w:rPr>
          <w:t>52287_16_1147260.PDF (texas.gov)</w:t>
        </w:r>
      </w:hyperlink>
      <w:r>
        <w:t xml:space="preserve">, </w:t>
      </w:r>
      <w:hyperlink r:id="rId3" w:history="1">
        <w:r>
          <w:rPr>
            <w:rStyle w:val="Hyperlink"/>
          </w:rPr>
          <w:t>52287_15_1147210.PDF (texas.gov)</w:t>
        </w:r>
      </w:hyperlink>
      <w:r>
        <w:t xml:space="preserve">, and </w:t>
      </w:r>
      <w:hyperlink r:id="rId4" w:history="1">
        <w:r>
          <w:rPr>
            <w:rStyle w:val="Hyperlink"/>
          </w:rPr>
          <w:t>52287_11_1147093.PDF (texas.gov)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1F"/>
    <w:multiLevelType w:val="hybridMultilevel"/>
    <w:tmpl w:val="6042265C"/>
    <w:lvl w:ilvl="0" w:tplc="F8104106">
      <w:start w:val="7"/>
      <w:numFmt w:val="lowerLetter"/>
      <w:lvlText w:val="(%1)"/>
      <w:lvlJc w:val="left"/>
    </w:lvl>
    <w:lvl w:ilvl="1" w:tplc="EAAEBA7A">
      <w:numFmt w:val="decimal"/>
      <w:lvlText w:val=""/>
      <w:lvlJc w:val="left"/>
    </w:lvl>
    <w:lvl w:ilvl="2" w:tplc="8E84F138">
      <w:numFmt w:val="decimal"/>
      <w:lvlText w:val=""/>
      <w:lvlJc w:val="left"/>
    </w:lvl>
    <w:lvl w:ilvl="3" w:tplc="96E2CABA">
      <w:numFmt w:val="decimal"/>
      <w:lvlText w:val=""/>
      <w:lvlJc w:val="left"/>
    </w:lvl>
    <w:lvl w:ilvl="4" w:tplc="C3F4EFE0">
      <w:numFmt w:val="decimal"/>
      <w:lvlText w:val=""/>
      <w:lvlJc w:val="left"/>
    </w:lvl>
    <w:lvl w:ilvl="5" w:tplc="0F3CAE60">
      <w:numFmt w:val="decimal"/>
      <w:lvlText w:val=""/>
      <w:lvlJc w:val="left"/>
    </w:lvl>
    <w:lvl w:ilvl="6" w:tplc="476ED36A">
      <w:numFmt w:val="decimal"/>
      <w:lvlText w:val=""/>
      <w:lvlJc w:val="left"/>
    </w:lvl>
    <w:lvl w:ilvl="7" w:tplc="049E74FA">
      <w:numFmt w:val="decimal"/>
      <w:lvlText w:val=""/>
      <w:lvlJc w:val="left"/>
    </w:lvl>
    <w:lvl w:ilvl="8" w:tplc="FF90FDE2">
      <w:numFmt w:val="decimal"/>
      <w:lvlText w:val=""/>
      <w:lvlJc w:val="left"/>
    </w:lvl>
  </w:abstractNum>
  <w:abstractNum w:abstractNumId="1" w15:restartNumberingAfterBreak="0">
    <w:nsid w:val="00004D06"/>
    <w:multiLevelType w:val="hybridMultilevel"/>
    <w:tmpl w:val="E660B834"/>
    <w:lvl w:ilvl="0" w:tplc="45D46368">
      <w:start w:val="1"/>
      <w:numFmt w:val="lowerLetter"/>
      <w:lvlText w:val="(%1)"/>
      <w:lvlJc w:val="left"/>
    </w:lvl>
    <w:lvl w:ilvl="1" w:tplc="00E8112A">
      <w:start w:val="1"/>
      <w:numFmt w:val="decimal"/>
      <w:lvlText w:val="(%2)"/>
      <w:lvlJc w:val="left"/>
    </w:lvl>
    <w:lvl w:ilvl="2" w:tplc="BBAA2036">
      <w:numFmt w:val="decimal"/>
      <w:lvlText w:val=""/>
      <w:lvlJc w:val="left"/>
    </w:lvl>
    <w:lvl w:ilvl="3" w:tplc="3112C754">
      <w:numFmt w:val="decimal"/>
      <w:lvlText w:val=""/>
      <w:lvlJc w:val="left"/>
    </w:lvl>
    <w:lvl w:ilvl="4" w:tplc="7A242630">
      <w:numFmt w:val="decimal"/>
      <w:lvlText w:val=""/>
      <w:lvlJc w:val="left"/>
    </w:lvl>
    <w:lvl w:ilvl="5" w:tplc="56685954">
      <w:numFmt w:val="decimal"/>
      <w:lvlText w:val=""/>
      <w:lvlJc w:val="left"/>
    </w:lvl>
    <w:lvl w:ilvl="6" w:tplc="699AB008">
      <w:numFmt w:val="decimal"/>
      <w:lvlText w:val=""/>
      <w:lvlJc w:val="left"/>
    </w:lvl>
    <w:lvl w:ilvl="7" w:tplc="A246F7D2">
      <w:numFmt w:val="decimal"/>
      <w:lvlText w:val=""/>
      <w:lvlJc w:val="left"/>
    </w:lvl>
    <w:lvl w:ilvl="8" w:tplc="ECC6106A">
      <w:numFmt w:val="decimal"/>
      <w:lvlText w:val=""/>
      <w:lvlJc w:val="left"/>
    </w:lvl>
  </w:abstractNum>
  <w:abstractNum w:abstractNumId="2" w15:restartNumberingAfterBreak="0">
    <w:nsid w:val="054B38DA"/>
    <w:multiLevelType w:val="hybridMultilevel"/>
    <w:tmpl w:val="2662E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B115C"/>
    <w:multiLevelType w:val="hybridMultilevel"/>
    <w:tmpl w:val="6D84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78B1"/>
    <w:multiLevelType w:val="hybridMultilevel"/>
    <w:tmpl w:val="BDAE5724"/>
    <w:lvl w:ilvl="0" w:tplc="3FC02F12">
      <w:start w:val="4"/>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7AFB"/>
    <w:multiLevelType w:val="hybridMultilevel"/>
    <w:tmpl w:val="BDAE5724"/>
    <w:lvl w:ilvl="0" w:tplc="FFFFFFFF">
      <w:start w:val="4"/>
      <w:numFmt w:val="lowerRoman"/>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F205EC"/>
    <w:multiLevelType w:val="hybridMultilevel"/>
    <w:tmpl w:val="B7B4ED5C"/>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5A83"/>
    <w:multiLevelType w:val="hybridMultilevel"/>
    <w:tmpl w:val="1910D3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73B31"/>
    <w:multiLevelType w:val="hybridMultilevel"/>
    <w:tmpl w:val="EE8C0296"/>
    <w:lvl w:ilvl="0" w:tplc="ECA6328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27A80"/>
    <w:multiLevelType w:val="hybridMultilevel"/>
    <w:tmpl w:val="C480D92E"/>
    <w:lvl w:ilvl="0" w:tplc="93BAAA84">
      <w:start w:val="4"/>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15989"/>
    <w:multiLevelType w:val="hybridMultilevel"/>
    <w:tmpl w:val="5B007748"/>
    <w:lvl w:ilvl="0" w:tplc="9412F9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A3C75"/>
    <w:multiLevelType w:val="hybridMultilevel"/>
    <w:tmpl w:val="4934B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6603B"/>
    <w:multiLevelType w:val="hybridMultilevel"/>
    <w:tmpl w:val="1C46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E0585"/>
    <w:multiLevelType w:val="hybridMultilevel"/>
    <w:tmpl w:val="02B2D9BE"/>
    <w:lvl w:ilvl="0" w:tplc="754C431E">
      <w:start w:val="3"/>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30E70"/>
    <w:multiLevelType w:val="hybridMultilevel"/>
    <w:tmpl w:val="58CAC864"/>
    <w:lvl w:ilvl="0" w:tplc="19C852C4">
      <w:start w:val="7"/>
      <w:numFmt w:val="upperLetter"/>
      <w:lvlText w:val="(%1)"/>
      <w:lvlJc w:val="left"/>
      <w:pPr>
        <w:ind w:left="1890" w:hanging="180"/>
      </w:pPr>
      <w:rPr>
        <w:rFonts w:hint="default"/>
        <w:strike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19F3266"/>
    <w:multiLevelType w:val="hybridMultilevel"/>
    <w:tmpl w:val="D6424BF6"/>
    <w:lvl w:ilvl="0" w:tplc="455C6A7C">
      <w:start w:val="1"/>
      <w:numFmt w:val="upperLetter"/>
      <w:lvlText w:val="%1."/>
      <w:lvlJc w:val="left"/>
      <w:pPr>
        <w:ind w:left="720" w:hanging="360"/>
      </w:pPr>
      <w:rPr>
        <w:b/>
        <w:bCs w:val="0"/>
      </w:rPr>
    </w:lvl>
    <w:lvl w:ilvl="1" w:tplc="0409000F">
      <w:start w:val="1"/>
      <w:numFmt w:val="decimal"/>
      <w:lvlText w:val="%2."/>
      <w:lvlJc w:val="left"/>
      <w:pPr>
        <w:ind w:left="1440" w:hanging="360"/>
      </w:pPr>
      <w:rPr>
        <w:b/>
        <w:bCs/>
      </w:rPr>
    </w:lvl>
    <w:lvl w:ilvl="2" w:tplc="AC42F83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77F8"/>
    <w:multiLevelType w:val="hybridMultilevel"/>
    <w:tmpl w:val="BA04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950EA"/>
    <w:multiLevelType w:val="hybridMultilevel"/>
    <w:tmpl w:val="B0564D3C"/>
    <w:lvl w:ilvl="0" w:tplc="FFFFFFFF">
      <w:numFmt w:val="decimal"/>
      <w:lvlText w:val=""/>
      <w:lvlJc w:val="left"/>
    </w:lvl>
    <w:lvl w:ilvl="1" w:tplc="FFFFFFFF">
      <w:start w:val="1"/>
      <w:numFmt w:val="decimal"/>
      <w:lvlText w:val="(%2)"/>
      <w:lvlJc w:val="left"/>
      <w:pPr>
        <w:ind w:left="1440" w:hanging="360"/>
      </w:pPr>
    </w:lvl>
    <w:lvl w:ilvl="2" w:tplc="FFFFFFFF">
      <w:start w:val="1"/>
      <w:numFmt w:val="upperLetter"/>
      <w:lvlText w:val="(%3)"/>
      <w:lvlJc w:val="left"/>
      <w:pPr>
        <w:ind w:left="2160" w:hanging="180"/>
      </w:pPr>
    </w:lvl>
    <w:lvl w:ilvl="3" w:tplc="BC965232">
      <w:start w:val="1"/>
      <w:numFmt w:val="lowerRoman"/>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9E3698"/>
    <w:multiLevelType w:val="hybridMultilevel"/>
    <w:tmpl w:val="6A98A752"/>
    <w:lvl w:ilvl="0" w:tplc="149ACDA4">
      <w:start w:val="1"/>
      <w:numFmt w:val="lowerLetter"/>
      <w:lvlText w:val="(%1)"/>
      <w:lvlJc w:val="left"/>
      <w:pPr>
        <w:ind w:left="1080" w:hanging="360"/>
      </w:pPr>
      <w:rPr>
        <w:rFonts w:hint="default"/>
        <w:u w:val="none"/>
      </w:rPr>
    </w:lvl>
    <w:lvl w:ilvl="1" w:tplc="DFD8F0DE">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AF26BF"/>
    <w:multiLevelType w:val="hybridMultilevel"/>
    <w:tmpl w:val="79645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940F6"/>
    <w:multiLevelType w:val="hybridMultilevel"/>
    <w:tmpl w:val="7CC2C0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FF24C3"/>
    <w:multiLevelType w:val="hybridMultilevel"/>
    <w:tmpl w:val="FCFE36B8"/>
    <w:lvl w:ilvl="0" w:tplc="CA884796">
      <w:start w:val="9"/>
      <w:numFmt w:val="upperLetter"/>
      <w:lvlText w:val="(%1)"/>
      <w:lvlJc w:val="left"/>
      <w:pPr>
        <w:ind w:left="2160" w:hanging="1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23436"/>
    <w:multiLevelType w:val="hybridMultilevel"/>
    <w:tmpl w:val="5DC25FD8"/>
    <w:lvl w:ilvl="0" w:tplc="39420F0E">
      <w:start w:val="3"/>
      <w:numFmt w:val="decimal"/>
      <w:lvlText w:val="(%1)"/>
      <w:lvlJc w:val="left"/>
      <w:pPr>
        <w:ind w:left="1440" w:hanging="360"/>
      </w:pPr>
      <w:rPr>
        <w:rFonts w:hint="default"/>
        <w:strike/>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46CC8"/>
    <w:multiLevelType w:val="hybridMultilevel"/>
    <w:tmpl w:val="450EB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E5E21"/>
    <w:multiLevelType w:val="hybridMultilevel"/>
    <w:tmpl w:val="B1F48600"/>
    <w:lvl w:ilvl="0" w:tplc="BC965232">
      <w:start w:val="1"/>
      <w:numFmt w:val="lowerRoman"/>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4D274A0"/>
    <w:multiLevelType w:val="hybridMultilevel"/>
    <w:tmpl w:val="6E6A6C2E"/>
    <w:lvl w:ilvl="0" w:tplc="699AB008">
      <w:numFmt w:val="decimal"/>
      <w:lvlText w:val=""/>
      <w:lvlJc w:val="left"/>
    </w:lvl>
    <w:lvl w:ilvl="1" w:tplc="DFD8F0DE">
      <w:start w:val="1"/>
      <w:numFmt w:val="decimal"/>
      <w:lvlText w:val="(%2)"/>
      <w:lvlJc w:val="left"/>
      <w:pPr>
        <w:ind w:left="1440" w:hanging="360"/>
      </w:pPr>
    </w:lvl>
    <w:lvl w:ilvl="2" w:tplc="465EF95E">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D4763"/>
    <w:multiLevelType w:val="hybridMultilevel"/>
    <w:tmpl w:val="E4E6FD94"/>
    <w:lvl w:ilvl="0" w:tplc="E31AFDF2">
      <w:start w:val="8"/>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C1F47"/>
    <w:multiLevelType w:val="hybridMultilevel"/>
    <w:tmpl w:val="59A69714"/>
    <w:lvl w:ilvl="0" w:tplc="465EF95E">
      <w:start w:val="1"/>
      <w:numFmt w:val="upp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C7ADA"/>
    <w:multiLevelType w:val="hybridMultilevel"/>
    <w:tmpl w:val="EB1E7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1"/>
  </w:num>
  <w:num w:numId="5">
    <w:abstractNumId w:val="25"/>
  </w:num>
  <w:num w:numId="6">
    <w:abstractNumId w:val="15"/>
  </w:num>
  <w:num w:numId="7">
    <w:abstractNumId w:val="10"/>
  </w:num>
  <w:num w:numId="8">
    <w:abstractNumId w:val="2"/>
  </w:num>
  <w:num w:numId="9">
    <w:abstractNumId w:val="20"/>
  </w:num>
  <w:num w:numId="10">
    <w:abstractNumId w:val="23"/>
  </w:num>
  <w:num w:numId="11">
    <w:abstractNumId w:val="28"/>
  </w:num>
  <w:num w:numId="12">
    <w:abstractNumId w:val="11"/>
  </w:num>
  <w:num w:numId="13">
    <w:abstractNumId w:val="19"/>
  </w:num>
  <w:num w:numId="14">
    <w:abstractNumId w:val="7"/>
  </w:num>
  <w:num w:numId="15">
    <w:abstractNumId w:val="8"/>
  </w:num>
  <w:num w:numId="16">
    <w:abstractNumId w:val="21"/>
  </w:num>
  <w:num w:numId="17">
    <w:abstractNumId w:val="17"/>
  </w:num>
  <w:num w:numId="18">
    <w:abstractNumId w:val="4"/>
  </w:num>
  <w:num w:numId="19">
    <w:abstractNumId w:val="24"/>
  </w:num>
  <w:num w:numId="20">
    <w:abstractNumId w:val="5"/>
  </w:num>
  <w:num w:numId="21">
    <w:abstractNumId w:val="14"/>
  </w:num>
  <w:num w:numId="22">
    <w:abstractNumId w:val="6"/>
  </w:num>
  <w:num w:numId="23">
    <w:abstractNumId w:val="26"/>
  </w:num>
  <w:num w:numId="24">
    <w:abstractNumId w:val="9"/>
  </w:num>
  <w:num w:numId="25">
    <w:abstractNumId w:val="0"/>
  </w:num>
  <w:num w:numId="26">
    <w:abstractNumId w:val="16"/>
  </w:num>
  <w:num w:numId="27">
    <w:abstractNumId w:val="22"/>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ocumentProtection w:edit="readOnly" w:formatting="1"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46"/>
    <w:rsid w:val="00027D49"/>
    <w:rsid w:val="00034906"/>
    <w:rsid w:val="00046C46"/>
    <w:rsid w:val="000470B5"/>
    <w:rsid w:val="00047366"/>
    <w:rsid w:val="000541D4"/>
    <w:rsid w:val="00061A66"/>
    <w:rsid w:val="0006560A"/>
    <w:rsid w:val="00067076"/>
    <w:rsid w:val="00072FB6"/>
    <w:rsid w:val="000A1E25"/>
    <w:rsid w:val="000A250F"/>
    <w:rsid w:val="000A46BE"/>
    <w:rsid w:val="000B1615"/>
    <w:rsid w:val="000B7E64"/>
    <w:rsid w:val="000C0948"/>
    <w:rsid w:val="000C0B1A"/>
    <w:rsid w:val="000C6468"/>
    <w:rsid w:val="000D006A"/>
    <w:rsid w:val="000D0AA0"/>
    <w:rsid w:val="000D18BA"/>
    <w:rsid w:val="000D529C"/>
    <w:rsid w:val="000E3FFB"/>
    <w:rsid w:val="000E64BF"/>
    <w:rsid w:val="000F1924"/>
    <w:rsid w:val="00107439"/>
    <w:rsid w:val="00113EB3"/>
    <w:rsid w:val="00114DD9"/>
    <w:rsid w:val="00116907"/>
    <w:rsid w:val="001253C7"/>
    <w:rsid w:val="00126DA7"/>
    <w:rsid w:val="001279D6"/>
    <w:rsid w:val="00132E60"/>
    <w:rsid w:val="00134975"/>
    <w:rsid w:val="00140CC3"/>
    <w:rsid w:val="00144AC4"/>
    <w:rsid w:val="001460B0"/>
    <w:rsid w:val="001516D7"/>
    <w:rsid w:val="00163C20"/>
    <w:rsid w:val="00173DC7"/>
    <w:rsid w:val="001742F3"/>
    <w:rsid w:val="001875EC"/>
    <w:rsid w:val="001918F1"/>
    <w:rsid w:val="0019416D"/>
    <w:rsid w:val="001952A5"/>
    <w:rsid w:val="001A371A"/>
    <w:rsid w:val="001A4191"/>
    <w:rsid w:val="001A6228"/>
    <w:rsid w:val="001C227C"/>
    <w:rsid w:val="001C4B7A"/>
    <w:rsid w:val="001C5A5D"/>
    <w:rsid w:val="001D4BE3"/>
    <w:rsid w:val="001D69D6"/>
    <w:rsid w:val="001E1D10"/>
    <w:rsid w:val="001E44EB"/>
    <w:rsid w:val="00203BF9"/>
    <w:rsid w:val="002114EC"/>
    <w:rsid w:val="00213FE4"/>
    <w:rsid w:val="002152F6"/>
    <w:rsid w:val="002174A6"/>
    <w:rsid w:val="0022662C"/>
    <w:rsid w:val="00226B43"/>
    <w:rsid w:val="00242B62"/>
    <w:rsid w:val="00243B0F"/>
    <w:rsid w:val="00244341"/>
    <w:rsid w:val="00267EA8"/>
    <w:rsid w:val="00281E7B"/>
    <w:rsid w:val="00284883"/>
    <w:rsid w:val="00294C11"/>
    <w:rsid w:val="00296296"/>
    <w:rsid w:val="002A1FCB"/>
    <w:rsid w:val="002A57F7"/>
    <w:rsid w:val="002C3670"/>
    <w:rsid w:val="002C4F86"/>
    <w:rsid w:val="002C5A90"/>
    <w:rsid w:val="002C7B5A"/>
    <w:rsid w:val="002D756B"/>
    <w:rsid w:val="002E2F76"/>
    <w:rsid w:val="002E4463"/>
    <w:rsid w:val="002E49A9"/>
    <w:rsid w:val="002F0AC0"/>
    <w:rsid w:val="002F43AF"/>
    <w:rsid w:val="002F750C"/>
    <w:rsid w:val="00307D53"/>
    <w:rsid w:val="00311AA4"/>
    <w:rsid w:val="0031721D"/>
    <w:rsid w:val="0032018B"/>
    <w:rsid w:val="003222A6"/>
    <w:rsid w:val="00330929"/>
    <w:rsid w:val="003322CD"/>
    <w:rsid w:val="00333188"/>
    <w:rsid w:val="003332D1"/>
    <w:rsid w:val="0034355A"/>
    <w:rsid w:val="00352E52"/>
    <w:rsid w:val="003772FD"/>
    <w:rsid w:val="00386ABE"/>
    <w:rsid w:val="0039088D"/>
    <w:rsid w:val="003A186B"/>
    <w:rsid w:val="003A3A8C"/>
    <w:rsid w:val="003B26A9"/>
    <w:rsid w:val="003B3AC6"/>
    <w:rsid w:val="003C516E"/>
    <w:rsid w:val="003D0743"/>
    <w:rsid w:val="003D0E9C"/>
    <w:rsid w:val="003D4730"/>
    <w:rsid w:val="003D4E7D"/>
    <w:rsid w:val="003D5964"/>
    <w:rsid w:val="003D6470"/>
    <w:rsid w:val="003D793F"/>
    <w:rsid w:val="003E261E"/>
    <w:rsid w:val="003E4C67"/>
    <w:rsid w:val="003E4F58"/>
    <w:rsid w:val="004070DB"/>
    <w:rsid w:val="00415A88"/>
    <w:rsid w:val="0042151B"/>
    <w:rsid w:val="00422E07"/>
    <w:rsid w:val="00436101"/>
    <w:rsid w:val="004512AC"/>
    <w:rsid w:val="00452B90"/>
    <w:rsid w:val="0045379F"/>
    <w:rsid w:val="00453FD0"/>
    <w:rsid w:val="0045682A"/>
    <w:rsid w:val="00460079"/>
    <w:rsid w:val="0046186E"/>
    <w:rsid w:val="00461AFE"/>
    <w:rsid w:val="004676FA"/>
    <w:rsid w:val="0046788E"/>
    <w:rsid w:val="0048030D"/>
    <w:rsid w:val="00485239"/>
    <w:rsid w:val="0048691B"/>
    <w:rsid w:val="00497945"/>
    <w:rsid w:val="00497FA2"/>
    <w:rsid w:val="004A21ED"/>
    <w:rsid w:val="004A78F5"/>
    <w:rsid w:val="004B0B68"/>
    <w:rsid w:val="004B0D75"/>
    <w:rsid w:val="004B69A8"/>
    <w:rsid w:val="004B6DBF"/>
    <w:rsid w:val="004C7ED8"/>
    <w:rsid w:val="004E0391"/>
    <w:rsid w:val="00502A57"/>
    <w:rsid w:val="0050324E"/>
    <w:rsid w:val="00505C81"/>
    <w:rsid w:val="00523B95"/>
    <w:rsid w:val="00524889"/>
    <w:rsid w:val="005303C1"/>
    <w:rsid w:val="00530DBF"/>
    <w:rsid w:val="00531E61"/>
    <w:rsid w:val="005335AE"/>
    <w:rsid w:val="005342B4"/>
    <w:rsid w:val="00536F34"/>
    <w:rsid w:val="005426D4"/>
    <w:rsid w:val="005454F8"/>
    <w:rsid w:val="0055376A"/>
    <w:rsid w:val="0055594D"/>
    <w:rsid w:val="00561EF7"/>
    <w:rsid w:val="00575393"/>
    <w:rsid w:val="00577B92"/>
    <w:rsid w:val="00580715"/>
    <w:rsid w:val="0058126E"/>
    <w:rsid w:val="005818FD"/>
    <w:rsid w:val="00581F2F"/>
    <w:rsid w:val="0058331F"/>
    <w:rsid w:val="005864FF"/>
    <w:rsid w:val="00586AD2"/>
    <w:rsid w:val="00587507"/>
    <w:rsid w:val="00590B8A"/>
    <w:rsid w:val="00595624"/>
    <w:rsid w:val="00595A68"/>
    <w:rsid w:val="005978E6"/>
    <w:rsid w:val="005A08AB"/>
    <w:rsid w:val="005B0045"/>
    <w:rsid w:val="005B1BB2"/>
    <w:rsid w:val="005B31B4"/>
    <w:rsid w:val="005B3E62"/>
    <w:rsid w:val="005C075F"/>
    <w:rsid w:val="005D0221"/>
    <w:rsid w:val="005D0B40"/>
    <w:rsid w:val="005D3BB9"/>
    <w:rsid w:val="005D5C11"/>
    <w:rsid w:val="005E2D62"/>
    <w:rsid w:val="005E490E"/>
    <w:rsid w:val="005E7294"/>
    <w:rsid w:val="005E7992"/>
    <w:rsid w:val="005F7A80"/>
    <w:rsid w:val="00601E3D"/>
    <w:rsid w:val="0060552F"/>
    <w:rsid w:val="00607EDE"/>
    <w:rsid w:val="006141FF"/>
    <w:rsid w:val="006154D4"/>
    <w:rsid w:val="00620978"/>
    <w:rsid w:val="00624B4C"/>
    <w:rsid w:val="00630852"/>
    <w:rsid w:val="00634E60"/>
    <w:rsid w:val="00654EF0"/>
    <w:rsid w:val="00656E6B"/>
    <w:rsid w:val="00662F8E"/>
    <w:rsid w:val="00664B65"/>
    <w:rsid w:val="00666970"/>
    <w:rsid w:val="00674E65"/>
    <w:rsid w:val="00680691"/>
    <w:rsid w:val="00683345"/>
    <w:rsid w:val="00684B58"/>
    <w:rsid w:val="006A56EF"/>
    <w:rsid w:val="006B6B0B"/>
    <w:rsid w:val="006C175A"/>
    <w:rsid w:val="006C28C9"/>
    <w:rsid w:val="006C3A47"/>
    <w:rsid w:val="006C4297"/>
    <w:rsid w:val="006C556C"/>
    <w:rsid w:val="006D0B47"/>
    <w:rsid w:val="006D2AE6"/>
    <w:rsid w:val="006D5A99"/>
    <w:rsid w:val="006D6383"/>
    <w:rsid w:val="006E40FF"/>
    <w:rsid w:val="006F109C"/>
    <w:rsid w:val="00700569"/>
    <w:rsid w:val="007024E1"/>
    <w:rsid w:val="00704ACE"/>
    <w:rsid w:val="00706573"/>
    <w:rsid w:val="00727E97"/>
    <w:rsid w:val="0073087C"/>
    <w:rsid w:val="00731811"/>
    <w:rsid w:val="00751AA5"/>
    <w:rsid w:val="0075638D"/>
    <w:rsid w:val="007601EA"/>
    <w:rsid w:val="00762903"/>
    <w:rsid w:val="007633B1"/>
    <w:rsid w:val="007822A4"/>
    <w:rsid w:val="007851D7"/>
    <w:rsid w:val="00792178"/>
    <w:rsid w:val="00792B92"/>
    <w:rsid w:val="0079543B"/>
    <w:rsid w:val="007960F5"/>
    <w:rsid w:val="007A741F"/>
    <w:rsid w:val="007B26E3"/>
    <w:rsid w:val="007D0349"/>
    <w:rsid w:val="007F44E1"/>
    <w:rsid w:val="007F735C"/>
    <w:rsid w:val="00803980"/>
    <w:rsid w:val="008070E5"/>
    <w:rsid w:val="00810F37"/>
    <w:rsid w:val="00814A7D"/>
    <w:rsid w:val="008245D1"/>
    <w:rsid w:val="00830ECC"/>
    <w:rsid w:val="00843D73"/>
    <w:rsid w:val="00854451"/>
    <w:rsid w:val="008566AF"/>
    <w:rsid w:val="00872CAE"/>
    <w:rsid w:val="00875A04"/>
    <w:rsid w:val="0088086C"/>
    <w:rsid w:val="00880FA4"/>
    <w:rsid w:val="00886C61"/>
    <w:rsid w:val="00894643"/>
    <w:rsid w:val="00897D2B"/>
    <w:rsid w:val="008A21FD"/>
    <w:rsid w:val="008B7546"/>
    <w:rsid w:val="008C5B78"/>
    <w:rsid w:val="008C7B98"/>
    <w:rsid w:val="008D112E"/>
    <w:rsid w:val="008E2C7A"/>
    <w:rsid w:val="008F4952"/>
    <w:rsid w:val="008F7D2C"/>
    <w:rsid w:val="009010BC"/>
    <w:rsid w:val="00902594"/>
    <w:rsid w:val="009063D3"/>
    <w:rsid w:val="00912839"/>
    <w:rsid w:val="00920D16"/>
    <w:rsid w:val="00921B24"/>
    <w:rsid w:val="00923F22"/>
    <w:rsid w:val="0093796B"/>
    <w:rsid w:val="009463E2"/>
    <w:rsid w:val="009479CA"/>
    <w:rsid w:val="0095327F"/>
    <w:rsid w:val="0095439D"/>
    <w:rsid w:val="0095621B"/>
    <w:rsid w:val="009725DA"/>
    <w:rsid w:val="00974130"/>
    <w:rsid w:val="009927A8"/>
    <w:rsid w:val="00995FA2"/>
    <w:rsid w:val="00996CA9"/>
    <w:rsid w:val="009A1BA2"/>
    <w:rsid w:val="009A4303"/>
    <w:rsid w:val="009A62BF"/>
    <w:rsid w:val="009A6F20"/>
    <w:rsid w:val="009B5999"/>
    <w:rsid w:val="009C5528"/>
    <w:rsid w:val="009C6279"/>
    <w:rsid w:val="009D0943"/>
    <w:rsid w:val="009E0E45"/>
    <w:rsid w:val="009E1D4D"/>
    <w:rsid w:val="009E4566"/>
    <w:rsid w:val="009F03A5"/>
    <w:rsid w:val="009F08DF"/>
    <w:rsid w:val="009F7055"/>
    <w:rsid w:val="00A01140"/>
    <w:rsid w:val="00A03DD6"/>
    <w:rsid w:val="00A15454"/>
    <w:rsid w:val="00A157F6"/>
    <w:rsid w:val="00A16E58"/>
    <w:rsid w:val="00A260A9"/>
    <w:rsid w:val="00A267AA"/>
    <w:rsid w:val="00A27E43"/>
    <w:rsid w:val="00A360FD"/>
    <w:rsid w:val="00A36F03"/>
    <w:rsid w:val="00A44108"/>
    <w:rsid w:val="00A61351"/>
    <w:rsid w:val="00A73861"/>
    <w:rsid w:val="00A7721F"/>
    <w:rsid w:val="00A82E3B"/>
    <w:rsid w:val="00A82EDA"/>
    <w:rsid w:val="00A93847"/>
    <w:rsid w:val="00A957E5"/>
    <w:rsid w:val="00AA68C6"/>
    <w:rsid w:val="00AC3C14"/>
    <w:rsid w:val="00AC4196"/>
    <w:rsid w:val="00AC48B0"/>
    <w:rsid w:val="00AC5CCE"/>
    <w:rsid w:val="00AD11D4"/>
    <w:rsid w:val="00AD5D21"/>
    <w:rsid w:val="00AE5F34"/>
    <w:rsid w:val="00AF1446"/>
    <w:rsid w:val="00AF4849"/>
    <w:rsid w:val="00AF7DE9"/>
    <w:rsid w:val="00B0163A"/>
    <w:rsid w:val="00B0351A"/>
    <w:rsid w:val="00B04E05"/>
    <w:rsid w:val="00B12004"/>
    <w:rsid w:val="00B2247F"/>
    <w:rsid w:val="00B256BD"/>
    <w:rsid w:val="00B25A21"/>
    <w:rsid w:val="00B271DE"/>
    <w:rsid w:val="00B46245"/>
    <w:rsid w:val="00B55797"/>
    <w:rsid w:val="00B61EA8"/>
    <w:rsid w:val="00B72D17"/>
    <w:rsid w:val="00B74475"/>
    <w:rsid w:val="00B77185"/>
    <w:rsid w:val="00B82446"/>
    <w:rsid w:val="00B83829"/>
    <w:rsid w:val="00B844B7"/>
    <w:rsid w:val="00B84CAD"/>
    <w:rsid w:val="00B869B4"/>
    <w:rsid w:val="00B93DC6"/>
    <w:rsid w:val="00B945A3"/>
    <w:rsid w:val="00BA0869"/>
    <w:rsid w:val="00BA515B"/>
    <w:rsid w:val="00BB184B"/>
    <w:rsid w:val="00BB44D2"/>
    <w:rsid w:val="00BB646D"/>
    <w:rsid w:val="00BC5BD2"/>
    <w:rsid w:val="00BC72CF"/>
    <w:rsid w:val="00BD1F97"/>
    <w:rsid w:val="00BD4DF2"/>
    <w:rsid w:val="00BD506B"/>
    <w:rsid w:val="00BD70E8"/>
    <w:rsid w:val="00BE5EEB"/>
    <w:rsid w:val="00BE6AA7"/>
    <w:rsid w:val="00BF0081"/>
    <w:rsid w:val="00BF0A06"/>
    <w:rsid w:val="00C11C4B"/>
    <w:rsid w:val="00C36738"/>
    <w:rsid w:val="00C4363E"/>
    <w:rsid w:val="00C5165B"/>
    <w:rsid w:val="00C56455"/>
    <w:rsid w:val="00C5691A"/>
    <w:rsid w:val="00C57A55"/>
    <w:rsid w:val="00C605D7"/>
    <w:rsid w:val="00C72D17"/>
    <w:rsid w:val="00C76C9B"/>
    <w:rsid w:val="00C8319F"/>
    <w:rsid w:val="00C85154"/>
    <w:rsid w:val="00C864F2"/>
    <w:rsid w:val="00C9169B"/>
    <w:rsid w:val="00C92AA5"/>
    <w:rsid w:val="00C9435D"/>
    <w:rsid w:val="00CA397A"/>
    <w:rsid w:val="00CA4476"/>
    <w:rsid w:val="00CA55DD"/>
    <w:rsid w:val="00CA65BA"/>
    <w:rsid w:val="00CC665E"/>
    <w:rsid w:val="00CE1254"/>
    <w:rsid w:val="00CF34C9"/>
    <w:rsid w:val="00CF50C6"/>
    <w:rsid w:val="00D00A3A"/>
    <w:rsid w:val="00D014B9"/>
    <w:rsid w:val="00D069EE"/>
    <w:rsid w:val="00D16116"/>
    <w:rsid w:val="00D16CDB"/>
    <w:rsid w:val="00D233D6"/>
    <w:rsid w:val="00D27CEF"/>
    <w:rsid w:val="00D30ED9"/>
    <w:rsid w:val="00D33855"/>
    <w:rsid w:val="00D373DF"/>
    <w:rsid w:val="00D41F3B"/>
    <w:rsid w:val="00D42033"/>
    <w:rsid w:val="00D43F6E"/>
    <w:rsid w:val="00D52AE1"/>
    <w:rsid w:val="00D548DF"/>
    <w:rsid w:val="00D57C50"/>
    <w:rsid w:val="00D661E9"/>
    <w:rsid w:val="00D66971"/>
    <w:rsid w:val="00D712D7"/>
    <w:rsid w:val="00D714B8"/>
    <w:rsid w:val="00D74CC8"/>
    <w:rsid w:val="00D80146"/>
    <w:rsid w:val="00D825ED"/>
    <w:rsid w:val="00D8346C"/>
    <w:rsid w:val="00D8657D"/>
    <w:rsid w:val="00D91202"/>
    <w:rsid w:val="00D976C3"/>
    <w:rsid w:val="00DA5B87"/>
    <w:rsid w:val="00DC1CBE"/>
    <w:rsid w:val="00DC3469"/>
    <w:rsid w:val="00DD12BF"/>
    <w:rsid w:val="00DD1657"/>
    <w:rsid w:val="00DE2623"/>
    <w:rsid w:val="00DE4437"/>
    <w:rsid w:val="00DF0A49"/>
    <w:rsid w:val="00DF4050"/>
    <w:rsid w:val="00DF5762"/>
    <w:rsid w:val="00E0100E"/>
    <w:rsid w:val="00E03248"/>
    <w:rsid w:val="00E033FD"/>
    <w:rsid w:val="00E039B0"/>
    <w:rsid w:val="00E11DEE"/>
    <w:rsid w:val="00E14B1C"/>
    <w:rsid w:val="00E17B6D"/>
    <w:rsid w:val="00E21723"/>
    <w:rsid w:val="00E21A70"/>
    <w:rsid w:val="00E21B1E"/>
    <w:rsid w:val="00E301B4"/>
    <w:rsid w:val="00E3052E"/>
    <w:rsid w:val="00E47D33"/>
    <w:rsid w:val="00E51397"/>
    <w:rsid w:val="00E5390C"/>
    <w:rsid w:val="00E54C81"/>
    <w:rsid w:val="00E674F5"/>
    <w:rsid w:val="00E705E0"/>
    <w:rsid w:val="00E8287B"/>
    <w:rsid w:val="00E87DEA"/>
    <w:rsid w:val="00E93082"/>
    <w:rsid w:val="00EA4E02"/>
    <w:rsid w:val="00EA7401"/>
    <w:rsid w:val="00EB193D"/>
    <w:rsid w:val="00EB3AC7"/>
    <w:rsid w:val="00EB562A"/>
    <w:rsid w:val="00EB6EE5"/>
    <w:rsid w:val="00EC5230"/>
    <w:rsid w:val="00EC6513"/>
    <w:rsid w:val="00ED108D"/>
    <w:rsid w:val="00ED1BFF"/>
    <w:rsid w:val="00ED5D65"/>
    <w:rsid w:val="00EE435B"/>
    <w:rsid w:val="00EF12F0"/>
    <w:rsid w:val="00F125FF"/>
    <w:rsid w:val="00F155A8"/>
    <w:rsid w:val="00F30BE0"/>
    <w:rsid w:val="00F3627A"/>
    <w:rsid w:val="00F40502"/>
    <w:rsid w:val="00F43278"/>
    <w:rsid w:val="00F46E7C"/>
    <w:rsid w:val="00F55F97"/>
    <w:rsid w:val="00F84B65"/>
    <w:rsid w:val="00F974DF"/>
    <w:rsid w:val="00FA0E4C"/>
    <w:rsid w:val="00FA39ED"/>
    <w:rsid w:val="00FA50F0"/>
    <w:rsid w:val="00FC077A"/>
    <w:rsid w:val="00FC4EA0"/>
    <w:rsid w:val="00FD0915"/>
    <w:rsid w:val="00FD23E8"/>
    <w:rsid w:val="00FE1976"/>
    <w:rsid w:val="00FF28B5"/>
    <w:rsid w:val="00FF3BEA"/>
    <w:rsid w:val="00FF76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C6EFCB"/>
  <w15:docId w15:val="{0C5CDDF8-A6CF-E142-9E1E-C203720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46"/>
    <w:pPr>
      <w:tabs>
        <w:tab w:val="center" w:pos="4320"/>
        <w:tab w:val="right" w:pos="8640"/>
      </w:tabs>
    </w:pPr>
  </w:style>
  <w:style w:type="character" w:customStyle="1" w:styleId="HeaderChar">
    <w:name w:val="Header Char"/>
    <w:basedOn w:val="DefaultParagraphFont"/>
    <w:link w:val="Header"/>
    <w:uiPriority w:val="99"/>
    <w:rsid w:val="00AF1446"/>
  </w:style>
  <w:style w:type="paragraph" w:styleId="Footer">
    <w:name w:val="footer"/>
    <w:basedOn w:val="Normal"/>
    <w:link w:val="FooterChar"/>
    <w:uiPriority w:val="99"/>
    <w:unhideWhenUsed/>
    <w:rsid w:val="00AF1446"/>
    <w:pPr>
      <w:tabs>
        <w:tab w:val="center" w:pos="4320"/>
        <w:tab w:val="right" w:pos="8640"/>
      </w:tabs>
    </w:pPr>
  </w:style>
  <w:style w:type="character" w:customStyle="1" w:styleId="FooterChar">
    <w:name w:val="Footer Char"/>
    <w:basedOn w:val="DefaultParagraphFont"/>
    <w:link w:val="Footer"/>
    <w:uiPriority w:val="99"/>
    <w:rsid w:val="00AF1446"/>
  </w:style>
  <w:style w:type="paragraph" w:styleId="ListParagraph">
    <w:name w:val="List Paragraph"/>
    <w:basedOn w:val="Normal"/>
    <w:link w:val="ListParagraphChar"/>
    <w:uiPriority w:val="34"/>
    <w:qFormat/>
    <w:rsid w:val="00DF5762"/>
    <w:pPr>
      <w:ind w:left="720"/>
      <w:contextualSpacing/>
    </w:pPr>
  </w:style>
  <w:style w:type="paragraph" w:styleId="FootnoteText">
    <w:name w:val="footnote text"/>
    <w:basedOn w:val="Normal"/>
    <w:link w:val="FootnoteTextChar"/>
    <w:uiPriority w:val="99"/>
    <w:unhideWhenUsed/>
    <w:rsid w:val="006B6B0B"/>
  </w:style>
  <w:style w:type="character" w:customStyle="1" w:styleId="FootnoteTextChar">
    <w:name w:val="Footnote Text Char"/>
    <w:basedOn w:val="DefaultParagraphFont"/>
    <w:link w:val="FootnoteText"/>
    <w:uiPriority w:val="99"/>
    <w:rsid w:val="006B6B0B"/>
  </w:style>
  <w:style w:type="character" w:styleId="FootnoteReference">
    <w:name w:val="footnote reference"/>
    <w:basedOn w:val="DefaultParagraphFont"/>
    <w:uiPriority w:val="99"/>
    <w:unhideWhenUsed/>
    <w:rsid w:val="006B6B0B"/>
    <w:rPr>
      <w:vertAlign w:val="superscript"/>
    </w:rPr>
  </w:style>
  <w:style w:type="table" w:styleId="TableGrid">
    <w:name w:val="Table Grid"/>
    <w:basedOn w:val="TableNormal"/>
    <w:uiPriority w:val="59"/>
    <w:rsid w:val="009A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DF"/>
    <w:rPr>
      <w:rFonts w:ascii="Segoe UI" w:hAnsi="Segoe UI" w:cs="Segoe UI"/>
      <w:sz w:val="18"/>
      <w:szCs w:val="18"/>
    </w:rPr>
  </w:style>
  <w:style w:type="character" w:styleId="CommentReference">
    <w:name w:val="annotation reference"/>
    <w:basedOn w:val="DefaultParagraphFont"/>
    <w:uiPriority w:val="99"/>
    <w:semiHidden/>
    <w:unhideWhenUsed/>
    <w:rsid w:val="00BF0A06"/>
    <w:rPr>
      <w:sz w:val="16"/>
      <w:szCs w:val="16"/>
    </w:rPr>
  </w:style>
  <w:style w:type="paragraph" w:styleId="CommentText">
    <w:name w:val="annotation text"/>
    <w:basedOn w:val="Normal"/>
    <w:link w:val="CommentTextChar"/>
    <w:uiPriority w:val="99"/>
    <w:unhideWhenUsed/>
    <w:rsid w:val="00BF0A06"/>
    <w:rPr>
      <w:sz w:val="20"/>
      <w:szCs w:val="20"/>
    </w:rPr>
  </w:style>
  <w:style w:type="character" w:customStyle="1" w:styleId="CommentTextChar">
    <w:name w:val="Comment Text Char"/>
    <w:basedOn w:val="DefaultParagraphFont"/>
    <w:link w:val="CommentText"/>
    <w:uiPriority w:val="99"/>
    <w:rsid w:val="00BF0A06"/>
    <w:rPr>
      <w:sz w:val="20"/>
      <w:szCs w:val="20"/>
    </w:rPr>
  </w:style>
  <w:style w:type="paragraph" w:styleId="CommentSubject">
    <w:name w:val="annotation subject"/>
    <w:basedOn w:val="CommentText"/>
    <w:next w:val="CommentText"/>
    <w:link w:val="CommentSubjectChar"/>
    <w:uiPriority w:val="99"/>
    <w:semiHidden/>
    <w:unhideWhenUsed/>
    <w:rsid w:val="00BF0A06"/>
    <w:rPr>
      <w:b/>
      <w:bCs/>
    </w:rPr>
  </w:style>
  <w:style w:type="character" w:customStyle="1" w:styleId="CommentSubjectChar">
    <w:name w:val="Comment Subject Char"/>
    <w:basedOn w:val="CommentTextChar"/>
    <w:link w:val="CommentSubject"/>
    <w:uiPriority w:val="99"/>
    <w:semiHidden/>
    <w:rsid w:val="00BF0A06"/>
    <w:rPr>
      <w:b/>
      <w:bCs/>
      <w:sz w:val="20"/>
      <w:szCs w:val="20"/>
    </w:rPr>
  </w:style>
  <w:style w:type="character" w:styleId="Hyperlink">
    <w:name w:val="Hyperlink"/>
    <w:basedOn w:val="DefaultParagraphFont"/>
    <w:uiPriority w:val="99"/>
    <w:unhideWhenUsed/>
    <w:rsid w:val="00294C11"/>
    <w:rPr>
      <w:color w:val="0000FF" w:themeColor="hyperlink"/>
      <w:u w:val="single"/>
    </w:rPr>
  </w:style>
  <w:style w:type="character" w:customStyle="1" w:styleId="UnresolvedMention1">
    <w:name w:val="Unresolved Mention1"/>
    <w:basedOn w:val="DefaultParagraphFont"/>
    <w:uiPriority w:val="99"/>
    <w:semiHidden/>
    <w:unhideWhenUsed/>
    <w:rsid w:val="00294C11"/>
    <w:rPr>
      <w:color w:val="605E5C"/>
      <w:shd w:val="clear" w:color="auto" w:fill="E1DFDD"/>
    </w:rPr>
  </w:style>
  <w:style w:type="character" w:customStyle="1" w:styleId="ListParagraphChar">
    <w:name w:val="List Paragraph Char"/>
    <w:basedOn w:val="DefaultParagraphFont"/>
    <w:link w:val="ListParagraph"/>
    <w:uiPriority w:val="34"/>
    <w:rsid w:val="0088086C"/>
  </w:style>
  <w:style w:type="paragraph" w:styleId="Revision">
    <w:name w:val="Revision"/>
    <w:hidden/>
    <w:uiPriority w:val="99"/>
    <w:semiHidden/>
    <w:rsid w:val="00B8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79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chele@competitivepow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terchange.puc.texas.gov/Documents/52287_15_1147210.PDF" TargetMode="External"/><Relationship Id="rId2" Type="http://schemas.openxmlformats.org/officeDocument/2006/relationships/hyperlink" Target="http://interchange.puc.texas.gov/Documents/52287_16_1147260.PDF" TargetMode="External"/><Relationship Id="rId1" Type="http://schemas.openxmlformats.org/officeDocument/2006/relationships/hyperlink" Target="https://www.sos.texas.gov/texreg/archive/December312021/Proposed%20Rules/16.ECONOMIC%20REGULATION.html" TargetMode="External"/><Relationship Id="rId4" Type="http://schemas.openxmlformats.org/officeDocument/2006/relationships/hyperlink" Target="http://interchange.puc.texas.gov/Documents/52287_11_11470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767E-8A26-4137-A124-CCEF8956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957</Words>
  <Characters>5459</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Shellman</dc:creator>
  <cp:keywords/>
  <dc:description/>
  <cp:lastModifiedBy>Michele Richmond</cp:lastModifiedBy>
  <cp:revision>3</cp:revision>
  <dcterms:created xsi:type="dcterms:W3CDTF">2022-01-10T20:56:00Z</dcterms:created>
  <dcterms:modified xsi:type="dcterms:W3CDTF">2022-01-11T01:17:00Z</dcterms:modified>
</cp:coreProperties>
</file>