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0C2F" w14:textId="471F0157" w:rsidR="009A62BF" w:rsidRPr="00C36738" w:rsidRDefault="000A46BE" w:rsidP="00E47D33">
      <w:pPr>
        <w:jc w:val="center"/>
        <w:rPr>
          <w:rFonts w:ascii="Times New Roman" w:hAnsi="Times New Roman" w:cs="Times New Roman"/>
        </w:rPr>
      </w:pPr>
      <w:r w:rsidRPr="00C36738">
        <w:rPr>
          <w:rFonts w:ascii="Times New Roman" w:hAnsi="Times New Roman" w:cs="Times New Roman"/>
          <w:b/>
          <w:bCs/>
        </w:rPr>
        <w:t xml:space="preserve">PROJECT NO. </w:t>
      </w:r>
      <w:r w:rsidR="001A666C">
        <w:rPr>
          <w:rFonts w:ascii="Times New Roman" w:hAnsi="Times New Roman" w:cs="Times New Roman"/>
          <w:b/>
          <w:bCs/>
        </w:rPr>
        <w:t>53191</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950"/>
      </w:tblGrid>
      <w:tr w:rsidR="000A46BE" w:rsidRPr="00C36738" w14:paraId="2DA35ED6" w14:textId="77777777" w:rsidTr="001C5A5D">
        <w:trPr>
          <w:trHeight w:val="1341"/>
        </w:trPr>
        <w:tc>
          <w:tcPr>
            <w:tcW w:w="4230" w:type="dxa"/>
            <w:vAlign w:val="center"/>
          </w:tcPr>
          <w:p w14:paraId="65985F7B" w14:textId="5CB9F267" w:rsidR="000A46BE" w:rsidRPr="00C36738" w:rsidRDefault="001A666C" w:rsidP="001C5A5D">
            <w:pPr>
              <w:rPr>
                <w:rFonts w:ascii="Times New Roman" w:hAnsi="Times New Roman" w:cs="Times New Roman"/>
                <w:b/>
                <w:bCs/>
              </w:rPr>
            </w:pPr>
            <w:r w:rsidRPr="001A666C">
              <w:rPr>
                <w:rFonts w:ascii="Times New Roman" w:hAnsi="Times New Roman" w:cs="Times New Roman"/>
                <w:b/>
                <w:bCs/>
              </w:rPr>
              <w:t>REORGANIZATION OF §25.505</w:t>
            </w:r>
          </w:p>
        </w:tc>
        <w:tc>
          <w:tcPr>
            <w:tcW w:w="720" w:type="dxa"/>
            <w:vAlign w:val="center"/>
          </w:tcPr>
          <w:p w14:paraId="6C106138" w14:textId="77777777" w:rsidR="000A46BE"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p w14:paraId="5F1E91B9" w14:textId="77777777" w:rsidR="001C5A5D"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p w14:paraId="0D33AC7C" w14:textId="32C95AB9" w:rsidR="001C5A5D"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tc>
        <w:tc>
          <w:tcPr>
            <w:tcW w:w="4950" w:type="dxa"/>
            <w:vAlign w:val="center"/>
          </w:tcPr>
          <w:p w14:paraId="431DE9DD" w14:textId="1D45B606"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BEFORE THE</w:t>
            </w:r>
          </w:p>
          <w:p w14:paraId="6DA18CCA" w14:textId="77777777"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PUBLIC UTILITY COMMISSION</w:t>
            </w:r>
          </w:p>
          <w:p w14:paraId="69A3027D" w14:textId="77777777"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OF TEXAS</w:t>
            </w:r>
          </w:p>
        </w:tc>
      </w:tr>
    </w:tbl>
    <w:p w14:paraId="12A61059" w14:textId="13C18144" w:rsidR="003D4730" w:rsidRPr="00C36738" w:rsidRDefault="009A62BF" w:rsidP="008877F3">
      <w:pPr>
        <w:ind w:hanging="450"/>
        <w:rPr>
          <w:rFonts w:ascii="Times New Roman" w:hAnsi="Times New Roman" w:cs="Times New Roman"/>
          <w:u w:val="single"/>
        </w:rPr>
      </w:pPr>
      <w:r w:rsidRPr="00C36738">
        <w:rPr>
          <w:rFonts w:ascii="Times New Roman" w:hAnsi="Times New Roman" w:cs="Times New Roman"/>
          <w:b/>
          <w:bCs/>
        </w:rPr>
        <w:tab/>
      </w:r>
    </w:p>
    <w:p w14:paraId="36860F62" w14:textId="478C4922" w:rsidR="00AF1446" w:rsidRPr="00C36738" w:rsidRDefault="00DF5762" w:rsidP="00AF1446">
      <w:pPr>
        <w:jc w:val="center"/>
        <w:rPr>
          <w:rFonts w:ascii="Times New Roman" w:hAnsi="Times New Roman" w:cs="Times New Roman"/>
          <w:b/>
          <w:bCs/>
          <w:u w:val="single"/>
        </w:rPr>
      </w:pPr>
      <w:r w:rsidRPr="00C36738">
        <w:rPr>
          <w:rFonts w:ascii="Times New Roman" w:hAnsi="Times New Roman" w:cs="Times New Roman"/>
          <w:b/>
          <w:bCs/>
          <w:u w:val="single"/>
        </w:rPr>
        <w:t xml:space="preserve">COMMENTS OF </w:t>
      </w:r>
      <w:r w:rsidR="006141FF">
        <w:rPr>
          <w:rFonts w:ascii="Times New Roman" w:hAnsi="Times New Roman" w:cs="Times New Roman"/>
          <w:b/>
          <w:bCs/>
          <w:u w:val="single"/>
        </w:rPr>
        <w:t>T</w:t>
      </w:r>
      <w:r w:rsidR="00792B92">
        <w:rPr>
          <w:rFonts w:ascii="Times New Roman" w:hAnsi="Times New Roman" w:cs="Times New Roman"/>
          <w:b/>
          <w:bCs/>
          <w:u w:val="single"/>
        </w:rPr>
        <w:t>EXAS</w:t>
      </w:r>
      <w:r w:rsidR="00EB3AC7">
        <w:rPr>
          <w:rFonts w:ascii="Times New Roman" w:hAnsi="Times New Roman" w:cs="Times New Roman"/>
          <w:b/>
          <w:bCs/>
          <w:u w:val="single"/>
        </w:rPr>
        <w:t xml:space="preserve"> </w:t>
      </w:r>
      <w:r w:rsidR="006141FF">
        <w:rPr>
          <w:rFonts w:ascii="Times New Roman" w:hAnsi="Times New Roman" w:cs="Times New Roman"/>
          <w:b/>
          <w:bCs/>
          <w:u w:val="single"/>
        </w:rPr>
        <w:t>C</w:t>
      </w:r>
      <w:r w:rsidR="00792B92">
        <w:rPr>
          <w:rFonts w:ascii="Times New Roman" w:hAnsi="Times New Roman" w:cs="Times New Roman"/>
          <w:b/>
          <w:bCs/>
          <w:u w:val="single"/>
        </w:rPr>
        <w:t>OMPETITIVE</w:t>
      </w:r>
      <w:r w:rsidR="00EB3AC7">
        <w:rPr>
          <w:rFonts w:ascii="Times New Roman" w:hAnsi="Times New Roman" w:cs="Times New Roman"/>
          <w:b/>
          <w:bCs/>
          <w:u w:val="single"/>
        </w:rPr>
        <w:t xml:space="preserve"> </w:t>
      </w:r>
      <w:r w:rsidR="006141FF">
        <w:rPr>
          <w:rFonts w:ascii="Times New Roman" w:hAnsi="Times New Roman" w:cs="Times New Roman"/>
          <w:b/>
          <w:bCs/>
          <w:u w:val="single"/>
        </w:rPr>
        <w:t>P</w:t>
      </w:r>
      <w:r w:rsidR="00792B92">
        <w:rPr>
          <w:rFonts w:ascii="Times New Roman" w:hAnsi="Times New Roman" w:cs="Times New Roman"/>
          <w:b/>
          <w:bCs/>
          <w:u w:val="single"/>
        </w:rPr>
        <w:t>OWER</w:t>
      </w:r>
      <w:r w:rsidR="00EB3AC7">
        <w:rPr>
          <w:rFonts w:ascii="Times New Roman" w:hAnsi="Times New Roman" w:cs="Times New Roman"/>
          <w:b/>
          <w:bCs/>
          <w:u w:val="single"/>
        </w:rPr>
        <w:t xml:space="preserve"> </w:t>
      </w:r>
      <w:r w:rsidR="006141FF">
        <w:rPr>
          <w:rFonts w:ascii="Times New Roman" w:hAnsi="Times New Roman" w:cs="Times New Roman"/>
          <w:b/>
          <w:bCs/>
          <w:u w:val="single"/>
        </w:rPr>
        <w:t>A</w:t>
      </w:r>
      <w:r w:rsidR="00792B92">
        <w:rPr>
          <w:rFonts w:ascii="Times New Roman" w:hAnsi="Times New Roman" w:cs="Times New Roman"/>
          <w:b/>
          <w:bCs/>
          <w:u w:val="single"/>
        </w:rPr>
        <w:t>DVOCATES</w:t>
      </w:r>
    </w:p>
    <w:p w14:paraId="6F8CE8E1" w14:textId="77777777" w:rsidR="00460079" w:rsidRPr="00C36738" w:rsidRDefault="00460079" w:rsidP="00AF1446">
      <w:pPr>
        <w:jc w:val="center"/>
        <w:rPr>
          <w:rFonts w:ascii="Times New Roman" w:hAnsi="Times New Roman" w:cs="Times New Roman"/>
          <w:u w:val="single"/>
        </w:rPr>
      </w:pPr>
    </w:p>
    <w:p w14:paraId="5008F21A" w14:textId="0BCEF754" w:rsidR="00AF1446" w:rsidRPr="00C36738" w:rsidRDefault="00AF1446" w:rsidP="00AF1446">
      <w:pPr>
        <w:jc w:val="both"/>
        <w:rPr>
          <w:rFonts w:ascii="Times New Roman" w:hAnsi="Times New Roman" w:cs="Times New Roman"/>
        </w:rPr>
      </w:pPr>
      <w:r w:rsidRPr="00C36738">
        <w:rPr>
          <w:rFonts w:ascii="Times New Roman" w:hAnsi="Times New Roman" w:cs="Times New Roman"/>
        </w:rPr>
        <w:t>TO THE PUBLIC UTILITY COMMISSION OF TEXAS:</w:t>
      </w:r>
    </w:p>
    <w:p w14:paraId="1DF30119" w14:textId="77777777" w:rsidR="00460079" w:rsidRPr="00C36738" w:rsidRDefault="00460079" w:rsidP="00AF1446">
      <w:pPr>
        <w:jc w:val="both"/>
        <w:rPr>
          <w:rFonts w:ascii="Times New Roman" w:hAnsi="Times New Roman" w:cs="Times New Roman"/>
        </w:rPr>
      </w:pPr>
    </w:p>
    <w:p w14:paraId="023C9E93" w14:textId="1C46FBBD" w:rsidR="00AF1446" w:rsidRDefault="00AF1446" w:rsidP="00E51397">
      <w:pPr>
        <w:spacing w:line="480" w:lineRule="auto"/>
        <w:jc w:val="both"/>
        <w:rPr>
          <w:rFonts w:ascii="Times New Roman" w:hAnsi="Times New Roman" w:cs="Times New Roman"/>
        </w:rPr>
      </w:pPr>
      <w:r w:rsidRPr="00C36738">
        <w:rPr>
          <w:rFonts w:ascii="Times New Roman" w:hAnsi="Times New Roman" w:cs="Times New Roman"/>
        </w:rPr>
        <w:tab/>
      </w:r>
      <w:r w:rsidR="006141FF">
        <w:rPr>
          <w:rFonts w:ascii="Times New Roman" w:hAnsi="Times New Roman" w:cs="Times New Roman"/>
        </w:rPr>
        <w:t>Texas Competitive Power Advocates</w:t>
      </w:r>
      <w:r w:rsidR="00D30ED9">
        <w:rPr>
          <w:rFonts w:ascii="Times New Roman" w:hAnsi="Times New Roman" w:cs="Times New Roman"/>
        </w:rPr>
        <w:t xml:space="preserve"> (</w:t>
      </w:r>
      <w:r w:rsidR="006141FF">
        <w:rPr>
          <w:rFonts w:ascii="Times New Roman" w:hAnsi="Times New Roman" w:cs="Times New Roman"/>
        </w:rPr>
        <w:t>TCPA</w:t>
      </w:r>
      <w:r w:rsidR="00D30ED9">
        <w:rPr>
          <w:rFonts w:ascii="Times New Roman" w:hAnsi="Times New Roman" w:cs="Times New Roman"/>
        </w:rPr>
        <w:t>)</w:t>
      </w:r>
      <w:r w:rsidR="0011418A">
        <w:rPr>
          <w:rStyle w:val="FootnoteReference"/>
          <w:rFonts w:ascii="Times New Roman" w:hAnsi="Times New Roman" w:cs="Times New Roman"/>
        </w:rPr>
        <w:footnoteReference w:id="2"/>
      </w:r>
      <w:r w:rsidRPr="00C36738">
        <w:rPr>
          <w:rFonts w:ascii="Times New Roman" w:hAnsi="Times New Roman" w:cs="Times New Roman"/>
        </w:rPr>
        <w:t xml:space="preserve"> </w:t>
      </w:r>
      <w:r w:rsidR="00F30BE0" w:rsidRPr="00C36738">
        <w:rPr>
          <w:rFonts w:ascii="Times New Roman" w:hAnsi="Times New Roman" w:cs="Times New Roman"/>
        </w:rPr>
        <w:t xml:space="preserve">submits </w:t>
      </w:r>
      <w:r w:rsidRPr="00C36738">
        <w:rPr>
          <w:rFonts w:ascii="Times New Roman" w:hAnsi="Times New Roman" w:cs="Times New Roman"/>
        </w:rPr>
        <w:t xml:space="preserve">the following comments concerning </w:t>
      </w:r>
      <w:r w:rsidR="001A666C">
        <w:rPr>
          <w:rFonts w:ascii="Times New Roman" w:hAnsi="Times New Roman" w:cs="Times New Roman"/>
        </w:rPr>
        <w:t xml:space="preserve">the </w:t>
      </w:r>
      <w:r w:rsidR="006B6B0B" w:rsidRPr="00C36738">
        <w:rPr>
          <w:rFonts w:ascii="Times New Roman" w:hAnsi="Times New Roman" w:cs="Times New Roman"/>
        </w:rPr>
        <w:t xml:space="preserve">proposed </w:t>
      </w:r>
      <w:r w:rsidR="001A666C">
        <w:rPr>
          <w:rFonts w:ascii="Times New Roman" w:hAnsi="Times New Roman" w:cs="Times New Roman"/>
        </w:rPr>
        <w:t xml:space="preserve">repeal and replacement of </w:t>
      </w:r>
      <w:r w:rsidRPr="00C36738">
        <w:rPr>
          <w:rFonts w:ascii="Times New Roman" w:hAnsi="Times New Roman" w:cs="Times New Roman"/>
        </w:rPr>
        <w:t xml:space="preserve">16 </w:t>
      </w:r>
      <w:r w:rsidR="00DF5762" w:rsidRPr="00C36738">
        <w:rPr>
          <w:rFonts w:ascii="Times New Roman" w:hAnsi="Times New Roman" w:cs="Times New Roman"/>
        </w:rPr>
        <w:t>Tex</w:t>
      </w:r>
      <w:r w:rsidR="00923F22" w:rsidRPr="00C36738">
        <w:rPr>
          <w:rFonts w:ascii="Times New Roman" w:hAnsi="Times New Roman" w:cs="Times New Roman"/>
        </w:rPr>
        <w:t>.</w:t>
      </w:r>
      <w:r w:rsidR="00DF5762" w:rsidRPr="00C36738">
        <w:rPr>
          <w:rFonts w:ascii="Times New Roman" w:hAnsi="Times New Roman" w:cs="Times New Roman"/>
        </w:rPr>
        <w:t xml:space="preserve"> Admin</w:t>
      </w:r>
      <w:r w:rsidR="00923F22" w:rsidRPr="00C36738">
        <w:rPr>
          <w:rFonts w:ascii="Times New Roman" w:hAnsi="Times New Roman" w:cs="Times New Roman"/>
        </w:rPr>
        <w:t>.</w:t>
      </w:r>
      <w:r w:rsidR="00DF5762" w:rsidRPr="00C36738">
        <w:rPr>
          <w:rFonts w:ascii="Times New Roman" w:hAnsi="Times New Roman" w:cs="Times New Roman"/>
        </w:rPr>
        <w:t xml:space="preserve"> Code (</w:t>
      </w:r>
      <w:r w:rsidRPr="00C36738">
        <w:rPr>
          <w:rFonts w:ascii="Times New Roman" w:hAnsi="Times New Roman" w:cs="Times New Roman"/>
        </w:rPr>
        <w:t>TAC</w:t>
      </w:r>
      <w:r w:rsidR="00DF5762" w:rsidRPr="00C36738">
        <w:rPr>
          <w:rFonts w:ascii="Times New Roman" w:hAnsi="Times New Roman" w:cs="Times New Roman"/>
        </w:rPr>
        <w:t>)</w:t>
      </w:r>
      <w:r w:rsidRPr="00C36738">
        <w:rPr>
          <w:rFonts w:ascii="Times New Roman" w:hAnsi="Times New Roman" w:cs="Times New Roman"/>
        </w:rPr>
        <w:t xml:space="preserve"> § 25</w:t>
      </w:r>
      <w:r w:rsidR="00DF5762" w:rsidRPr="00C36738">
        <w:rPr>
          <w:rFonts w:ascii="Times New Roman" w:hAnsi="Times New Roman" w:cs="Times New Roman"/>
        </w:rPr>
        <w:t>.5</w:t>
      </w:r>
      <w:r w:rsidR="001A666C">
        <w:rPr>
          <w:rFonts w:ascii="Times New Roman" w:hAnsi="Times New Roman" w:cs="Times New Roman"/>
        </w:rPr>
        <w:t>05</w:t>
      </w:r>
      <w:r w:rsidR="00DF5762" w:rsidRPr="00C36738">
        <w:rPr>
          <w:rFonts w:ascii="Times New Roman" w:hAnsi="Times New Roman" w:cs="Times New Roman"/>
        </w:rPr>
        <w:t xml:space="preserve">, </w:t>
      </w:r>
      <w:r w:rsidR="001A666C">
        <w:rPr>
          <w:rFonts w:ascii="Times New Roman" w:hAnsi="Times New Roman" w:cs="Times New Roman"/>
        </w:rPr>
        <w:t>including the creation of new rules 16 TAC §</w:t>
      </w:r>
      <w:r w:rsidR="00726C20">
        <w:rPr>
          <w:rFonts w:ascii="Times New Roman" w:hAnsi="Times New Roman" w:cs="Times New Roman"/>
        </w:rPr>
        <w:t>§</w:t>
      </w:r>
      <w:r w:rsidR="001A666C">
        <w:rPr>
          <w:rFonts w:ascii="Times New Roman" w:hAnsi="Times New Roman" w:cs="Times New Roman"/>
        </w:rPr>
        <w:t xml:space="preserve"> 25.506 </w:t>
      </w:r>
      <w:r w:rsidR="00726C20">
        <w:rPr>
          <w:rFonts w:ascii="Times New Roman" w:hAnsi="Times New Roman" w:cs="Times New Roman"/>
        </w:rPr>
        <w:t xml:space="preserve">&amp; 25.509, </w:t>
      </w:r>
      <w:r w:rsidRPr="00C36738">
        <w:rPr>
          <w:rFonts w:ascii="Times New Roman" w:hAnsi="Times New Roman" w:cs="Times New Roman"/>
        </w:rPr>
        <w:t xml:space="preserve">as approved </w:t>
      </w:r>
      <w:r w:rsidR="006B6B0B" w:rsidRPr="00C36738">
        <w:rPr>
          <w:rFonts w:ascii="Times New Roman" w:hAnsi="Times New Roman" w:cs="Times New Roman"/>
        </w:rPr>
        <w:t xml:space="preserve">for publication </w:t>
      </w:r>
      <w:r w:rsidRPr="00C36738">
        <w:rPr>
          <w:rFonts w:ascii="Times New Roman" w:hAnsi="Times New Roman" w:cs="Times New Roman"/>
        </w:rPr>
        <w:t xml:space="preserve">by the </w:t>
      </w:r>
      <w:r w:rsidR="0048030D">
        <w:rPr>
          <w:rFonts w:ascii="Times New Roman" w:hAnsi="Times New Roman" w:cs="Times New Roman"/>
        </w:rPr>
        <w:t>Public Utility Commission of Texas (</w:t>
      </w:r>
      <w:r w:rsidR="00923F22" w:rsidRPr="00C36738">
        <w:rPr>
          <w:rFonts w:ascii="Times New Roman" w:hAnsi="Times New Roman" w:cs="Times New Roman"/>
        </w:rPr>
        <w:t>Commission</w:t>
      </w:r>
      <w:r w:rsidR="0048030D">
        <w:rPr>
          <w:rFonts w:ascii="Times New Roman" w:hAnsi="Times New Roman" w:cs="Times New Roman"/>
        </w:rPr>
        <w:t>)</w:t>
      </w:r>
      <w:r w:rsidR="00923F22" w:rsidRPr="00C36738">
        <w:rPr>
          <w:rFonts w:ascii="Times New Roman" w:hAnsi="Times New Roman" w:cs="Times New Roman"/>
        </w:rPr>
        <w:t xml:space="preserve"> at its</w:t>
      </w:r>
      <w:r w:rsidRPr="00C36738">
        <w:rPr>
          <w:rFonts w:ascii="Times New Roman" w:hAnsi="Times New Roman" w:cs="Times New Roman"/>
        </w:rPr>
        <w:t xml:space="preserve"> </w:t>
      </w:r>
      <w:r w:rsidR="001A666C">
        <w:rPr>
          <w:rFonts w:ascii="Times New Roman" w:hAnsi="Times New Roman" w:cs="Times New Roman"/>
        </w:rPr>
        <w:t>February 25</w:t>
      </w:r>
      <w:r w:rsidR="00DF5762" w:rsidRPr="00C36738">
        <w:rPr>
          <w:rFonts w:ascii="Times New Roman" w:hAnsi="Times New Roman" w:cs="Times New Roman"/>
        </w:rPr>
        <w:t xml:space="preserve">, </w:t>
      </w:r>
      <w:proofErr w:type="gramStart"/>
      <w:r w:rsidR="00DF5762" w:rsidRPr="00C36738">
        <w:rPr>
          <w:rFonts w:ascii="Times New Roman" w:hAnsi="Times New Roman" w:cs="Times New Roman"/>
        </w:rPr>
        <w:t>202</w:t>
      </w:r>
      <w:r w:rsidR="001A666C">
        <w:rPr>
          <w:rFonts w:ascii="Times New Roman" w:hAnsi="Times New Roman" w:cs="Times New Roman"/>
        </w:rPr>
        <w:t>2</w:t>
      </w:r>
      <w:proofErr w:type="gramEnd"/>
      <w:r w:rsidR="00DF5762" w:rsidRPr="00C36738">
        <w:rPr>
          <w:rFonts w:ascii="Times New Roman" w:hAnsi="Times New Roman" w:cs="Times New Roman"/>
        </w:rPr>
        <w:t xml:space="preserve"> </w:t>
      </w:r>
      <w:r w:rsidR="00D30ED9">
        <w:rPr>
          <w:rFonts w:ascii="Times New Roman" w:hAnsi="Times New Roman" w:cs="Times New Roman"/>
        </w:rPr>
        <w:t>open meeting</w:t>
      </w:r>
      <w:r w:rsidR="00DF5762" w:rsidRPr="00C36738">
        <w:rPr>
          <w:rFonts w:ascii="Times New Roman" w:hAnsi="Times New Roman" w:cs="Times New Roman"/>
        </w:rPr>
        <w:t xml:space="preserve"> and as published in the </w:t>
      </w:r>
      <w:r w:rsidR="00DF5762" w:rsidRPr="00C36738">
        <w:rPr>
          <w:rFonts w:ascii="Times New Roman" w:hAnsi="Times New Roman" w:cs="Times New Roman"/>
          <w:i/>
        </w:rPr>
        <w:t>Texas Register</w:t>
      </w:r>
      <w:r w:rsidR="00DF5762" w:rsidRPr="00C36738">
        <w:rPr>
          <w:rFonts w:ascii="Times New Roman" w:hAnsi="Times New Roman" w:cs="Times New Roman"/>
        </w:rPr>
        <w:t xml:space="preserve"> on </w:t>
      </w:r>
      <w:r w:rsidR="001A666C">
        <w:rPr>
          <w:rFonts w:ascii="Times New Roman" w:hAnsi="Times New Roman" w:cs="Times New Roman"/>
        </w:rPr>
        <w:t>March 11</w:t>
      </w:r>
      <w:r w:rsidR="00DF5762" w:rsidRPr="00C36738">
        <w:rPr>
          <w:rFonts w:ascii="Times New Roman" w:hAnsi="Times New Roman" w:cs="Times New Roman"/>
        </w:rPr>
        <w:t>, 2021.</w:t>
      </w:r>
      <w:r w:rsidR="00D712D7">
        <w:rPr>
          <w:rStyle w:val="FootnoteReference"/>
          <w:rFonts w:ascii="Times New Roman" w:hAnsi="Times New Roman" w:cs="Times New Roman"/>
        </w:rPr>
        <w:footnoteReference w:id="3"/>
      </w:r>
    </w:p>
    <w:p w14:paraId="03DD8EF3" w14:textId="3FDADC28" w:rsidR="007851D7" w:rsidRPr="00C36738" w:rsidRDefault="007851D7" w:rsidP="00E51397">
      <w:pPr>
        <w:spacing w:line="480" w:lineRule="auto"/>
        <w:jc w:val="center"/>
        <w:rPr>
          <w:rFonts w:ascii="Times New Roman" w:hAnsi="Times New Roman" w:cs="Times New Roman"/>
          <w:b/>
        </w:rPr>
      </w:pPr>
      <w:r w:rsidRPr="00C36738">
        <w:rPr>
          <w:rFonts w:ascii="Times New Roman" w:hAnsi="Times New Roman" w:cs="Times New Roman"/>
          <w:b/>
        </w:rPr>
        <w:t>I.</w:t>
      </w:r>
      <w:r w:rsidR="00B0163A" w:rsidRPr="00C36738">
        <w:rPr>
          <w:rFonts w:ascii="Times New Roman" w:hAnsi="Times New Roman" w:cs="Times New Roman"/>
          <w:b/>
        </w:rPr>
        <w:t xml:space="preserve"> </w:t>
      </w:r>
      <w:r w:rsidR="00E14B1C" w:rsidRPr="00C36738">
        <w:rPr>
          <w:rFonts w:ascii="Times New Roman" w:hAnsi="Times New Roman" w:cs="Times New Roman"/>
          <w:b/>
        </w:rPr>
        <w:t>Comments</w:t>
      </w:r>
      <w:r w:rsidR="003A5C58">
        <w:rPr>
          <w:rFonts w:ascii="Times New Roman" w:hAnsi="Times New Roman" w:cs="Times New Roman"/>
          <w:b/>
        </w:rPr>
        <w:t xml:space="preserve"> Applicable to Multiple Sections</w:t>
      </w:r>
    </w:p>
    <w:p w14:paraId="624C4658" w14:textId="3C08AD17" w:rsidR="00AA68C6" w:rsidRPr="00FD23E8" w:rsidRDefault="004465BB" w:rsidP="00E51397">
      <w:pPr>
        <w:pStyle w:val="ListParagraph"/>
        <w:numPr>
          <w:ilvl w:val="0"/>
          <w:numId w:val="6"/>
        </w:numPr>
        <w:spacing w:after="240"/>
        <w:jc w:val="both"/>
        <w:rPr>
          <w:rFonts w:ascii="Times New Roman" w:hAnsi="Times New Roman" w:cs="Times New Roman"/>
          <w:bCs/>
        </w:rPr>
      </w:pPr>
      <w:r>
        <w:rPr>
          <w:rFonts w:ascii="Times New Roman" w:hAnsi="Times New Roman" w:cs="Times New Roman"/>
          <w:b/>
        </w:rPr>
        <w:t>§§</w:t>
      </w:r>
      <w:r w:rsidR="00E57351">
        <w:rPr>
          <w:rFonts w:ascii="Times New Roman" w:hAnsi="Times New Roman" w:cs="Times New Roman"/>
          <w:b/>
        </w:rPr>
        <w:t xml:space="preserve">25.505(b)(1) &amp; 25.509(b)(1): </w:t>
      </w:r>
      <w:r w:rsidR="00AA5438" w:rsidRPr="00AA5438">
        <w:rPr>
          <w:rFonts w:ascii="Times New Roman" w:hAnsi="Times New Roman" w:cs="Times New Roman"/>
          <w:b/>
        </w:rPr>
        <w:t>The definitions of “generation entity” should incorporate energy storage</w:t>
      </w:r>
      <w:r w:rsidR="008F602C">
        <w:rPr>
          <w:rFonts w:ascii="Times New Roman" w:hAnsi="Times New Roman" w:cs="Times New Roman"/>
          <w:b/>
        </w:rPr>
        <w:t xml:space="preserve"> </w:t>
      </w:r>
      <w:r w:rsidR="00AA5438" w:rsidRPr="00AA5438">
        <w:rPr>
          <w:rFonts w:ascii="Times New Roman" w:hAnsi="Times New Roman" w:cs="Times New Roman"/>
          <w:b/>
        </w:rPr>
        <w:t>resources to avoid gaps and be consistent with 16 TAC § 25.55</w:t>
      </w:r>
    </w:p>
    <w:p w14:paraId="483ECA8B" w14:textId="49D67918" w:rsidR="006D0B47" w:rsidRDefault="00AA5438" w:rsidP="00E51397">
      <w:pPr>
        <w:spacing w:line="480" w:lineRule="auto"/>
        <w:ind w:firstLine="720"/>
        <w:jc w:val="both"/>
        <w:rPr>
          <w:rFonts w:ascii="Times New Roman" w:hAnsi="Times New Roman" w:cs="Times New Roman"/>
        </w:rPr>
      </w:pPr>
      <w:r>
        <w:rPr>
          <w:rFonts w:ascii="Times New Roman" w:hAnsi="Times New Roman" w:cs="Times New Roman"/>
        </w:rPr>
        <w:t xml:space="preserve">The proposed change to the definition of “generation entity” in 16 TAC § 25.505(b)(1) to mirror verbiage in the definition of “load entity” raises the possibility of excluding energy storage resources from the rule’s applicability. This is because specifying that a generation entity owns or controls a generator “registered with ERCOT as a generation resource” carries specific meaning </w:t>
      </w:r>
      <w:r w:rsidR="008F602C">
        <w:rPr>
          <w:rFonts w:ascii="Times New Roman" w:hAnsi="Times New Roman" w:cs="Times New Roman"/>
        </w:rPr>
        <w:lastRenderedPageBreak/>
        <w:t xml:space="preserve">in the ERCOT Protocols. As defined in Section 2 of the ERCOT Protocols, the broader term “Resource” has </w:t>
      </w:r>
      <w:proofErr w:type="gramStart"/>
      <w:r w:rsidR="008F602C">
        <w:rPr>
          <w:rFonts w:ascii="Times New Roman" w:hAnsi="Times New Roman" w:cs="Times New Roman"/>
        </w:rPr>
        <w:t>a number of</w:t>
      </w:r>
      <w:proofErr w:type="gramEnd"/>
      <w:r w:rsidR="008F602C">
        <w:rPr>
          <w:rFonts w:ascii="Times New Roman" w:hAnsi="Times New Roman" w:cs="Times New Roman"/>
        </w:rPr>
        <w:t xml:space="preserve"> sub-definitions, including Energy Storage Resource, Generation Resource, and Load Resource. </w:t>
      </w:r>
      <w:r w:rsidR="006D7229">
        <w:rPr>
          <w:rFonts w:ascii="Times New Roman" w:hAnsi="Times New Roman" w:cs="Times New Roman"/>
        </w:rPr>
        <w:t xml:space="preserve">While load resources are clearly covered by 16 TAC § 25.505(b)(2), with the new restrictive language in the definition of “generation entity” in 16 TAC § 25.505(b)(1) it is not clear whether or how energy storage resources should be considered in the rule. </w:t>
      </w:r>
    </w:p>
    <w:p w14:paraId="43F06B9B" w14:textId="06E1AB74" w:rsidR="006D7229" w:rsidRDefault="006D7229" w:rsidP="00E51397">
      <w:pPr>
        <w:spacing w:line="480" w:lineRule="auto"/>
        <w:ind w:firstLine="720"/>
        <w:jc w:val="both"/>
        <w:rPr>
          <w:rFonts w:ascii="Times New Roman" w:hAnsi="Times New Roman" w:cs="Times New Roman"/>
        </w:rPr>
      </w:pPr>
      <w:r>
        <w:rPr>
          <w:rFonts w:ascii="Times New Roman" w:hAnsi="Times New Roman" w:cs="Times New Roman"/>
        </w:rPr>
        <w:t>The Commission addressed a similar dynamic in Project No. 51840 recently</w:t>
      </w:r>
      <w:r w:rsidR="00E57351">
        <w:rPr>
          <w:rFonts w:ascii="Times New Roman" w:hAnsi="Times New Roman" w:cs="Times New Roman"/>
        </w:rPr>
        <w:t>, when it adopted 16 TAC § 25.55, relating to Weather Emergency Preparedness. In that rule, the Commission incorporated energy storage resources into the definition of “generation entity,” and TCPA suggests the Commission mirror that approach in both 16 TAC §§ 25.505(b)(1) &amp; 25.509(b)(1) as follows:</w:t>
      </w:r>
    </w:p>
    <w:p w14:paraId="5C5E36F2" w14:textId="25D41D4F" w:rsidR="00974130" w:rsidRPr="00652430" w:rsidRDefault="00652430" w:rsidP="00652430">
      <w:pPr>
        <w:ind w:firstLine="720"/>
        <w:rPr>
          <w:rFonts w:ascii="Times New Roman" w:hAnsi="Times New Roman" w:cs="Times New Roman"/>
          <w:b/>
          <w:bCs/>
          <w:u w:val="single"/>
        </w:rPr>
      </w:pPr>
      <w:r>
        <w:rPr>
          <w:rFonts w:ascii="Times New Roman" w:hAnsi="Times New Roman" w:cs="Times New Roman"/>
          <w:b/>
          <w:bCs/>
        </w:rPr>
        <w:t xml:space="preserve">(b) </w:t>
      </w:r>
      <w:r w:rsidR="00974130" w:rsidRPr="00652430">
        <w:rPr>
          <w:rFonts w:ascii="Times New Roman" w:hAnsi="Times New Roman" w:cs="Times New Roman"/>
          <w:b/>
          <w:bCs/>
        </w:rPr>
        <w:t>Definitions.</w:t>
      </w:r>
    </w:p>
    <w:p w14:paraId="06BE04EF" w14:textId="6A5AE1DD" w:rsidR="00974130" w:rsidRPr="006D7229" w:rsidRDefault="00974130" w:rsidP="00E51397">
      <w:pPr>
        <w:ind w:left="2160" w:hanging="720"/>
        <w:rPr>
          <w:rFonts w:ascii="Times New Roman" w:hAnsi="Times New Roman" w:cs="Times New Roman"/>
          <w:color w:val="FF0000"/>
        </w:rPr>
      </w:pPr>
      <w:r w:rsidRPr="006D7229">
        <w:rPr>
          <w:rFonts w:ascii="Times New Roman" w:hAnsi="Times New Roman" w:cs="Times New Roman"/>
          <w:b/>
          <w:bCs/>
        </w:rPr>
        <w:t>(</w:t>
      </w:r>
      <w:r w:rsidR="006D7229" w:rsidRPr="006D7229">
        <w:rPr>
          <w:rFonts w:ascii="Times New Roman" w:hAnsi="Times New Roman" w:cs="Times New Roman"/>
          <w:b/>
          <w:bCs/>
        </w:rPr>
        <w:t>1</w:t>
      </w:r>
      <w:r w:rsidRPr="006D7229">
        <w:rPr>
          <w:rFonts w:ascii="Times New Roman" w:hAnsi="Times New Roman" w:cs="Times New Roman"/>
          <w:b/>
          <w:bCs/>
        </w:rPr>
        <w:t>)</w:t>
      </w:r>
      <w:r w:rsidR="006D0B47" w:rsidRPr="006D7229">
        <w:rPr>
          <w:rFonts w:ascii="Times New Roman" w:hAnsi="Times New Roman" w:cs="Times New Roman"/>
          <w:b/>
          <w:bCs/>
        </w:rPr>
        <w:tab/>
      </w:r>
      <w:r w:rsidR="006D7229">
        <w:rPr>
          <w:rFonts w:ascii="Times New Roman" w:hAnsi="Times New Roman" w:cs="Times New Roman"/>
          <w:b/>
          <w:bCs/>
        </w:rPr>
        <w:t xml:space="preserve">Generation </w:t>
      </w:r>
      <w:r w:rsidR="00E57351">
        <w:rPr>
          <w:rFonts w:ascii="Times New Roman" w:hAnsi="Times New Roman" w:cs="Times New Roman"/>
          <w:b/>
          <w:bCs/>
        </w:rPr>
        <w:t>e</w:t>
      </w:r>
      <w:r w:rsidRPr="006D7229">
        <w:rPr>
          <w:rFonts w:ascii="Times New Roman" w:hAnsi="Times New Roman" w:cs="Times New Roman"/>
          <w:b/>
          <w:bCs/>
        </w:rPr>
        <w:t>ntity</w:t>
      </w:r>
      <w:r w:rsidRPr="006D7229">
        <w:rPr>
          <w:rFonts w:ascii="Times New Roman" w:hAnsi="Times New Roman" w:cs="Times New Roman"/>
        </w:rPr>
        <w:t xml:space="preserve"> – </w:t>
      </w:r>
      <w:bookmarkStart w:id="0" w:name="_Hlk91923758"/>
      <w:r w:rsidR="00E57351" w:rsidRPr="00E57351">
        <w:rPr>
          <w:rFonts w:ascii="Times New Roman" w:hAnsi="Times New Roman" w:cs="Times New Roman"/>
        </w:rPr>
        <w:t>entity that owns or controls a generation resource. A</w:t>
      </w:r>
      <w:r w:rsidR="00E57351">
        <w:rPr>
          <w:rFonts w:ascii="Times New Roman" w:hAnsi="Times New Roman" w:cs="Times New Roman"/>
        </w:rPr>
        <w:t xml:space="preserve"> </w:t>
      </w:r>
      <w:r w:rsidR="00E57351">
        <w:rPr>
          <w:rFonts w:eastAsia="Times New Roman"/>
          <w:w w:val="98"/>
        </w:rPr>
        <w:t xml:space="preserve">generation resource is a generator capable of providing energy or ancillary services </w:t>
      </w:r>
      <w:r w:rsidR="00E57351">
        <w:rPr>
          <w:rFonts w:eastAsia="Times New Roman"/>
          <w:w w:val="99"/>
        </w:rPr>
        <w:t>to the ERCOT grid and that is registered with ERCOT as a generation resource</w:t>
      </w:r>
      <w:r w:rsidR="00E57351">
        <w:rPr>
          <w:rFonts w:eastAsia="Times New Roman"/>
          <w:color w:val="FF0000"/>
          <w:w w:val="99"/>
          <w:u w:val="single"/>
        </w:rPr>
        <w:t xml:space="preserve"> or an energy storage resource</w:t>
      </w:r>
      <w:r w:rsidR="006D0B47" w:rsidRPr="006D7229">
        <w:rPr>
          <w:rFonts w:ascii="Times New Roman" w:hAnsi="Times New Roman" w:cs="Times New Roman"/>
        </w:rPr>
        <w:t>.</w:t>
      </w:r>
      <w:bookmarkEnd w:id="0"/>
    </w:p>
    <w:p w14:paraId="7BDED216" w14:textId="5A56B1C1" w:rsidR="00974130" w:rsidRDefault="00974130" w:rsidP="00E51397">
      <w:pPr>
        <w:spacing w:line="480" w:lineRule="auto"/>
        <w:ind w:firstLine="720"/>
        <w:jc w:val="both"/>
        <w:rPr>
          <w:rFonts w:ascii="Times New Roman" w:hAnsi="Times New Roman" w:cs="Times New Roman"/>
        </w:rPr>
      </w:pPr>
    </w:p>
    <w:p w14:paraId="2E9FAB11" w14:textId="616CE548" w:rsidR="00E57351" w:rsidRPr="00FD23E8" w:rsidRDefault="004465BB" w:rsidP="00E57351">
      <w:pPr>
        <w:pStyle w:val="ListParagraph"/>
        <w:numPr>
          <w:ilvl w:val="0"/>
          <w:numId w:val="6"/>
        </w:numPr>
        <w:spacing w:after="240"/>
        <w:jc w:val="both"/>
        <w:rPr>
          <w:rFonts w:ascii="Times New Roman" w:hAnsi="Times New Roman" w:cs="Times New Roman"/>
          <w:b/>
        </w:rPr>
      </w:pPr>
      <w:r>
        <w:rPr>
          <w:rFonts w:ascii="Times New Roman" w:hAnsi="Times New Roman" w:cs="Times New Roman"/>
          <w:b/>
        </w:rPr>
        <w:t>§§</w:t>
      </w:r>
      <w:r w:rsidR="00E57351" w:rsidRPr="00E57351">
        <w:rPr>
          <w:rFonts w:ascii="Times New Roman" w:hAnsi="Times New Roman" w:cs="Times New Roman"/>
          <w:b/>
          <w:bCs/>
        </w:rPr>
        <w:t>25.505(f), 25.506(c), and 25.509(d)</w:t>
      </w:r>
      <w:r w:rsidR="00E57351" w:rsidRPr="00E57351">
        <w:rPr>
          <w:rFonts w:ascii="Times New Roman" w:hAnsi="Times New Roman" w:cs="Times New Roman"/>
          <w:b/>
        </w:rPr>
        <w:t xml:space="preserve">: </w:t>
      </w:r>
      <w:r>
        <w:rPr>
          <w:rFonts w:ascii="Times New Roman" w:hAnsi="Times New Roman" w:cs="Times New Roman"/>
          <w:b/>
        </w:rPr>
        <w:t>T</w:t>
      </w:r>
      <w:r w:rsidR="00E57351" w:rsidRPr="00E57351">
        <w:rPr>
          <w:rFonts w:ascii="Times New Roman" w:hAnsi="Times New Roman" w:cs="Times New Roman"/>
          <w:b/>
        </w:rPr>
        <w:t xml:space="preserve">he phrase "in consultation with commission staff" should be revised to avoid confusion and clarify that ERCOT’s consultation with Staff will be as a stakeholder </w:t>
      </w:r>
    </w:p>
    <w:p w14:paraId="289EED6B" w14:textId="60C7244F" w:rsidR="00E102C4" w:rsidRDefault="00E102C4" w:rsidP="00E102C4">
      <w:pPr>
        <w:spacing w:line="480" w:lineRule="auto"/>
        <w:ind w:firstLine="720"/>
        <w:jc w:val="both"/>
        <w:rPr>
          <w:rFonts w:ascii="Times New Roman" w:hAnsi="Times New Roman" w:cs="Times New Roman"/>
        </w:rPr>
      </w:pPr>
      <w:r>
        <w:rPr>
          <w:rFonts w:ascii="Times New Roman" w:hAnsi="Times New Roman" w:cs="Times New Roman"/>
        </w:rPr>
        <w:t>In the “Development and implementation” sections of each of the proposed rules (16 TAC §§ 25.505(f), 25.506(c), and 25.509(d)), the proposed rule states that “ERCOT must use a stakeholder process</w:t>
      </w:r>
      <w:r w:rsidRPr="00E102C4">
        <w:rPr>
          <w:rFonts w:ascii="Times New Roman" w:hAnsi="Times New Roman" w:cs="Times New Roman"/>
          <w:u w:val="single"/>
        </w:rPr>
        <w:t>, in consultation with commission staff,</w:t>
      </w:r>
      <w:r>
        <w:rPr>
          <w:rFonts w:ascii="Times New Roman" w:hAnsi="Times New Roman" w:cs="Times New Roman"/>
        </w:rPr>
        <w:t xml:space="preserve"> to develop and implement rules…”  The comma-bracketed clause could be read to either mean Staff must be consulted </w:t>
      </w:r>
      <w:r w:rsidR="00AB5447">
        <w:rPr>
          <w:rFonts w:ascii="Times New Roman" w:hAnsi="Times New Roman" w:cs="Times New Roman"/>
        </w:rPr>
        <w:t xml:space="preserve">in development of the rules or that Staff must be consulted in the use of the stakeholder process. TCPA believes the former is the intended meaning, </w:t>
      </w:r>
      <w:r w:rsidR="009622D0">
        <w:rPr>
          <w:rFonts w:ascii="Times New Roman" w:hAnsi="Times New Roman" w:cs="Times New Roman"/>
        </w:rPr>
        <w:t xml:space="preserve">consistent with the functions assigned by the ERCOT Bylaws to the Technical Advisory Committee (TAC) </w:t>
      </w:r>
      <w:r w:rsidR="005A7902">
        <w:rPr>
          <w:rFonts w:ascii="Times New Roman" w:hAnsi="Times New Roman" w:cs="Times New Roman"/>
        </w:rPr>
        <w:t xml:space="preserve">(acting in part through its </w:t>
      </w:r>
      <w:r w:rsidR="009622D0">
        <w:rPr>
          <w:rFonts w:ascii="Times New Roman" w:hAnsi="Times New Roman" w:cs="Times New Roman"/>
        </w:rPr>
        <w:t xml:space="preserve">Protocol Revision </w:t>
      </w:r>
      <w:r w:rsidR="009622D0">
        <w:rPr>
          <w:rFonts w:ascii="Times New Roman" w:hAnsi="Times New Roman" w:cs="Times New Roman"/>
        </w:rPr>
        <w:lastRenderedPageBreak/>
        <w:t>Subcommittee (PRS)</w:t>
      </w:r>
      <w:r w:rsidR="005B0B7C">
        <w:rPr>
          <w:rFonts w:ascii="Times New Roman" w:hAnsi="Times New Roman" w:cs="Times New Roman"/>
        </w:rPr>
        <w:t>,</w:t>
      </w:r>
      <w:r w:rsidR="009622D0">
        <w:rPr>
          <w:rFonts w:ascii="Times New Roman" w:hAnsi="Times New Roman" w:cs="Times New Roman"/>
        </w:rPr>
        <w:t xml:space="preserve"> which is accountable to TAC.</w:t>
      </w:r>
      <w:r w:rsidR="005A7902">
        <w:rPr>
          <w:rFonts w:ascii="Times New Roman" w:hAnsi="Times New Roman" w:cs="Times New Roman"/>
        </w:rPr>
        <w:t>)</w:t>
      </w:r>
      <w:r w:rsidR="001765C5">
        <w:rPr>
          <w:rStyle w:val="FootnoteReference"/>
          <w:rFonts w:ascii="Times New Roman" w:hAnsi="Times New Roman" w:cs="Times New Roman"/>
        </w:rPr>
        <w:footnoteReference w:id="4"/>
      </w:r>
      <w:r w:rsidR="009F3961">
        <w:rPr>
          <w:rFonts w:ascii="Times New Roman" w:hAnsi="Times New Roman" w:cs="Times New Roman"/>
        </w:rPr>
        <w:t xml:space="preserve">  As contemplated by the Bylaws, </w:t>
      </w:r>
      <w:r w:rsidR="00AB5447">
        <w:rPr>
          <w:rFonts w:ascii="Times New Roman" w:hAnsi="Times New Roman" w:cs="Times New Roman"/>
        </w:rPr>
        <w:t>Staff frequently participates in the stakeholder process.</w:t>
      </w:r>
      <w:r w:rsidR="00552DA1">
        <w:rPr>
          <w:rFonts w:ascii="Times New Roman" w:hAnsi="Times New Roman" w:cs="Times New Roman"/>
        </w:rPr>
        <w:t xml:space="preserve"> </w:t>
      </w:r>
      <w:r w:rsidR="00AB5447">
        <w:rPr>
          <w:rFonts w:ascii="Times New Roman" w:hAnsi="Times New Roman" w:cs="Times New Roman"/>
        </w:rPr>
        <w:t xml:space="preserve">To avoid any potential confusion, TCPA suggests </w:t>
      </w:r>
      <w:r w:rsidR="00552DA1">
        <w:rPr>
          <w:rFonts w:ascii="Times New Roman" w:hAnsi="Times New Roman" w:cs="Times New Roman"/>
        </w:rPr>
        <w:t>one minor modification to better reflect this understanding</w:t>
      </w:r>
      <w:r>
        <w:rPr>
          <w:rFonts w:ascii="Times New Roman" w:hAnsi="Times New Roman" w:cs="Times New Roman"/>
        </w:rPr>
        <w:t>:</w:t>
      </w:r>
    </w:p>
    <w:p w14:paraId="46EE3516" w14:textId="2DD7FA0F" w:rsidR="00E102C4" w:rsidRPr="00652430" w:rsidRDefault="00652430" w:rsidP="00652430">
      <w:pPr>
        <w:ind w:left="1080" w:hanging="360"/>
        <w:rPr>
          <w:rFonts w:ascii="Times New Roman" w:hAnsi="Times New Roman" w:cs="Times New Roman"/>
          <w:b/>
          <w:bCs/>
          <w:u w:val="single"/>
        </w:rPr>
      </w:pPr>
      <w:r>
        <w:rPr>
          <w:rFonts w:ascii="Times New Roman" w:hAnsi="Times New Roman" w:cs="Times New Roman"/>
          <w:b/>
          <w:bCs/>
        </w:rPr>
        <w:t xml:space="preserve">(#) </w:t>
      </w:r>
      <w:r w:rsidR="00552DA1" w:rsidRPr="00652430">
        <w:rPr>
          <w:rFonts w:ascii="Times New Roman" w:hAnsi="Times New Roman" w:cs="Times New Roman"/>
          <w:b/>
          <w:bCs/>
        </w:rPr>
        <w:t xml:space="preserve">Development and implementation.  </w:t>
      </w:r>
      <w:r w:rsidR="00552DA1" w:rsidRPr="00652430">
        <w:rPr>
          <w:rFonts w:ascii="Times New Roman" w:hAnsi="Times New Roman" w:cs="Times New Roman"/>
        </w:rPr>
        <w:t xml:space="preserve">ERCOT must use a stakeholder process, </w:t>
      </w:r>
      <w:r w:rsidR="00552DA1" w:rsidRPr="00652430">
        <w:rPr>
          <w:rFonts w:ascii="Times New Roman" w:hAnsi="Times New Roman" w:cs="Times New Roman"/>
          <w:strike/>
          <w:color w:val="FF0000"/>
        </w:rPr>
        <w:t>in</w:t>
      </w:r>
      <w:r w:rsidR="00552DA1" w:rsidRPr="00652430">
        <w:rPr>
          <w:rFonts w:ascii="Times New Roman" w:hAnsi="Times New Roman" w:cs="Times New Roman"/>
          <w:color w:val="FF0000"/>
        </w:rPr>
        <w:t xml:space="preserve"> </w:t>
      </w:r>
      <w:r w:rsidR="00552DA1" w:rsidRPr="00652430">
        <w:rPr>
          <w:rFonts w:ascii="Times New Roman" w:hAnsi="Times New Roman" w:cs="Times New Roman"/>
          <w:color w:val="FF0000"/>
          <w:u w:val="single"/>
        </w:rPr>
        <w:t xml:space="preserve">including </w:t>
      </w:r>
      <w:r w:rsidR="00552DA1" w:rsidRPr="00652430">
        <w:rPr>
          <w:rFonts w:ascii="Times New Roman" w:hAnsi="Times New Roman" w:cs="Times New Roman"/>
        </w:rPr>
        <w:t>consultation with commission staff, to develop and implement rules that comply with this section. Nothing in this section prevents the commission from taking actions necessary to protect the public interest, including actions that are otherwise inconsistent with the other provisions in this section.</w:t>
      </w:r>
    </w:p>
    <w:p w14:paraId="4AEE2F76" w14:textId="77777777" w:rsidR="00E57351" w:rsidRPr="00974130" w:rsidRDefault="00E57351" w:rsidP="00E51397">
      <w:pPr>
        <w:spacing w:line="480" w:lineRule="auto"/>
        <w:ind w:firstLine="720"/>
        <w:jc w:val="both"/>
        <w:rPr>
          <w:rFonts w:ascii="Times New Roman" w:hAnsi="Times New Roman" w:cs="Times New Roman"/>
        </w:rPr>
      </w:pPr>
    </w:p>
    <w:p w14:paraId="01DB1533" w14:textId="77777777" w:rsidR="003A5C58" w:rsidRPr="003A5C58" w:rsidRDefault="003A5C58" w:rsidP="003A5C58">
      <w:pPr>
        <w:pStyle w:val="ListParagraph"/>
        <w:spacing w:line="480" w:lineRule="auto"/>
        <w:ind w:left="360"/>
        <w:jc w:val="center"/>
        <w:rPr>
          <w:rFonts w:ascii="Times New Roman" w:hAnsi="Times New Roman" w:cs="Times New Roman"/>
          <w:b/>
        </w:rPr>
      </w:pPr>
      <w:r w:rsidRPr="003A5C58">
        <w:rPr>
          <w:rFonts w:ascii="Times New Roman" w:hAnsi="Times New Roman" w:cs="Times New Roman"/>
          <w:b/>
        </w:rPr>
        <w:t>II. Specific Recommendations</w:t>
      </w:r>
    </w:p>
    <w:p w14:paraId="6E4901E8" w14:textId="51A0F015" w:rsidR="003A5C58" w:rsidRDefault="00DE2558" w:rsidP="00E51397">
      <w:pPr>
        <w:pStyle w:val="ListParagraph"/>
        <w:numPr>
          <w:ilvl w:val="0"/>
          <w:numId w:val="6"/>
        </w:numPr>
        <w:spacing w:after="240"/>
        <w:jc w:val="both"/>
        <w:rPr>
          <w:rFonts w:ascii="Times New Roman" w:hAnsi="Times New Roman" w:cs="Times New Roman"/>
          <w:b/>
        </w:rPr>
      </w:pPr>
      <w:r w:rsidRPr="00DE2558">
        <w:rPr>
          <w:rFonts w:ascii="Times New Roman" w:hAnsi="Times New Roman" w:cs="Times New Roman"/>
          <w:b/>
          <w:bCs/>
        </w:rPr>
        <w:t>25.505(e)(4)</w:t>
      </w:r>
      <w:r w:rsidR="001F5B44">
        <w:rPr>
          <w:rFonts w:ascii="Times New Roman" w:hAnsi="Times New Roman" w:cs="Times New Roman"/>
          <w:b/>
          <w:bCs/>
        </w:rPr>
        <w:t>(B)</w:t>
      </w:r>
      <w:r w:rsidRPr="00DE2558">
        <w:rPr>
          <w:rFonts w:ascii="Times New Roman" w:hAnsi="Times New Roman" w:cs="Times New Roman"/>
          <w:b/>
          <w:bCs/>
        </w:rPr>
        <w:t xml:space="preserve">: </w:t>
      </w:r>
      <w:r w:rsidRPr="00DE2558">
        <w:rPr>
          <w:rFonts w:ascii="Times New Roman" w:hAnsi="Times New Roman" w:cs="Times New Roman"/>
          <w:b/>
        </w:rPr>
        <w:t xml:space="preserve">The </w:t>
      </w:r>
      <w:r w:rsidR="006C5B41">
        <w:rPr>
          <w:rFonts w:ascii="Times New Roman" w:hAnsi="Times New Roman" w:cs="Times New Roman"/>
          <w:b/>
        </w:rPr>
        <w:t xml:space="preserve">rule should </w:t>
      </w:r>
      <w:r w:rsidRPr="00DE2558">
        <w:rPr>
          <w:rFonts w:ascii="Times New Roman" w:hAnsi="Times New Roman" w:cs="Times New Roman"/>
          <w:b/>
        </w:rPr>
        <w:t>incorporate the definition of “non-dispatchable resources” established by S</w:t>
      </w:r>
      <w:r w:rsidR="001F5B44">
        <w:rPr>
          <w:rFonts w:ascii="Times New Roman" w:hAnsi="Times New Roman" w:cs="Times New Roman"/>
          <w:b/>
        </w:rPr>
        <w:t xml:space="preserve">enate </w:t>
      </w:r>
      <w:r w:rsidRPr="00DE2558">
        <w:rPr>
          <w:rFonts w:ascii="Times New Roman" w:hAnsi="Times New Roman" w:cs="Times New Roman"/>
          <w:b/>
        </w:rPr>
        <w:t>B</w:t>
      </w:r>
      <w:r w:rsidR="001F5B44">
        <w:rPr>
          <w:rFonts w:ascii="Times New Roman" w:hAnsi="Times New Roman" w:cs="Times New Roman"/>
          <w:b/>
        </w:rPr>
        <w:t>ill</w:t>
      </w:r>
      <w:r w:rsidRPr="00DE2558">
        <w:rPr>
          <w:rFonts w:ascii="Times New Roman" w:hAnsi="Times New Roman" w:cs="Times New Roman"/>
          <w:b/>
        </w:rPr>
        <w:t xml:space="preserve"> 3 </w:t>
      </w:r>
      <w:r w:rsidR="001F5B44">
        <w:rPr>
          <w:rFonts w:ascii="Times New Roman" w:hAnsi="Times New Roman" w:cs="Times New Roman"/>
          <w:b/>
        </w:rPr>
        <w:t xml:space="preserve">(SB 3) </w:t>
      </w:r>
      <w:r w:rsidRPr="00DE2558">
        <w:rPr>
          <w:rFonts w:ascii="Times New Roman" w:hAnsi="Times New Roman" w:cs="Times New Roman"/>
          <w:b/>
        </w:rPr>
        <w:t>in PURA § 39.159</w:t>
      </w:r>
    </w:p>
    <w:p w14:paraId="7FD2C9BF" w14:textId="15AA637A" w:rsidR="001F5B44" w:rsidRDefault="001F5B44" w:rsidP="00766964">
      <w:pPr>
        <w:spacing w:line="480" w:lineRule="auto"/>
        <w:ind w:firstLine="720"/>
        <w:jc w:val="both"/>
        <w:rPr>
          <w:rFonts w:ascii="Times New Roman" w:hAnsi="Times New Roman" w:cs="Times New Roman"/>
        </w:rPr>
      </w:pPr>
      <w:r>
        <w:rPr>
          <w:rFonts w:ascii="Times New Roman" w:hAnsi="Times New Roman" w:cs="Times New Roman"/>
        </w:rPr>
        <w:t>Section 18 of SB 3 provided a statutory definition that may be relevant to 16 TAC § 25.505(e)(4)(B)’s use of that term</w:t>
      </w:r>
      <w:r w:rsidR="00662559">
        <w:rPr>
          <w:rStyle w:val="FootnoteReference"/>
          <w:rFonts w:ascii="Times New Roman" w:hAnsi="Times New Roman" w:cs="Times New Roman"/>
        </w:rPr>
        <w:footnoteReference w:id="5"/>
      </w:r>
      <w:r w:rsidR="00662559">
        <w:rPr>
          <w:rFonts w:ascii="Times New Roman" w:hAnsi="Times New Roman" w:cs="Times New Roman"/>
        </w:rPr>
        <w:t>:</w:t>
      </w:r>
      <w:r w:rsidR="00766964">
        <w:rPr>
          <w:rFonts w:ascii="Times New Roman" w:hAnsi="Times New Roman" w:cs="Times New Roman"/>
        </w:rPr>
        <w:t xml:space="preserve"> </w:t>
      </w:r>
    </w:p>
    <w:p w14:paraId="1A33D5D9" w14:textId="3FF4439B" w:rsidR="001F5B44" w:rsidRDefault="001F5B44" w:rsidP="001F5B44">
      <w:pPr>
        <w:ind w:left="720"/>
        <w:jc w:val="both"/>
        <w:rPr>
          <w:rFonts w:ascii="Times New Roman" w:hAnsi="Times New Roman" w:cs="Times New Roman"/>
        </w:rPr>
      </w:pPr>
      <w:r w:rsidRPr="001F5B44">
        <w:rPr>
          <w:rFonts w:ascii="Times New Roman" w:hAnsi="Times New Roman" w:cs="Times New Roman"/>
          <w:u w:val="single"/>
        </w:rPr>
        <w:t xml:space="preserve">Sec. 39.159.  DISPATCHABLE GENERATION.  (a)  For the purposes of this section, a generation facility </w:t>
      </w:r>
      <w:proofErr w:type="gramStart"/>
      <w:r w:rsidRPr="001F5B44">
        <w:rPr>
          <w:rFonts w:ascii="Times New Roman" w:hAnsi="Times New Roman" w:cs="Times New Roman"/>
          <w:u w:val="single"/>
        </w:rPr>
        <w:t>is considered to be</w:t>
      </w:r>
      <w:proofErr w:type="gramEnd"/>
      <w:r w:rsidRPr="001F5B44">
        <w:rPr>
          <w:rFonts w:ascii="Times New Roman" w:hAnsi="Times New Roman" w:cs="Times New Roman"/>
          <w:u w:val="single"/>
        </w:rPr>
        <w:t xml:space="preserve"> non-dispatchable if the facility's output is controlled primarily by forces outside of human control.</w:t>
      </w:r>
    </w:p>
    <w:p w14:paraId="77F55F49" w14:textId="77777777" w:rsidR="001F5B44" w:rsidRDefault="001F5B44" w:rsidP="00766964">
      <w:pPr>
        <w:spacing w:line="480" w:lineRule="auto"/>
        <w:ind w:firstLine="720"/>
        <w:jc w:val="both"/>
        <w:rPr>
          <w:rFonts w:ascii="Times New Roman" w:hAnsi="Times New Roman" w:cs="Times New Roman"/>
        </w:rPr>
      </w:pPr>
    </w:p>
    <w:p w14:paraId="29C07966" w14:textId="1C24F1A9" w:rsidR="00766964" w:rsidRDefault="006C5B41" w:rsidP="00766964">
      <w:pPr>
        <w:spacing w:line="480" w:lineRule="auto"/>
        <w:ind w:firstLine="720"/>
        <w:jc w:val="both"/>
        <w:rPr>
          <w:rFonts w:ascii="Times New Roman" w:hAnsi="Times New Roman" w:cs="Times New Roman"/>
        </w:rPr>
      </w:pPr>
      <w:r>
        <w:rPr>
          <w:rFonts w:ascii="Times New Roman" w:hAnsi="Times New Roman" w:cs="Times New Roman"/>
        </w:rPr>
        <w:t>Accordingly, t</w:t>
      </w:r>
      <w:r w:rsidR="00662559">
        <w:rPr>
          <w:rFonts w:ascii="Times New Roman" w:hAnsi="Times New Roman" w:cs="Times New Roman"/>
        </w:rPr>
        <w:t xml:space="preserve">he </w:t>
      </w:r>
      <w:r w:rsidR="006D1322">
        <w:rPr>
          <w:rFonts w:ascii="Times New Roman" w:hAnsi="Times New Roman" w:cs="Times New Roman"/>
        </w:rPr>
        <w:t xml:space="preserve">above </w:t>
      </w:r>
      <w:r w:rsidR="00662559">
        <w:rPr>
          <w:rFonts w:ascii="Times New Roman" w:hAnsi="Times New Roman" w:cs="Times New Roman"/>
        </w:rPr>
        <w:t xml:space="preserve">definition </w:t>
      </w:r>
      <w:r w:rsidR="006D1322">
        <w:rPr>
          <w:rFonts w:ascii="Times New Roman" w:hAnsi="Times New Roman" w:cs="Times New Roman"/>
        </w:rPr>
        <w:t xml:space="preserve">should be incorporated </w:t>
      </w:r>
      <w:r w:rsidR="00662559">
        <w:rPr>
          <w:rFonts w:ascii="Times New Roman" w:hAnsi="Times New Roman" w:cs="Times New Roman"/>
        </w:rPr>
        <w:t>into 16 TAC 25.505(b)</w:t>
      </w:r>
      <w:r w:rsidR="006D1322">
        <w:rPr>
          <w:rFonts w:ascii="Times New Roman" w:hAnsi="Times New Roman" w:cs="Times New Roman"/>
        </w:rPr>
        <w:t xml:space="preserve"> to provide better clarity to 25.505(e)(4)(B)</w:t>
      </w:r>
      <w:r w:rsidR="00662559">
        <w:rPr>
          <w:rStyle w:val="FootnoteReference"/>
          <w:rFonts w:ascii="Times New Roman" w:hAnsi="Times New Roman" w:cs="Times New Roman"/>
        </w:rPr>
        <w:footnoteReference w:id="6"/>
      </w:r>
      <w:r w:rsidR="00766964">
        <w:rPr>
          <w:rFonts w:ascii="Times New Roman" w:hAnsi="Times New Roman" w:cs="Times New Roman"/>
        </w:rPr>
        <w:t>:</w:t>
      </w:r>
    </w:p>
    <w:p w14:paraId="57FDFABF" w14:textId="1DBA3738" w:rsidR="00766964" w:rsidRPr="00662559" w:rsidRDefault="00662559" w:rsidP="00662559">
      <w:pPr>
        <w:ind w:left="1080" w:hanging="360"/>
        <w:rPr>
          <w:rFonts w:ascii="Times New Roman" w:hAnsi="Times New Roman" w:cs="Times New Roman"/>
          <w:b/>
          <w:bCs/>
          <w:color w:val="FF0000"/>
          <w:u w:val="single"/>
        </w:rPr>
      </w:pPr>
      <w:r w:rsidRPr="00662559">
        <w:rPr>
          <w:rFonts w:ascii="Times New Roman" w:hAnsi="Times New Roman" w:cs="Times New Roman"/>
          <w:b/>
          <w:bCs/>
          <w:color w:val="FF0000"/>
          <w:u w:val="single"/>
        </w:rPr>
        <w:t>(#) Non-dispatchable resource</w:t>
      </w:r>
      <w:r w:rsidR="00766964" w:rsidRPr="00662559">
        <w:rPr>
          <w:rFonts w:ascii="Times New Roman" w:hAnsi="Times New Roman" w:cs="Times New Roman"/>
          <w:b/>
          <w:bCs/>
          <w:color w:val="FF0000"/>
          <w:u w:val="single"/>
        </w:rPr>
        <w:t xml:space="preserve">.  </w:t>
      </w:r>
      <w:r w:rsidRPr="00662559">
        <w:rPr>
          <w:rFonts w:ascii="Times New Roman" w:hAnsi="Times New Roman" w:cs="Times New Roman"/>
          <w:color w:val="FF0000"/>
          <w:u w:val="single"/>
        </w:rPr>
        <w:t>A resource for which the facility’s output is controlled primarily by forces outside of human control</w:t>
      </w:r>
      <w:r w:rsidR="00766964" w:rsidRPr="00662559">
        <w:rPr>
          <w:rFonts w:ascii="Times New Roman" w:hAnsi="Times New Roman" w:cs="Times New Roman"/>
          <w:color w:val="FF0000"/>
          <w:u w:val="single"/>
        </w:rPr>
        <w:t>.</w:t>
      </w:r>
    </w:p>
    <w:p w14:paraId="4558BBA6" w14:textId="77777777" w:rsidR="00DE2558" w:rsidRPr="00DE2558" w:rsidRDefault="00DE2558" w:rsidP="00DE2558">
      <w:pPr>
        <w:spacing w:after="240"/>
        <w:jc w:val="both"/>
        <w:rPr>
          <w:rFonts w:ascii="Times New Roman" w:hAnsi="Times New Roman" w:cs="Times New Roman"/>
          <w:b/>
        </w:rPr>
      </w:pPr>
    </w:p>
    <w:p w14:paraId="08AE449D" w14:textId="3537D445" w:rsidR="00114DD9" w:rsidRDefault="00DE2558" w:rsidP="00E51397">
      <w:pPr>
        <w:pStyle w:val="ListParagraph"/>
        <w:numPr>
          <w:ilvl w:val="0"/>
          <w:numId w:val="6"/>
        </w:numPr>
        <w:spacing w:after="240"/>
        <w:jc w:val="both"/>
        <w:rPr>
          <w:rFonts w:ascii="Times New Roman" w:hAnsi="Times New Roman" w:cs="Times New Roman"/>
          <w:b/>
        </w:rPr>
      </w:pPr>
      <w:r w:rsidRPr="00DE2558">
        <w:rPr>
          <w:rFonts w:ascii="Times New Roman" w:hAnsi="Times New Roman" w:cs="Times New Roman"/>
          <w:b/>
        </w:rPr>
        <w:t>25.509(c)(7):  The Commission should replace “actual marginal costs” with “reasonable, verifiable operating costs” to reflect the language established by SB 3 in PURA § 39.160</w:t>
      </w:r>
    </w:p>
    <w:p w14:paraId="3FD57935" w14:textId="2AE27E23" w:rsidR="00766964" w:rsidRDefault="00DC275D" w:rsidP="00766964">
      <w:pPr>
        <w:spacing w:line="480" w:lineRule="auto"/>
        <w:ind w:firstLine="720"/>
        <w:jc w:val="both"/>
        <w:rPr>
          <w:rFonts w:ascii="Times New Roman" w:hAnsi="Times New Roman" w:cs="Times New Roman"/>
        </w:rPr>
      </w:pPr>
      <w:r>
        <w:rPr>
          <w:rFonts w:ascii="Times New Roman" w:hAnsi="Times New Roman" w:cs="Times New Roman"/>
        </w:rPr>
        <w:lastRenderedPageBreak/>
        <w:t>TCPA raised concerns in Project No. 51871</w:t>
      </w:r>
      <w:r>
        <w:rPr>
          <w:rStyle w:val="FootnoteReference"/>
          <w:rFonts w:ascii="Times New Roman" w:hAnsi="Times New Roman" w:cs="Times New Roman"/>
        </w:rPr>
        <w:footnoteReference w:id="7"/>
      </w:r>
      <w:r>
        <w:rPr>
          <w:rFonts w:ascii="Times New Roman" w:hAnsi="Times New Roman" w:cs="Times New Roman"/>
        </w:rPr>
        <w:t xml:space="preserve"> that </w:t>
      </w:r>
      <w:r w:rsidR="00FC5F76">
        <w:rPr>
          <w:rFonts w:ascii="Times New Roman" w:hAnsi="Times New Roman" w:cs="Times New Roman"/>
        </w:rPr>
        <w:t>during extreme operating events generators regularly incur additional operating expenses in support of grid reliability that may not be strictly considered “marginal costs,” including fuel costs</w:t>
      </w:r>
      <w:r w:rsidR="00EC6FE4">
        <w:rPr>
          <w:rFonts w:ascii="Times New Roman" w:hAnsi="Times New Roman" w:cs="Times New Roman"/>
        </w:rPr>
        <w:t>, backup fuel procurement, chemical supplies, water treatment expenses, heating/cooling equipment, and additional staffing. Section 18 of SB 3 clearly set an expectation that when generators are operating to support reliability in extreme events, they should not</w:t>
      </w:r>
      <w:r w:rsidR="006D1322">
        <w:rPr>
          <w:rFonts w:ascii="Times New Roman" w:hAnsi="Times New Roman" w:cs="Times New Roman"/>
        </w:rPr>
        <w:t xml:space="preserve"> be forced to operate at a loss</w:t>
      </w:r>
      <w:r w:rsidR="00766964">
        <w:rPr>
          <w:rFonts w:ascii="Times New Roman" w:hAnsi="Times New Roman" w:cs="Times New Roman"/>
        </w:rPr>
        <w:t>:</w:t>
      </w:r>
      <w:r w:rsidR="00EC6FE4">
        <w:rPr>
          <w:rFonts w:ascii="Times New Roman" w:hAnsi="Times New Roman" w:cs="Times New Roman"/>
        </w:rPr>
        <w:t xml:space="preserve"> </w:t>
      </w:r>
    </w:p>
    <w:p w14:paraId="2CBA4681" w14:textId="693D89BE" w:rsidR="00EC6FE4" w:rsidRPr="00EC6FE4" w:rsidRDefault="00EC6FE4" w:rsidP="00EC6FE4">
      <w:pPr>
        <w:ind w:left="720"/>
        <w:jc w:val="both"/>
        <w:rPr>
          <w:rFonts w:ascii="Times New Roman" w:hAnsi="Times New Roman" w:cs="Times New Roman"/>
        </w:rPr>
      </w:pPr>
      <w:r w:rsidRPr="00EC6FE4">
        <w:rPr>
          <w:rFonts w:ascii="Times New Roman" w:hAnsi="Times New Roman" w:cs="Times New Roman"/>
        </w:rPr>
        <w:t xml:space="preserve">(g)  The emergency pricing program </w:t>
      </w:r>
      <w:r w:rsidRPr="00EC6FE4">
        <w:rPr>
          <w:rFonts w:ascii="Times New Roman" w:hAnsi="Times New Roman" w:cs="Times New Roman"/>
          <w:i/>
          <w:iCs/>
        </w:rPr>
        <w:t>must allow generators to be reimbursed for reasonable, verifiable operating costs that exceed the emergency cap</w:t>
      </w:r>
      <w:r w:rsidRPr="00EC6FE4">
        <w:rPr>
          <w:rFonts w:ascii="Times New Roman" w:hAnsi="Times New Roman" w:cs="Times New Roman"/>
        </w:rPr>
        <w:t>.</w:t>
      </w:r>
    </w:p>
    <w:p w14:paraId="153B9E4D" w14:textId="1F142BE2" w:rsidR="00EC6FE4" w:rsidRDefault="00EC6FE4" w:rsidP="00EC6FE4">
      <w:pPr>
        <w:rPr>
          <w:rFonts w:ascii="Times New Roman" w:hAnsi="Times New Roman" w:cs="Times New Roman"/>
          <w:b/>
          <w:bCs/>
          <w:u w:val="single"/>
        </w:rPr>
      </w:pPr>
    </w:p>
    <w:p w14:paraId="54041F35" w14:textId="45867FC6" w:rsidR="006D1322" w:rsidRDefault="00EC6FE4" w:rsidP="00EC6FE4">
      <w:pPr>
        <w:spacing w:line="480" w:lineRule="auto"/>
        <w:ind w:firstLine="720"/>
        <w:jc w:val="both"/>
        <w:rPr>
          <w:rFonts w:ascii="Times New Roman" w:hAnsi="Times New Roman" w:cs="Times New Roman"/>
        </w:rPr>
      </w:pPr>
      <w:r>
        <w:rPr>
          <w:rFonts w:ascii="Times New Roman" w:hAnsi="Times New Roman" w:cs="Times New Roman"/>
        </w:rPr>
        <w:t xml:space="preserve">While this </w:t>
      </w:r>
      <w:r w:rsidR="00702556">
        <w:rPr>
          <w:rFonts w:ascii="Times New Roman" w:hAnsi="Times New Roman" w:cs="Times New Roman"/>
        </w:rPr>
        <w:t>section of the statute specifically pertains to the emergency pricing program</w:t>
      </w:r>
      <w:r w:rsidR="00D90EF5">
        <w:rPr>
          <w:rFonts w:ascii="Times New Roman" w:hAnsi="Times New Roman" w:cs="Times New Roman"/>
        </w:rPr>
        <w:t xml:space="preserve"> that has yet to be implemented</w:t>
      </w:r>
      <w:r w:rsidR="00702556">
        <w:rPr>
          <w:rFonts w:ascii="Times New Roman" w:hAnsi="Times New Roman" w:cs="Times New Roman"/>
        </w:rPr>
        <w:t xml:space="preserve">, the underlying principle </w:t>
      </w:r>
      <w:r w:rsidR="00D90EF5">
        <w:rPr>
          <w:rFonts w:ascii="Times New Roman" w:hAnsi="Times New Roman" w:cs="Times New Roman"/>
        </w:rPr>
        <w:t xml:space="preserve">that generators should not operate at a loss in support of reliability </w:t>
      </w:r>
      <w:r w:rsidR="000E4D8E">
        <w:rPr>
          <w:rFonts w:ascii="Times New Roman" w:hAnsi="Times New Roman" w:cs="Times New Roman"/>
        </w:rPr>
        <w:t>is critical to maintaining the economic viability of the market as it is designed today</w:t>
      </w:r>
      <w:r w:rsidR="00D90EF5">
        <w:rPr>
          <w:rFonts w:ascii="Times New Roman" w:hAnsi="Times New Roman" w:cs="Times New Roman"/>
        </w:rPr>
        <w:t xml:space="preserve"> and </w:t>
      </w:r>
      <w:r w:rsidR="000E4D8E">
        <w:rPr>
          <w:rFonts w:ascii="Times New Roman" w:hAnsi="Times New Roman" w:cs="Times New Roman"/>
        </w:rPr>
        <w:t xml:space="preserve">so </w:t>
      </w:r>
      <w:r w:rsidR="00D90EF5">
        <w:rPr>
          <w:rFonts w:ascii="Times New Roman" w:hAnsi="Times New Roman" w:cs="Times New Roman"/>
        </w:rPr>
        <w:t>is a concern even without the emergency pricing program</w:t>
      </w:r>
      <w:r w:rsidR="00443948">
        <w:rPr>
          <w:rFonts w:ascii="Times New Roman" w:hAnsi="Times New Roman" w:cs="Times New Roman"/>
        </w:rPr>
        <w:t xml:space="preserve"> (EPP)</w:t>
      </w:r>
      <w:r w:rsidR="00D90EF5">
        <w:rPr>
          <w:rFonts w:ascii="Times New Roman" w:hAnsi="Times New Roman" w:cs="Times New Roman"/>
        </w:rPr>
        <w:t>.</w:t>
      </w:r>
      <w:r w:rsidR="003279E9">
        <w:rPr>
          <w:rFonts w:ascii="Times New Roman" w:hAnsi="Times New Roman" w:cs="Times New Roman"/>
        </w:rPr>
        <w:t xml:space="preserve"> </w:t>
      </w:r>
      <w:r w:rsidR="00443948">
        <w:rPr>
          <w:rFonts w:ascii="Times New Roman" w:hAnsi="Times New Roman" w:cs="Times New Roman"/>
        </w:rPr>
        <w:t xml:space="preserve">The provisions in the </w:t>
      </w:r>
      <w:r w:rsidR="006D1322">
        <w:rPr>
          <w:rFonts w:ascii="Times New Roman" w:hAnsi="Times New Roman" w:cs="Times New Roman"/>
        </w:rPr>
        <w:t xml:space="preserve">PFP </w:t>
      </w:r>
      <w:r w:rsidR="00443948">
        <w:rPr>
          <w:rFonts w:ascii="Times New Roman" w:hAnsi="Times New Roman" w:cs="Times New Roman"/>
        </w:rPr>
        <w:t xml:space="preserve">retain problematic language that only “actual marginal costs” can be recovered in excess of the LCAP. TCPA contested the retention of this language in its comments filed last summer in both Project </w:t>
      </w:r>
      <w:r w:rsidR="006D1322">
        <w:rPr>
          <w:rFonts w:ascii="Times New Roman" w:hAnsi="Times New Roman" w:cs="Times New Roman"/>
        </w:rPr>
        <w:t xml:space="preserve">No. </w:t>
      </w:r>
      <w:r w:rsidR="00443948">
        <w:rPr>
          <w:rFonts w:ascii="Times New Roman" w:hAnsi="Times New Roman" w:cs="Times New Roman"/>
        </w:rPr>
        <w:t xml:space="preserve">51871 and on NPRR 1086. </w:t>
      </w:r>
    </w:p>
    <w:p w14:paraId="4EB4CAEB" w14:textId="7B986132" w:rsidR="00EC6FE4" w:rsidRDefault="00443948" w:rsidP="00EC6FE4">
      <w:pPr>
        <w:spacing w:line="480" w:lineRule="auto"/>
        <w:ind w:firstLine="720"/>
        <w:jc w:val="both"/>
        <w:rPr>
          <w:rFonts w:ascii="Times New Roman" w:hAnsi="Times New Roman" w:cs="Times New Roman"/>
        </w:rPr>
      </w:pPr>
      <w:r>
        <w:rPr>
          <w:rFonts w:ascii="Times New Roman" w:hAnsi="Times New Roman" w:cs="Times New Roman"/>
        </w:rPr>
        <w:t xml:space="preserve">The concern regarding generators recouping their reasonable costs was expressed during the March 9, </w:t>
      </w:r>
      <w:proofErr w:type="gramStart"/>
      <w:r>
        <w:rPr>
          <w:rFonts w:ascii="Times New Roman" w:hAnsi="Times New Roman" w:cs="Times New Roman"/>
        </w:rPr>
        <w:t>2022</w:t>
      </w:r>
      <w:proofErr w:type="gramEnd"/>
      <w:r>
        <w:rPr>
          <w:rFonts w:ascii="Times New Roman" w:hAnsi="Times New Roman" w:cs="Times New Roman"/>
        </w:rPr>
        <w:t xml:space="preserve"> Senate Business &amp; Commerce committee in the discussions Senator Nichols had with Chairman Lake and ERCOT Interim CEO Brad Jones about ERCOT’s extensive use of Reliability Unit Commitment (RUC). Whether it’s the Scarcity Pricing Mechanism (SPM), the EPP, or some other tool being used </w:t>
      </w:r>
      <w:r w:rsidR="006D1322">
        <w:rPr>
          <w:rFonts w:ascii="Times New Roman" w:hAnsi="Times New Roman" w:cs="Times New Roman"/>
        </w:rPr>
        <w:t>under the name of</w:t>
      </w:r>
      <w:r>
        <w:rPr>
          <w:rFonts w:ascii="Times New Roman" w:hAnsi="Times New Roman" w:cs="Times New Roman"/>
        </w:rPr>
        <w:t xml:space="preserve"> reliability, the retention of “actual marginal costs” continues to send a message to the market that generators may be expected to operate at a loss</w:t>
      </w:r>
      <w:r w:rsidR="006D1322">
        <w:rPr>
          <w:rFonts w:ascii="Times New Roman" w:hAnsi="Times New Roman" w:cs="Times New Roman"/>
        </w:rPr>
        <w:t>, which ultimately would serve to undermine investment.</w:t>
      </w:r>
      <w:r>
        <w:rPr>
          <w:rFonts w:ascii="Times New Roman" w:hAnsi="Times New Roman" w:cs="Times New Roman"/>
        </w:rPr>
        <w:t xml:space="preserve"> The Legislature has indicated through enactment of SB 3 and in </w:t>
      </w:r>
      <w:r w:rsidR="00994270">
        <w:rPr>
          <w:rFonts w:ascii="Times New Roman" w:hAnsi="Times New Roman" w:cs="Times New Roman"/>
        </w:rPr>
        <w:t xml:space="preserve">recent </w:t>
      </w:r>
      <w:r>
        <w:rPr>
          <w:rFonts w:ascii="Times New Roman" w:hAnsi="Times New Roman" w:cs="Times New Roman"/>
        </w:rPr>
        <w:t xml:space="preserve">questions concerning the ability of thermal generators to </w:t>
      </w:r>
      <w:r>
        <w:rPr>
          <w:rFonts w:ascii="Times New Roman" w:hAnsi="Times New Roman" w:cs="Times New Roman"/>
        </w:rPr>
        <w:lastRenderedPageBreak/>
        <w:t>recoup their costs when units are forced online that generators must be allowed to recover their reasonable, verifiable operating costs</w:t>
      </w:r>
      <w:r w:rsidR="006D1322">
        <w:rPr>
          <w:rFonts w:ascii="Times New Roman" w:hAnsi="Times New Roman" w:cs="Times New Roman"/>
        </w:rPr>
        <w:t>.  The PFP’s provisions that limit generator recovery to “actual marginal costs” runs</w:t>
      </w:r>
      <w:r>
        <w:rPr>
          <w:rFonts w:ascii="Times New Roman" w:hAnsi="Times New Roman" w:cs="Times New Roman"/>
        </w:rPr>
        <w:t xml:space="preserve"> counter to th</w:t>
      </w:r>
      <w:r w:rsidR="006D1322">
        <w:rPr>
          <w:rFonts w:ascii="Times New Roman" w:hAnsi="Times New Roman" w:cs="Times New Roman"/>
        </w:rPr>
        <w:t>is</w:t>
      </w:r>
      <w:r>
        <w:rPr>
          <w:rFonts w:ascii="Times New Roman" w:hAnsi="Times New Roman" w:cs="Times New Roman"/>
        </w:rPr>
        <w:t xml:space="preserve"> policy</w:t>
      </w:r>
      <w:r w:rsidR="006D1322">
        <w:rPr>
          <w:rFonts w:ascii="Times New Roman" w:hAnsi="Times New Roman" w:cs="Times New Roman"/>
        </w:rPr>
        <w:t>.</w:t>
      </w:r>
      <w:r>
        <w:rPr>
          <w:rFonts w:ascii="Times New Roman" w:hAnsi="Times New Roman" w:cs="Times New Roman"/>
        </w:rPr>
        <w:t xml:space="preserve"> </w:t>
      </w:r>
      <w:r w:rsidR="00702556">
        <w:rPr>
          <w:rFonts w:ascii="Times New Roman" w:hAnsi="Times New Roman" w:cs="Times New Roman"/>
        </w:rPr>
        <w:t>TCPA</w:t>
      </w:r>
      <w:r>
        <w:rPr>
          <w:rFonts w:ascii="Times New Roman" w:hAnsi="Times New Roman" w:cs="Times New Roman"/>
        </w:rPr>
        <w:t>,</w:t>
      </w:r>
      <w:r w:rsidR="00EC6FE4">
        <w:rPr>
          <w:rFonts w:ascii="Times New Roman" w:hAnsi="Times New Roman" w:cs="Times New Roman"/>
        </w:rPr>
        <w:t xml:space="preserve"> </w:t>
      </w:r>
      <w:r w:rsidR="00D90EF5">
        <w:rPr>
          <w:rFonts w:ascii="Times New Roman" w:hAnsi="Times New Roman" w:cs="Times New Roman"/>
        </w:rPr>
        <w:t>therefore</w:t>
      </w:r>
      <w:r>
        <w:rPr>
          <w:rFonts w:ascii="Times New Roman" w:hAnsi="Times New Roman" w:cs="Times New Roman"/>
        </w:rPr>
        <w:t>,</w:t>
      </w:r>
      <w:r w:rsidR="00D90EF5">
        <w:rPr>
          <w:rFonts w:ascii="Times New Roman" w:hAnsi="Times New Roman" w:cs="Times New Roman"/>
        </w:rPr>
        <w:t xml:space="preserve"> </w:t>
      </w:r>
      <w:r w:rsidR="003279E9">
        <w:rPr>
          <w:rFonts w:ascii="Times New Roman" w:hAnsi="Times New Roman" w:cs="Times New Roman"/>
        </w:rPr>
        <w:t xml:space="preserve">recommends that the Commission incorporate </w:t>
      </w:r>
      <w:r w:rsidR="006D1322">
        <w:rPr>
          <w:rFonts w:ascii="Times New Roman" w:hAnsi="Times New Roman" w:cs="Times New Roman"/>
        </w:rPr>
        <w:t>SB 3’s “reasonable, verifi</w:t>
      </w:r>
      <w:r w:rsidR="00901AEB">
        <w:rPr>
          <w:rFonts w:ascii="Times New Roman" w:hAnsi="Times New Roman" w:cs="Times New Roman"/>
        </w:rPr>
        <w:t xml:space="preserve">able operating cost” </w:t>
      </w:r>
      <w:r w:rsidR="00D90EF5">
        <w:rPr>
          <w:rFonts w:ascii="Times New Roman" w:hAnsi="Times New Roman" w:cs="Times New Roman"/>
        </w:rPr>
        <w:t>language in the rule:</w:t>
      </w:r>
    </w:p>
    <w:p w14:paraId="5B50C5A4" w14:textId="1C2CF410" w:rsidR="00D90EF5" w:rsidRDefault="00AE2FEF" w:rsidP="007903AE">
      <w:pPr>
        <w:ind w:left="1350" w:hanging="630"/>
        <w:jc w:val="both"/>
        <w:rPr>
          <w:rFonts w:ascii="Times New Roman" w:hAnsi="Times New Roman" w:cs="Times New Roman"/>
        </w:rPr>
      </w:pPr>
      <w:r>
        <w:rPr>
          <w:rFonts w:ascii="Times New Roman" w:hAnsi="Times New Roman" w:cs="Times New Roman"/>
          <w:b/>
          <w:bCs/>
        </w:rPr>
        <w:t xml:space="preserve">(c)(7) </w:t>
      </w:r>
      <w:r w:rsidRPr="00AE2FEF">
        <w:rPr>
          <w:rFonts w:ascii="Times New Roman" w:hAnsi="Times New Roman" w:cs="Times New Roman"/>
          <w:b/>
          <w:bCs/>
        </w:rPr>
        <w:t>Reimbursement for Operating Losses when the LCAP is in Effect</w:t>
      </w:r>
      <w:r w:rsidRPr="00652430">
        <w:rPr>
          <w:rFonts w:ascii="Times New Roman" w:hAnsi="Times New Roman" w:cs="Times New Roman"/>
          <w:b/>
          <w:bCs/>
        </w:rPr>
        <w:t xml:space="preserve">.  </w:t>
      </w:r>
      <w:r>
        <w:rPr>
          <w:rFonts w:ascii="Times New Roman" w:hAnsi="Times New Roman" w:cs="Times New Roman"/>
        </w:rPr>
        <w:t>When the</w:t>
      </w:r>
      <w:r w:rsidR="0052332C">
        <w:rPr>
          <w:rFonts w:ascii="Times New Roman" w:hAnsi="Times New Roman" w:cs="Times New Roman"/>
        </w:rPr>
        <w:t xml:space="preserve"> </w:t>
      </w:r>
      <w:r w:rsidRPr="00AE2FEF">
        <w:rPr>
          <w:rFonts w:ascii="Times New Roman" w:hAnsi="Times New Roman" w:cs="Times New Roman"/>
        </w:rPr>
        <w:t>system-wide offer cap is set to the LCAP, ERCOT must reimburse resource entities</w:t>
      </w:r>
      <w:r>
        <w:rPr>
          <w:rFonts w:ascii="Times New Roman" w:hAnsi="Times New Roman" w:cs="Times New Roman"/>
        </w:rPr>
        <w:t xml:space="preserve"> </w:t>
      </w:r>
      <w:r w:rsidRPr="00AE2FEF">
        <w:rPr>
          <w:rFonts w:ascii="Times New Roman" w:hAnsi="Times New Roman" w:cs="Times New Roman"/>
        </w:rPr>
        <w:t xml:space="preserve">for any </w:t>
      </w:r>
      <w:r w:rsidR="0052332C" w:rsidRPr="007E56EE">
        <w:rPr>
          <w:rFonts w:ascii="Times New Roman" w:hAnsi="Times New Roman" w:cs="Times New Roman"/>
          <w:strike/>
          <w:color w:val="FF0000"/>
        </w:rPr>
        <w:t>a</w:t>
      </w:r>
      <w:r w:rsidRPr="007E56EE">
        <w:rPr>
          <w:rFonts w:ascii="Times New Roman" w:hAnsi="Times New Roman" w:cs="Times New Roman"/>
          <w:strike/>
          <w:color w:val="FF0000"/>
        </w:rPr>
        <w:t>ctual marginal</w:t>
      </w:r>
      <w:r w:rsidRPr="007E56EE">
        <w:rPr>
          <w:rFonts w:ascii="Times New Roman" w:hAnsi="Times New Roman" w:cs="Times New Roman"/>
          <w:color w:val="FF0000"/>
        </w:rPr>
        <w:t xml:space="preserve"> </w:t>
      </w:r>
      <w:r w:rsidR="007E56EE">
        <w:rPr>
          <w:rFonts w:ascii="Times New Roman" w:hAnsi="Times New Roman" w:cs="Times New Roman"/>
          <w:color w:val="FF0000"/>
          <w:u w:val="single"/>
        </w:rPr>
        <w:t xml:space="preserve">reasonable, verifiable operating </w:t>
      </w:r>
      <w:r w:rsidRPr="00AE2FEF">
        <w:rPr>
          <w:rFonts w:ascii="Times New Roman" w:hAnsi="Times New Roman" w:cs="Times New Roman"/>
        </w:rPr>
        <w:t>costs in excess of the larger of the LCAP or the real-time</w:t>
      </w:r>
      <w:r>
        <w:rPr>
          <w:rFonts w:ascii="Times New Roman" w:hAnsi="Times New Roman" w:cs="Times New Roman"/>
        </w:rPr>
        <w:t xml:space="preserve"> </w:t>
      </w:r>
      <w:r w:rsidRPr="00AE2FEF">
        <w:rPr>
          <w:rFonts w:ascii="Times New Roman" w:hAnsi="Times New Roman" w:cs="Times New Roman"/>
        </w:rPr>
        <w:t>energy price for the resource. ERCOT must utilize existing settlement processes to</w:t>
      </w:r>
      <w:r>
        <w:rPr>
          <w:rFonts w:ascii="Times New Roman" w:hAnsi="Times New Roman" w:cs="Times New Roman"/>
        </w:rPr>
        <w:t xml:space="preserve"> </w:t>
      </w:r>
      <w:r w:rsidRPr="00AE2FEF">
        <w:rPr>
          <w:rFonts w:ascii="Times New Roman" w:hAnsi="Times New Roman" w:cs="Times New Roman"/>
        </w:rPr>
        <w:t>the extent possible to verify the resource entity’s costs for reimbursement</w:t>
      </w:r>
      <w:r>
        <w:rPr>
          <w:rFonts w:ascii="Times New Roman" w:hAnsi="Times New Roman" w:cs="Times New Roman"/>
        </w:rPr>
        <w:t>.</w:t>
      </w:r>
    </w:p>
    <w:p w14:paraId="0FD0D654" w14:textId="77777777" w:rsidR="009A1E5E" w:rsidRDefault="009A1E5E" w:rsidP="00EC6FE4">
      <w:pPr>
        <w:spacing w:line="480" w:lineRule="auto"/>
        <w:ind w:firstLine="720"/>
        <w:jc w:val="both"/>
        <w:rPr>
          <w:rFonts w:ascii="Times New Roman" w:hAnsi="Times New Roman" w:cs="Times New Roman"/>
        </w:rPr>
      </w:pPr>
    </w:p>
    <w:p w14:paraId="3060D987" w14:textId="151CD43A" w:rsidR="00D836CA" w:rsidRPr="00DE2558" w:rsidRDefault="00D90EF5" w:rsidP="00855095">
      <w:pPr>
        <w:spacing w:line="480" w:lineRule="auto"/>
        <w:ind w:firstLine="720"/>
        <w:jc w:val="both"/>
        <w:rPr>
          <w:rFonts w:ascii="Times New Roman" w:hAnsi="Times New Roman" w:cs="Times New Roman"/>
          <w:b/>
        </w:rPr>
      </w:pPr>
      <w:r>
        <w:rPr>
          <w:rFonts w:ascii="Times New Roman" w:hAnsi="Times New Roman" w:cs="Times New Roman"/>
        </w:rPr>
        <w:t xml:space="preserve">If the Commission declines to incorporate this change </w:t>
      </w:r>
      <w:proofErr w:type="gramStart"/>
      <w:r>
        <w:rPr>
          <w:rFonts w:ascii="Times New Roman" w:hAnsi="Times New Roman" w:cs="Times New Roman"/>
        </w:rPr>
        <w:t>at this time</w:t>
      </w:r>
      <w:proofErr w:type="gramEnd"/>
      <w:r>
        <w:rPr>
          <w:rFonts w:ascii="Times New Roman" w:hAnsi="Times New Roman" w:cs="Times New Roman"/>
        </w:rPr>
        <w:t>, TCPA respectfully requests that the Commission open a rulemaking to implement the emergency pricing program and this concept in short order following the completion of this rulemaking.</w:t>
      </w:r>
    </w:p>
    <w:p w14:paraId="37D01E26" w14:textId="0CA632D2" w:rsidR="00901AEB" w:rsidRPr="00901AEB" w:rsidRDefault="00901AEB" w:rsidP="00B47E44">
      <w:pPr>
        <w:pStyle w:val="ListParagraph"/>
        <w:numPr>
          <w:ilvl w:val="0"/>
          <w:numId w:val="6"/>
        </w:numPr>
        <w:spacing w:after="240"/>
        <w:jc w:val="both"/>
        <w:rPr>
          <w:rFonts w:ascii="Times New Roman" w:hAnsi="Times New Roman" w:cs="Times New Roman"/>
          <w:b/>
        </w:rPr>
      </w:pPr>
      <w:r>
        <w:rPr>
          <w:rFonts w:ascii="Times New Roman" w:hAnsi="Times New Roman" w:cs="Times New Roman"/>
          <w:b/>
        </w:rPr>
        <w:t>25.509 General</w:t>
      </w:r>
    </w:p>
    <w:p w14:paraId="7D335279" w14:textId="46454939" w:rsidR="00B15763" w:rsidRDefault="00901AEB" w:rsidP="007B357D">
      <w:pPr>
        <w:spacing w:line="480" w:lineRule="auto"/>
        <w:ind w:firstLine="720"/>
        <w:jc w:val="both"/>
        <w:rPr>
          <w:rFonts w:ascii="Times New Roman" w:hAnsi="Times New Roman" w:cs="Times New Roman"/>
          <w:bCs/>
        </w:rPr>
      </w:pPr>
      <w:r>
        <w:rPr>
          <w:rFonts w:ascii="Times New Roman" w:hAnsi="Times New Roman" w:cs="Times New Roman"/>
          <w:bCs/>
        </w:rPr>
        <w:t xml:space="preserve">The PFP removes the concept of the Value of Lost Load (VOLL) from the System-Wide Offer Cap </w:t>
      </w:r>
      <w:r w:rsidR="00B15763">
        <w:rPr>
          <w:rFonts w:ascii="Times New Roman" w:hAnsi="Times New Roman" w:cs="Times New Roman"/>
          <w:bCs/>
        </w:rPr>
        <w:t>(SW</w:t>
      </w:r>
      <w:r w:rsidR="007903AE">
        <w:rPr>
          <w:rFonts w:ascii="Times New Roman" w:hAnsi="Times New Roman" w:cs="Times New Roman"/>
          <w:bCs/>
        </w:rPr>
        <w:t>O</w:t>
      </w:r>
      <w:r w:rsidR="00B15763">
        <w:rPr>
          <w:rFonts w:ascii="Times New Roman" w:hAnsi="Times New Roman" w:cs="Times New Roman"/>
          <w:bCs/>
        </w:rPr>
        <w:t xml:space="preserve">C) </w:t>
      </w:r>
      <w:r w:rsidRPr="00901AEB">
        <w:rPr>
          <w:rFonts w:ascii="Times New Roman" w:hAnsi="Times New Roman" w:cs="Times New Roman"/>
        </w:rPr>
        <w:t>provisions</w:t>
      </w:r>
      <w:r>
        <w:rPr>
          <w:rFonts w:ascii="Times New Roman" w:hAnsi="Times New Roman" w:cs="Times New Roman"/>
          <w:bCs/>
        </w:rPr>
        <w:t xml:space="preserve"> of the Commission’s rules (current 16 TAC § 25.505(g)(6)(E), which will be replaced by § 25.509(c)(6)).  To make clear that the removal of VOLL does not leave future readers wondering whether that concept is somehow coupled with the calculation of the </w:t>
      </w:r>
      <w:r w:rsidR="00B15763">
        <w:rPr>
          <w:rFonts w:ascii="Times New Roman" w:hAnsi="Times New Roman" w:cs="Times New Roman"/>
          <w:bCs/>
        </w:rPr>
        <w:t>SW</w:t>
      </w:r>
      <w:r w:rsidR="007903AE">
        <w:rPr>
          <w:rFonts w:ascii="Times New Roman" w:hAnsi="Times New Roman" w:cs="Times New Roman"/>
          <w:bCs/>
        </w:rPr>
        <w:t>O</w:t>
      </w:r>
      <w:r w:rsidR="00B15763">
        <w:rPr>
          <w:rFonts w:ascii="Times New Roman" w:hAnsi="Times New Roman" w:cs="Times New Roman"/>
          <w:bCs/>
        </w:rPr>
        <w:t xml:space="preserve">C, TCPA recommends that the Preamble to the order adopting these new rules clarify that: </w:t>
      </w:r>
      <w:r w:rsidR="00B15763" w:rsidRPr="00B15763">
        <w:rPr>
          <w:rFonts w:ascii="Times New Roman" w:hAnsi="Times New Roman" w:cs="Times New Roman"/>
          <w:bCs/>
          <w:i/>
          <w:iCs/>
        </w:rPr>
        <w:t xml:space="preserve">The System Wide Offer Cap calculations do not </w:t>
      </w:r>
      <w:proofErr w:type="gramStart"/>
      <w:r w:rsidR="00B15763" w:rsidRPr="00B15763">
        <w:rPr>
          <w:rFonts w:ascii="Times New Roman" w:hAnsi="Times New Roman" w:cs="Times New Roman"/>
          <w:bCs/>
          <w:i/>
          <w:iCs/>
        </w:rPr>
        <w:t>take into account</w:t>
      </w:r>
      <w:proofErr w:type="gramEnd"/>
      <w:r w:rsidR="00B15763" w:rsidRPr="00B15763">
        <w:rPr>
          <w:rFonts w:ascii="Times New Roman" w:hAnsi="Times New Roman" w:cs="Times New Roman"/>
          <w:bCs/>
          <w:i/>
          <w:iCs/>
        </w:rPr>
        <w:t xml:space="preserve"> the value of lost load (VOLL) and, thus, should not be read as a</w:t>
      </w:r>
      <w:r w:rsidR="00B15763">
        <w:rPr>
          <w:rFonts w:ascii="Times New Roman" w:hAnsi="Times New Roman" w:cs="Times New Roman"/>
          <w:bCs/>
          <w:i/>
          <w:iCs/>
        </w:rPr>
        <w:t>n estimate of or</w:t>
      </w:r>
      <w:r w:rsidR="00B15763" w:rsidRPr="00B15763">
        <w:rPr>
          <w:rFonts w:ascii="Times New Roman" w:hAnsi="Times New Roman" w:cs="Times New Roman"/>
          <w:bCs/>
          <w:i/>
          <w:iCs/>
        </w:rPr>
        <w:t xml:space="preserve"> proxy for VOLL</w:t>
      </w:r>
      <w:r w:rsidR="00B15763" w:rsidRPr="00B15763">
        <w:rPr>
          <w:rFonts w:ascii="Times New Roman" w:hAnsi="Times New Roman" w:cs="Times New Roman"/>
          <w:bCs/>
        </w:rPr>
        <w:t xml:space="preserve">. </w:t>
      </w:r>
    </w:p>
    <w:p w14:paraId="70B95439" w14:textId="61FD2B0D" w:rsidR="00DE2558" w:rsidRDefault="00DE2558" w:rsidP="00DE2558">
      <w:pPr>
        <w:pStyle w:val="ListParagraph"/>
        <w:numPr>
          <w:ilvl w:val="0"/>
          <w:numId w:val="6"/>
        </w:numPr>
        <w:spacing w:after="240"/>
        <w:jc w:val="both"/>
        <w:rPr>
          <w:rFonts w:ascii="Times New Roman" w:hAnsi="Times New Roman" w:cs="Times New Roman"/>
          <w:b/>
        </w:rPr>
      </w:pPr>
      <w:r w:rsidRPr="00DE2558">
        <w:rPr>
          <w:rFonts w:ascii="Times New Roman" w:hAnsi="Times New Roman" w:cs="Times New Roman"/>
          <w:b/>
        </w:rPr>
        <w:t xml:space="preserve">25.509(c)(7) </w:t>
      </w:r>
    </w:p>
    <w:p w14:paraId="48696C9C" w14:textId="77777777" w:rsidR="00D836CA" w:rsidRPr="00DE2558" w:rsidRDefault="00D836CA" w:rsidP="00855095">
      <w:pPr>
        <w:pStyle w:val="ListParagraph"/>
        <w:spacing w:after="240"/>
        <w:jc w:val="both"/>
        <w:rPr>
          <w:rFonts w:ascii="Times New Roman" w:hAnsi="Times New Roman" w:cs="Times New Roman"/>
          <w:b/>
        </w:rPr>
      </w:pPr>
    </w:p>
    <w:p w14:paraId="10E104DF" w14:textId="77777777" w:rsidR="00DE2558" w:rsidRPr="00DE2558" w:rsidRDefault="00DE2558" w:rsidP="00DE2558">
      <w:pPr>
        <w:pStyle w:val="ListParagraph"/>
        <w:numPr>
          <w:ilvl w:val="1"/>
          <w:numId w:val="6"/>
        </w:numPr>
        <w:spacing w:after="240"/>
        <w:jc w:val="both"/>
        <w:rPr>
          <w:rFonts w:ascii="Times New Roman" w:hAnsi="Times New Roman" w:cs="Times New Roman"/>
          <w:b/>
        </w:rPr>
      </w:pPr>
      <w:r w:rsidRPr="00DE2558">
        <w:rPr>
          <w:rFonts w:ascii="Times New Roman" w:hAnsi="Times New Roman" w:cs="Times New Roman"/>
          <w:b/>
        </w:rPr>
        <w:t>The ORDC reporting requirement may better fit under the new 25.505 along with other resource adequacy reporting requirements</w:t>
      </w:r>
    </w:p>
    <w:p w14:paraId="16843145" w14:textId="0909077B" w:rsidR="00766964" w:rsidRPr="00552DA1" w:rsidRDefault="00766964" w:rsidP="00B94BF7">
      <w:pPr>
        <w:spacing w:line="480" w:lineRule="auto"/>
        <w:ind w:firstLine="720"/>
        <w:jc w:val="both"/>
        <w:rPr>
          <w:rFonts w:ascii="Times New Roman" w:hAnsi="Times New Roman" w:cs="Times New Roman"/>
          <w:b/>
          <w:bCs/>
          <w:u w:val="single"/>
        </w:rPr>
      </w:pPr>
      <w:r>
        <w:rPr>
          <w:rFonts w:ascii="Times New Roman" w:hAnsi="Times New Roman" w:cs="Times New Roman"/>
        </w:rPr>
        <w:t xml:space="preserve">TCPA </w:t>
      </w:r>
      <w:r w:rsidR="00B94BF7">
        <w:rPr>
          <w:rFonts w:ascii="Times New Roman" w:hAnsi="Times New Roman" w:cs="Times New Roman"/>
        </w:rPr>
        <w:t xml:space="preserve">supports inclusion of the new rule requirement to reflect the ORDC reporting requirement established by the Commission’s Phase I market design blueprint. Organizationally, </w:t>
      </w:r>
      <w:r w:rsidR="00B94BF7">
        <w:rPr>
          <w:rFonts w:ascii="Times New Roman" w:hAnsi="Times New Roman" w:cs="Times New Roman"/>
        </w:rPr>
        <w:lastRenderedPageBreak/>
        <w:t>TCPA suggests that the Commission may wish to position this rule provision in 16 TAC § 25.505 along with other resource adequacy reporting requirements rather than in the scarcity pricing mechanism provisions under 16 TAC § 25.509 (which is more operational, pertaining to the peaker net margin calculation and offer cap restrictions).</w:t>
      </w:r>
    </w:p>
    <w:p w14:paraId="39D73355" w14:textId="4F007135" w:rsidR="00DE2558" w:rsidRPr="00FD23E8" w:rsidRDefault="00DE2558" w:rsidP="00DE2558">
      <w:pPr>
        <w:pStyle w:val="ListParagraph"/>
        <w:numPr>
          <w:ilvl w:val="1"/>
          <w:numId w:val="6"/>
        </w:numPr>
        <w:spacing w:after="240"/>
        <w:jc w:val="both"/>
        <w:rPr>
          <w:rFonts w:ascii="Times New Roman" w:hAnsi="Times New Roman" w:cs="Times New Roman"/>
          <w:b/>
        </w:rPr>
      </w:pPr>
      <w:r w:rsidRPr="00DE2558">
        <w:rPr>
          <w:rFonts w:ascii="Times New Roman" w:hAnsi="Times New Roman" w:cs="Times New Roman"/>
          <w:b/>
        </w:rPr>
        <w:t xml:space="preserve">The Commission should expand the rule language to ensure that the ORDC reporting that it receives provides holistic context by </w:t>
      </w:r>
      <w:r w:rsidR="00BB0F16" w:rsidRPr="00DE2558">
        <w:rPr>
          <w:rFonts w:ascii="Times New Roman" w:hAnsi="Times New Roman" w:cs="Times New Roman"/>
          <w:b/>
        </w:rPr>
        <w:t>considering</w:t>
      </w:r>
      <w:r w:rsidRPr="00DE2558">
        <w:rPr>
          <w:rFonts w:ascii="Times New Roman" w:hAnsi="Times New Roman" w:cs="Times New Roman"/>
          <w:b/>
        </w:rPr>
        <w:t xml:space="preserve"> interactions between the ORDC and other activities</w:t>
      </w:r>
    </w:p>
    <w:p w14:paraId="340D747F" w14:textId="2ACA2614" w:rsidR="00766964" w:rsidRDefault="004E40FB" w:rsidP="00766964">
      <w:pPr>
        <w:spacing w:line="480" w:lineRule="auto"/>
        <w:ind w:firstLine="720"/>
        <w:jc w:val="both"/>
        <w:rPr>
          <w:rFonts w:ascii="Times New Roman" w:hAnsi="Times New Roman" w:cs="Times New Roman"/>
        </w:rPr>
      </w:pPr>
      <w:r>
        <w:rPr>
          <w:rFonts w:ascii="Times New Roman" w:hAnsi="Times New Roman" w:cs="Times New Roman"/>
        </w:rPr>
        <w:t>W</w:t>
      </w:r>
      <w:r w:rsidR="00BB0F16">
        <w:rPr>
          <w:rFonts w:ascii="Times New Roman" w:hAnsi="Times New Roman" w:cs="Times New Roman"/>
        </w:rPr>
        <w:t>her</w:t>
      </w:r>
      <w:r>
        <w:rPr>
          <w:rFonts w:ascii="Times New Roman" w:hAnsi="Times New Roman" w:cs="Times New Roman"/>
        </w:rPr>
        <w:t>ever</w:t>
      </w:r>
      <w:r w:rsidR="00BB0F16">
        <w:rPr>
          <w:rFonts w:ascii="Times New Roman" w:hAnsi="Times New Roman" w:cs="Times New Roman"/>
        </w:rPr>
        <w:t xml:space="preserve"> the ORDC reporting requirement is placed, the Commission should specify in the rule that the biennial ORDC report should </w:t>
      </w:r>
      <w:proofErr w:type="gramStart"/>
      <w:r w:rsidR="00BB0F16">
        <w:rPr>
          <w:rFonts w:ascii="Times New Roman" w:hAnsi="Times New Roman" w:cs="Times New Roman"/>
        </w:rPr>
        <w:t>take into account</w:t>
      </w:r>
      <w:proofErr w:type="gramEnd"/>
      <w:r w:rsidR="00BB0F16">
        <w:rPr>
          <w:rFonts w:ascii="Times New Roman" w:hAnsi="Times New Roman" w:cs="Times New Roman"/>
        </w:rPr>
        <w:t xml:space="preserve"> any interactions between the ORDC and other activities, such as ancillary service procurements and out-of-market actions (e.g., RUCs, ERS deployments, use of TDU load management programs). This would be consistent with Commission discussion at the March 10, </w:t>
      </w:r>
      <w:proofErr w:type="gramStart"/>
      <w:r w:rsidR="00BB0F16">
        <w:rPr>
          <w:rFonts w:ascii="Times New Roman" w:hAnsi="Times New Roman" w:cs="Times New Roman"/>
        </w:rPr>
        <w:t>2022</w:t>
      </w:r>
      <w:proofErr w:type="gramEnd"/>
      <w:r w:rsidR="00BB0F16">
        <w:rPr>
          <w:rFonts w:ascii="Times New Roman" w:hAnsi="Times New Roman" w:cs="Times New Roman"/>
        </w:rPr>
        <w:t xml:space="preserve"> open meeting. TCPA suggests</w:t>
      </w:r>
      <w:r w:rsidR="00766964">
        <w:rPr>
          <w:rFonts w:ascii="Times New Roman" w:hAnsi="Times New Roman" w:cs="Times New Roman"/>
        </w:rPr>
        <w:t>:</w:t>
      </w:r>
    </w:p>
    <w:p w14:paraId="033AF14D" w14:textId="6D1DBF36" w:rsidR="00766964" w:rsidRPr="00BB0F16" w:rsidRDefault="00BB0F16" w:rsidP="007903AE">
      <w:pPr>
        <w:ind w:left="720"/>
        <w:jc w:val="both"/>
        <w:rPr>
          <w:rFonts w:ascii="Times New Roman" w:hAnsi="Times New Roman" w:cs="Times New Roman"/>
          <w:b/>
          <w:bCs/>
          <w:color w:val="FF0000"/>
          <w:u w:val="single"/>
        </w:rPr>
      </w:pPr>
      <w:r>
        <w:rPr>
          <w:rFonts w:ascii="Times New Roman" w:hAnsi="Times New Roman" w:cs="Times New Roman"/>
          <w:b/>
          <w:bCs/>
        </w:rPr>
        <w:t xml:space="preserve">(#) </w:t>
      </w:r>
      <w:r w:rsidRPr="00BB0F16">
        <w:rPr>
          <w:rFonts w:ascii="Times New Roman" w:hAnsi="Times New Roman" w:cs="Times New Roman"/>
          <w:b/>
          <w:bCs/>
        </w:rPr>
        <w:t>Operating Reserve Demand Curve (ORDC) report</w:t>
      </w:r>
      <w:r w:rsidR="00766964" w:rsidRPr="00BB0F16">
        <w:rPr>
          <w:rFonts w:ascii="Times New Roman" w:hAnsi="Times New Roman" w:cs="Times New Roman"/>
          <w:b/>
          <w:bCs/>
        </w:rPr>
        <w:t xml:space="preserve">.  </w:t>
      </w:r>
      <w:r w:rsidR="00766964" w:rsidRPr="00BB0F16">
        <w:rPr>
          <w:rFonts w:ascii="Times New Roman" w:hAnsi="Times New Roman" w:cs="Times New Roman"/>
        </w:rPr>
        <w:t xml:space="preserve">ERCOT must </w:t>
      </w:r>
      <w:r>
        <w:rPr>
          <w:rFonts w:ascii="Times New Roman" w:hAnsi="Times New Roman" w:cs="Times New Roman"/>
        </w:rPr>
        <w:t xml:space="preserve">publish, by </w:t>
      </w:r>
      <w:r w:rsidRPr="00BB0F16">
        <w:rPr>
          <w:rFonts w:ascii="Times New Roman" w:hAnsi="Times New Roman" w:cs="Times New Roman"/>
        </w:rPr>
        <w:t xml:space="preserve">November 1 of every even numbered year, a report </w:t>
      </w:r>
      <w:proofErr w:type="gramStart"/>
      <w:r w:rsidRPr="00BB0F16">
        <w:rPr>
          <w:rFonts w:ascii="Times New Roman" w:hAnsi="Times New Roman" w:cs="Times New Roman"/>
        </w:rPr>
        <w:t>analyzing  the</w:t>
      </w:r>
      <w:proofErr w:type="gramEnd"/>
      <w:r w:rsidRPr="00BB0F16">
        <w:rPr>
          <w:rFonts w:ascii="Times New Roman" w:hAnsi="Times New Roman" w:cs="Times New Roman"/>
        </w:rPr>
        <w:t xml:space="preserve">  efficacy</w:t>
      </w:r>
      <w:r>
        <w:rPr>
          <w:rFonts w:ascii="Times New Roman" w:hAnsi="Times New Roman" w:cs="Times New Roman"/>
        </w:rPr>
        <w:t xml:space="preserve">, </w:t>
      </w:r>
      <w:r w:rsidRPr="00BB0F16">
        <w:rPr>
          <w:rFonts w:ascii="Times New Roman" w:hAnsi="Times New Roman" w:cs="Times New Roman"/>
        </w:rPr>
        <w:t>utilization, related costs, and contribution of the ORDC to grid reliability in the</w:t>
      </w:r>
      <w:r>
        <w:rPr>
          <w:rFonts w:ascii="Times New Roman" w:hAnsi="Times New Roman" w:cs="Times New Roman"/>
        </w:rPr>
        <w:t xml:space="preserve"> </w:t>
      </w:r>
      <w:r w:rsidRPr="00BB0F16">
        <w:rPr>
          <w:rFonts w:ascii="Times New Roman" w:hAnsi="Times New Roman" w:cs="Times New Roman"/>
        </w:rPr>
        <w:t>ERCOT power region</w:t>
      </w:r>
      <w:r w:rsidR="00766964" w:rsidRPr="00BB0F16">
        <w:rPr>
          <w:rFonts w:ascii="Times New Roman" w:hAnsi="Times New Roman" w:cs="Times New Roman"/>
        </w:rPr>
        <w:t>.</w:t>
      </w:r>
      <w:r>
        <w:rPr>
          <w:rFonts w:ascii="Times New Roman" w:hAnsi="Times New Roman" w:cs="Times New Roman"/>
        </w:rPr>
        <w:t xml:space="preserve"> </w:t>
      </w:r>
      <w:r w:rsidRPr="00BB0F16">
        <w:rPr>
          <w:rFonts w:ascii="Times New Roman" w:hAnsi="Times New Roman" w:cs="Times New Roman"/>
          <w:color w:val="FF0000"/>
          <w:u w:val="single"/>
        </w:rPr>
        <w:t>The report</w:t>
      </w:r>
      <w:r>
        <w:rPr>
          <w:rFonts w:ascii="Times New Roman" w:hAnsi="Times New Roman" w:cs="Times New Roman"/>
          <w:color w:val="FF0000"/>
          <w:u w:val="single"/>
        </w:rPr>
        <w:t xml:space="preserve"> must consider whether and how the ORDC </w:t>
      </w:r>
      <w:r w:rsidR="00492DAE">
        <w:rPr>
          <w:rFonts w:ascii="Times New Roman" w:hAnsi="Times New Roman" w:cs="Times New Roman"/>
          <w:color w:val="FF0000"/>
          <w:u w:val="single"/>
        </w:rPr>
        <w:t>has interacted with other ERCOT activities, such as ancillary service procurements and out of market actions such as reliability unit commitments and demand response deployments.</w:t>
      </w:r>
    </w:p>
    <w:p w14:paraId="09499C33" w14:textId="6631A657" w:rsidR="00203BF9" w:rsidRDefault="00203BF9" w:rsidP="00E51397">
      <w:pPr>
        <w:pStyle w:val="ListParagraph"/>
        <w:numPr>
          <w:ilvl w:val="6"/>
          <w:numId w:val="4"/>
        </w:numPr>
        <w:spacing w:after="240"/>
        <w:jc w:val="both"/>
        <w:rPr>
          <w:rFonts w:ascii="Times New Roman" w:hAnsi="Times New Roman" w:cs="Times New Roman"/>
        </w:rPr>
      </w:pPr>
    </w:p>
    <w:p w14:paraId="5122E290" w14:textId="553E5953" w:rsidR="00242B62" w:rsidRPr="00C36738" w:rsidRDefault="0046186E" w:rsidP="00E51397">
      <w:pPr>
        <w:spacing w:line="480" w:lineRule="auto"/>
        <w:jc w:val="center"/>
        <w:rPr>
          <w:rFonts w:ascii="Times New Roman" w:hAnsi="Times New Roman" w:cs="Times New Roman"/>
          <w:b/>
          <w:bCs/>
        </w:rPr>
      </w:pPr>
      <w:r>
        <w:rPr>
          <w:rFonts w:ascii="Times New Roman" w:hAnsi="Times New Roman" w:cs="Times New Roman"/>
          <w:b/>
          <w:bCs/>
        </w:rPr>
        <w:t xml:space="preserve">III. </w:t>
      </w:r>
      <w:r w:rsidR="00242B62" w:rsidRPr="00C36738">
        <w:rPr>
          <w:rFonts w:ascii="Times New Roman" w:hAnsi="Times New Roman" w:cs="Times New Roman"/>
          <w:b/>
          <w:bCs/>
        </w:rPr>
        <w:t>Conclusion</w:t>
      </w:r>
    </w:p>
    <w:p w14:paraId="133B8B3A" w14:textId="6E427E0D" w:rsidR="00994270" w:rsidRDefault="00242B62" w:rsidP="00994270">
      <w:pPr>
        <w:spacing w:line="360" w:lineRule="auto"/>
        <w:ind w:firstLine="720"/>
        <w:jc w:val="both"/>
        <w:rPr>
          <w:rFonts w:ascii="Times New Roman" w:hAnsi="Times New Roman" w:cs="Times New Roman"/>
        </w:rPr>
      </w:pPr>
      <w:r w:rsidRPr="00C36738">
        <w:rPr>
          <w:rFonts w:ascii="Times New Roman" w:hAnsi="Times New Roman" w:cs="Times New Roman"/>
        </w:rPr>
        <w:tab/>
      </w:r>
      <w:r w:rsidR="006141FF">
        <w:rPr>
          <w:rFonts w:ascii="Times New Roman" w:hAnsi="Times New Roman" w:cs="Times New Roman"/>
        </w:rPr>
        <w:t>TCPA</w:t>
      </w:r>
      <w:r w:rsidRPr="00C36738">
        <w:rPr>
          <w:rFonts w:ascii="Times New Roman" w:hAnsi="Times New Roman" w:cs="Times New Roman"/>
        </w:rPr>
        <w:t xml:space="preserve"> appreciates the Commission’s </w:t>
      </w:r>
      <w:r w:rsidR="00584142">
        <w:rPr>
          <w:rFonts w:ascii="Times New Roman" w:hAnsi="Times New Roman" w:cs="Times New Roman"/>
        </w:rPr>
        <w:t>consideration of these comments</w:t>
      </w:r>
      <w:r w:rsidR="00B844B7" w:rsidRPr="00C36738">
        <w:rPr>
          <w:rFonts w:ascii="Times New Roman" w:hAnsi="Times New Roman" w:cs="Times New Roman"/>
        </w:rPr>
        <w:t>.</w:t>
      </w:r>
      <w:r w:rsidR="00B0163A" w:rsidRPr="00C36738">
        <w:rPr>
          <w:rFonts w:ascii="Times New Roman" w:hAnsi="Times New Roman" w:cs="Times New Roman"/>
        </w:rPr>
        <w:t xml:space="preserve"> </w:t>
      </w:r>
      <w:r w:rsidR="00994270">
        <w:rPr>
          <w:rFonts w:ascii="Times New Roman" w:hAnsi="Times New Roman" w:cs="Times New Roman"/>
        </w:rPr>
        <w:t xml:space="preserve">TCPA </w:t>
      </w:r>
      <w:r w:rsidR="00B15763">
        <w:rPr>
          <w:rFonts w:ascii="Times New Roman" w:hAnsi="Times New Roman" w:cs="Times New Roman"/>
        </w:rPr>
        <w:t xml:space="preserve">understands </w:t>
      </w:r>
      <w:r w:rsidR="00994270">
        <w:rPr>
          <w:rFonts w:ascii="Times New Roman" w:hAnsi="Times New Roman" w:cs="Times New Roman"/>
        </w:rPr>
        <w:t>that these comments are intended to focus on reorganization</w:t>
      </w:r>
      <w:r w:rsidR="00B15763">
        <w:rPr>
          <w:rFonts w:ascii="Times New Roman" w:hAnsi="Times New Roman" w:cs="Times New Roman"/>
        </w:rPr>
        <w:t xml:space="preserve"> of current 16 TAC § 25.505</w:t>
      </w:r>
      <w:r w:rsidR="00994270">
        <w:rPr>
          <w:rFonts w:ascii="Times New Roman" w:hAnsi="Times New Roman" w:cs="Times New Roman"/>
        </w:rPr>
        <w:t xml:space="preserve"> and that future projects will focus on substantive changes to the rules. However, TCPA highlighted some areas of substantive concern to flag for inclusion in the future projects addressing policy areas of these rules. TCPA continues to support a holistic implementation of wholesale market design elements, with a goal of increasing the amount of dispatchable generation in ERCOT </w:t>
      </w:r>
      <w:r w:rsidR="00B15763">
        <w:rPr>
          <w:rFonts w:ascii="Times New Roman" w:hAnsi="Times New Roman" w:cs="Times New Roman"/>
        </w:rPr>
        <w:t>through regulatory certainty</w:t>
      </w:r>
      <w:r w:rsidR="00994270">
        <w:rPr>
          <w:rFonts w:ascii="Times New Roman" w:hAnsi="Times New Roman" w:cs="Times New Roman"/>
        </w:rPr>
        <w:t>, without reaching scarcity, for reliable resources. As such, TCPA reserves the right to take different position(s) in future rulemakings that address these market parameters.</w:t>
      </w:r>
    </w:p>
    <w:p w14:paraId="3191B59A" w14:textId="30D3D3A4" w:rsidR="00242B62" w:rsidRPr="00C36738" w:rsidRDefault="00242B62" w:rsidP="00E51397">
      <w:pPr>
        <w:spacing w:line="480" w:lineRule="auto"/>
        <w:jc w:val="both"/>
        <w:rPr>
          <w:rFonts w:ascii="Times New Roman" w:hAnsi="Times New Roman" w:cs="Times New Roman"/>
        </w:rPr>
      </w:pPr>
    </w:p>
    <w:p w14:paraId="28E325AC" w14:textId="087A908F"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lastRenderedPageBreak/>
        <w:t>Dated:</w:t>
      </w:r>
      <w:r w:rsidR="00B0163A" w:rsidRPr="00C36738">
        <w:rPr>
          <w:rFonts w:ascii="Times New Roman" w:hAnsi="Times New Roman" w:cs="Times New Roman"/>
        </w:rPr>
        <w:t xml:space="preserve"> </w:t>
      </w:r>
      <w:r w:rsidR="00584142">
        <w:rPr>
          <w:rFonts w:ascii="Times New Roman" w:hAnsi="Times New Roman" w:cs="Times New Roman"/>
        </w:rPr>
        <w:t>March 18</w:t>
      </w:r>
      <w:r w:rsidRPr="00C36738">
        <w:rPr>
          <w:rFonts w:ascii="Times New Roman" w:hAnsi="Times New Roman" w:cs="Times New Roman"/>
        </w:rPr>
        <w:t>, 202</w:t>
      </w:r>
      <w:r w:rsidR="00FC4EA0">
        <w:rPr>
          <w:rFonts w:ascii="Times New Roman" w:hAnsi="Times New Roman" w:cs="Times New Roman"/>
        </w:rPr>
        <w:t>2</w:t>
      </w:r>
    </w:p>
    <w:p w14:paraId="3D4D0B14" w14:textId="4FAED6FB" w:rsidR="00F30BE0" w:rsidRPr="00C36738" w:rsidRDefault="00F30BE0" w:rsidP="00E51397">
      <w:pPr>
        <w:spacing w:line="480" w:lineRule="auto"/>
        <w:jc w:val="both"/>
        <w:rPr>
          <w:rFonts w:ascii="Times New Roman" w:hAnsi="Times New Roman" w:cs="Times New Roman"/>
        </w:rPr>
      </w:pPr>
    </w:p>
    <w:p w14:paraId="017A376D" w14:textId="3DC317EC"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t>Respectfully submitted,</w:t>
      </w:r>
    </w:p>
    <w:p w14:paraId="7A323786" w14:textId="55901607" w:rsidR="0093796B" w:rsidRPr="0048370E" w:rsidRDefault="0093796B" w:rsidP="0093796B">
      <w:pPr>
        <w:tabs>
          <w:tab w:val="left" w:pos="4320"/>
        </w:tabs>
        <w:ind w:right="-540"/>
        <w:rPr>
          <w:rFonts w:eastAsia="Times New Roman"/>
        </w:rPr>
      </w:pPr>
      <w:r>
        <w:rPr>
          <w:rFonts w:eastAsia="Times New Roman"/>
        </w:rPr>
        <w:tab/>
      </w:r>
      <w:r>
        <w:rPr>
          <w:rFonts w:eastAsia="Times New Roman"/>
          <w:noProof/>
          <w:lang w:eastAsia="en-US"/>
        </w:rPr>
        <w:drawing>
          <wp:inline distT="0" distB="0" distL="0" distR="0" wp14:anchorId="2225DE69" wp14:editId="21D223C9">
            <wp:extent cx="1925320" cy="50546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1943645" cy="510271"/>
                    </a:xfrm>
                    <a:prstGeom prst="rect">
                      <a:avLst/>
                    </a:prstGeom>
                  </pic:spPr>
                </pic:pic>
              </a:graphicData>
            </a:graphic>
          </wp:inline>
        </w:drawing>
      </w:r>
    </w:p>
    <w:p w14:paraId="73891067" w14:textId="13A9EF40" w:rsidR="0093796B" w:rsidRDefault="0093796B" w:rsidP="0093796B">
      <w:pPr>
        <w:outlineLvl w:val="0"/>
        <w:rPr>
          <w:rFonts w:eastAsia="Times New Roman"/>
        </w:rPr>
      </w:pP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Pr>
          <w:rFonts w:eastAsia="Times New Roman"/>
        </w:rPr>
        <w:tab/>
        <w:t>Michele Richmond</w:t>
      </w:r>
    </w:p>
    <w:p w14:paraId="6C474204" w14:textId="794C2285"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Executive Director</w:t>
      </w:r>
    </w:p>
    <w:p w14:paraId="04BC8460" w14:textId="78D531F6"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Texas Competitive Power Advocates (TCPA)</w:t>
      </w:r>
    </w:p>
    <w:p w14:paraId="4F2F0029" w14:textId="25EAAF11" w:rsidR="0093796B" w:rsidRPr="00A87133"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A87133">
        <w:rPr>
          <w:rFonts w:eastAsia="Times New Roman"/>
        </w:rPr>
        <w:t>(512) 653-7447</w:t>
      </w:r>
    </w:p>
    <w:p w14:paraId="592601F4" w14:textId="59B82B8A" w:rsidR="0093796B" w:rsidRPr="00A87133" w:rsidRDefault="0093796B" w:rsidP="0093796B">
      <w:pPr>
        <w:spacing w:line="360" w:lineRule="auto"/>
        <w:rPr>
          <w:rStyle w:val="Hyperlink"/>
          <w:rFonts w:eastAsia="Times New Roman"/>
        </w:rPr>
      </w:pPr>
      <w:r w:rsidRPr="00A87133">
        <w:rPr>
          <w:rFonts w:eastAsia="Times New Roman"/>
        </w:rPr>
        <w:tab/>
      </w:r>
      <w:r w:rsidRPr="00A87133">
        <w:rPr>
          <w:rFonts w:eastAsia="Times New Roman"/>
        </w:rPr>
        <w:tab/>
      </w:r>
      <w:r w:rsidRPr="00A87133">
        <w:rPr>
          <w:rFonts w:eastAsia="Times New Roman"/>
        </w:rPr>
        <w:tab/>
      </w:r>
      <w:r w:rsidRPr="00A87133">
        <w:rPr>
          <w:rFonts w:eastAsia="Times New Roman"/>
        </w:rPr>
        <w:tab/>
      </w:r>
      <w:r w:rsidRPr="00A87133">
        <w:rPr>
          <w:rFonts w:eastAsia="Times New Roman"/>
        </w:rPr>
        <w:tab/>
      </w:r>
      <w:r w:rsidR="00855095">
        <w:rPr>
          <w:rFonts w:eastAsia="Times New Roman"/>
        </w:rPr>
        <w:t xml:space="preserve">              </w:t>
      </w:r>
      <w:hyperlink r:id="rId9" w:history="1">
        <w:r w:rsidR="00855095" w:rsidRPr="00B25F1A">
          <w:rPr>
            <w:rStyle w:val="Hyperlink"/>
            <w:rFonts w:eastAsia="Times New Roman"/>
          </w:rPr>
          <w:t>michele@competitivepower.org</w:t>
        </w:r>
      </w:hyperlink>
    </w:p>
    <w:p w14:paraId="51234D93" w14:textId="77777777" w:rsidR="0011418A" w:rsidRDefault="00F30BE0" w:rsidP="00D836CA">
      <w:pPr>
        <w:spacing w:line="480" w:lineRule="auto"/>
        <w:jc w:val="both"/>
        <w:rPr>
          <w:rFonts w:ascii="Times New Roman" w:hAnsi="Times New Roman" w:cs="Times New Roman"/>
        </w:rPr>
      </w:pPr>
      <w:r w:rsidRPr="00A87133">
        <w:rPr>
          <w:rFonts w:ascii="Times New Roman" w:hAnsi="Times New Roman" w:cs="Times New Roman"/>
        </w:rPr>
        <w:tab/>
      </w:r>
      <w:r w:rsidRPr="00A87133">
        <w:rPr>
          <w:rFonts w:ascii="Times New Roman" w:hAnsi="Times New Roman" w:cs="Times New Roman"/>
        </w:rPr>
        <w:tab/>
      </w:r>
      <w:r w:rsidRPr="00A87133">
        <w:rPr>
          <w:rFonts w:ascii="Times New Roman" w:hAnsi="Times New Roman" w:cs="Times New Roman"/>
        </w:rPr>
        <w:tab/>
      </w:r>
      <w:r w:rsidRPr="00A87133">
        <w:rPr>
          <w:rFonts w:ascii="Times New Roman" w:hAnsi="Times New Roman" w:cs="Times New Roman"/>
        </w:rPr>
        <w:tab/>
      </w:r>
    </w:p>
    <w:p w14:paraId="5EF14914" w14:textId="77777777" w:rsidR="0011418A" w:rsidRDefault="0011418A">
      <w:pPr>
        <w:rPr>
          <w:rFonts w:ascii="Times New Roman" w:hAnsi="Times New Roman" w:cs="Times New Roman"/>
        </w:rPr>
      </w:pPr>
      <w:r>
        <w:rPr>
          <w:rFonts w:ascii="Times New Roman" w:hAnsi="Times New Roman" w:cs="Times New Roman"/>
        </w:rPr>
        <w:br w:type="page"/>
      </w:r>
    </w:p>
    <w:p w14:paraId="5F7623B6" w14:textId="26B7862B" w:rsidR="0088086C" w:rsidRPr="00A87133" w:rsidRDefault="0088086C" w:rsidP="00855095">
      <w:pPr>
        <w:spacing w:line="480" w:lineRule="auto"/>
        <w:jc w:val="both"/>
        <w:rPr>
          <w:rFonts w:ascii="Times New Roman" w:hAnsi="Times New Roman" w:cs="Times New Roman"/>
        </w:rPr>
      </w:pPr>
    </w:p>
    <w:p w14:paraId="3678CE65" w14:textId="32811E76" w:rsidR="0088086C" w:rsidRPr="00A87133" w:rsidRDefault="0088086C" w:rsidP="0088086C">
      <w:pPr>
        <w:jc w:val="center"/>
        <w:rPr>
          <w:rFonts w:ascii="Times New Roman" w:hAnsi="Times New Roman" w:cs="Times New Roman"/>
        </w:rPr>
      </w:pPr>
      <w:r w:rsidRPr="00A87133">
        <w:rPr>
          <w:rFonts w:ascii="Times New Roman" w:hAnsi="Times New Roman" w:cs="Times New Roman"/>
          <w:b/>
          <w:bCs/>
        </w:rPr>
        <w:t xml:space="preserve">PROJECT NO. </w:t>
      </w:r>
      <w:r w:rsidR="00C948B8" w:rsidRPr="00A87133">
        <w:rPr>
          <w:rFonts w:ascii="Times New Roman" w:hAnsi="Times New Roman" w:cs="Times New Roman"/>
          <w:b/>
          <w:bCs/>
        </w:rPr>
        <w:t>53191</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950"/>
      </w:tblGrid>
      <w:tr w:rsidR="0088086C" w:rsidRPr="00C36738" w14:paraId="70706D04" w14:textId="77777777" w:rsidTr="00D521E0">
        <w:trPr>
          <w:trHeight w:val="1341"/>
        </w:trPr>
        <w:tc>
          <w:tcPr>
            <w:tcW w:w="4230" w:type="dxa"/>
            <w:vAlign w:val="center"/>
          </w:tcPr>
          <w:p w14:paraId="5392C471" w14:textId="163C1AA4" w:rsidR="0088086C" w:rsidRPr="00C36738" w:rsidRDefault="00726C20" w:rsidP="00D521E0">
            <w:pPr>
              <w:rPr>
                <w:rFonts w:ascii="Times New Roman" w:hAnsi="Times New Roman" w:cs="Times New Roman"/>
                <w:b/>
                <w:bCs/>
              </w:rPr>
            </w:pPr>
            <w:r>
              <w:rPr>
                <w:rFonts w:ascii="Times New Roman" w:hAnsi="Times New Roman" w:cs="Times New Roman"/>
                <w:b/>
                <w:bCs/>
              </w:rPr>
              <w:t xml:space="preserve">REORGANIZATION </w:t>
            </w:r>
            <w:r w:rsidR="0088086C" w:rsidRPr="00D30ED9">
              <w:rPr>
                <w:rFonts w:ascii="Times New Roman" w:hAnsi="Times New Roman" w:cs="Times New Roman"/>
                <w:b/>
                <w:bCs/>
              </w:rPr>
              <w:t>OF § 25.5</w:t>
            </w:r>
            <w:r>
              <w:rPr>
                <w:rFonts w:ascii="Times New Roman" w:hAnsi="Times New Roman" w:cs="Times New Roman"/>
                <w:b/>
                <w:bCs/>
              </w:rPr>
              <w:t>05</w:t>
            </w:r>
            <w:r w:rsidR="0088086C" w:rsidRPr="00D30ED9">
              <w:rPr>
                <w:rFonts w:ascii="Times New Roman" w:hAnsi="Times New Roman" w:cs="Times New Roman"/>
                <w:b/>
                <w:bCs/>
              </w:rPr>
              <w:t xml:space="preserve"> </w:t>
            </w:r>
          </w:p>
        </w:tc>
        <w:tc>
          <w:tcPr>
            <w:tcW w:w="720" w:type="dxa"/>
            <w:vAlign w:val="center"/>
          </w:tcPr>
          <w:p w14:paraId="40871564"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p w14:paraId="194C7E37"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p w14:paraId="2692B223"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tc>
        <w:tc>
          <w:tcPr>
            <w:tcW w:w="4950" w:type="dxa"/>
            <w:vAlign w:val="center"/>
          </w:tcPr>
          <w:p w14:paraId="64C8BE5B"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BEFORE THE</w:t>
            </w:r>
          </w:p>
          <w:p w14:paraId="043B9A81"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PUBLIC UTILITY COMMISSION</w:t>
            </w:r>
          </w:p>
          <w:p w14:paraId="7DA2FA7C"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OF TEXAS</w:t>
            </w:r>
          </w:p>
        </w:tc>
      </w:tr>
    </w:tbl>
    <w:p w14:paraId="241329F7" w14:textId="77777777" w:rsidR="0088086C" w:rsidRPr="00C36738" w:rsidRDefault="0088086C" w:rsidP="0088086C">
      <w:pPr>
        <w:ind w:hanging="450"/>
        <w:rPr>
          <w:rFonts w:ascii="Times New Roman" w:hAnsi="Times New Roman" w:cs="Times New Roman"/>
        </w:rPr>
      </w:pPr>
      <w:r w:rsidRPr="00C36738">
        <w:rPr>
          <w:rFonts w:ascii="Times New Roman" w:hAnsi="Times New Roman" w:cs="Times New Roman"/>
          <w:b/>
          <w:bCs/>
        </w:rPr>
        <w:tab/>
      </w:r>
    </w:p>
    <w:p w14:paraId="0E3DB7C8" w14:textId="77777777" w:rsidR="0088086C" w:rsidRPr="00C36738" w:rsidRDefault="0088086C" w:rsidP="0088086C">
      <w:pPr>
        <w:rPr>
          <w:rFonts w:ascii="Times New Roman" w:hAnsi="Times New Roman" w:cs="Times New Roman"/>
          <w:u w:val="single"/>
        </w:rPr>
      </w:pPr>
    </w:p>
    <w:p w14:paraId="70C03F55" w14:textId="584D7D94" w:rsidR="0088086C" w:rsidRPr="00C36738" w:rsidRDefault="0088086C" w:rsidP="0088086C">
      <w:pPr>
        <w:jc w:val="center"/>
        <w:rPr>
          <w:rFonts w:ascii="Times New Roman" w:hAnsi="Times New Roman" w:cs="Times New Roman"/>
          <w:b/>
          <w:bCs/>
          <w:u w:val="single"/>
        </w:rPr>
      </w:pPr>
      <w:r>
        <w:rPr>
          <w:rFonts w:ascii="Times New Roman" w:hAnsi="Times New Roman" w:cs="Times New Roman"/>
          <w:b/>
          <w:bCs/>
          <w:u w:val="single"/>
        </w:rPr>
        <w:t>EXECUTIVE SUMMARY</w:t>
      </w:r>
      <w:r w:rsidRPr="00C36738">
        <w:rPr>
          <w:rFonts w:ascii="Times New Roman" w:hAnsi="Times New Roman" w:cs="Times New Roman"/>
          <w:b/>
          <w:bCs/>
          <w:u w:val="single"/>
        </w:rPr>
        <w:t xml:space="preserve"> OF </w:t>
      </w:r>
      <w:r w:rsidR="006141FF">
        <w:rPr>
          <w:rFonts w:ascii="Times New Roman" w:hAnsi="Times New Roman" w:cs="Times New Roman"/>
          <w:b/>
          <w:bCs/>
          <w:u w:val="single"/>
        </w:rPr>
        <w:t>TCPA</w:t>
      </w:r>
      <w:r>
        <w:rPr>
          <w:rFonts w:ascii="Times New Roman" w:hAnsi="Times New Roman" w:cs="Times New Roman"/>
          <w:b/>
          <w:bCs/>
          <w:u w:val="single"/>
        </w:rPr>
        <w:t xml:space="preserve"> COMMENTS</w:t>
      </w:r>
    </w:p>
    <w:p w14:paraId="66B6D9C7" w14:textId="76A62D9F" w:rsidR="00BD70E8" w:rsidRDefault="00BD70E8" w:rsidP="00E51397">
      <w:pPr>
        <w:spacing w:line="480" w:lineRule="auto"/>
        <w:jc w:val="both"/>
        <w:rPr>
          <w:rFonts w:ascii="Times New Roman" w:hAnsi="Times New Roman" w:cs="Times New Roman"/>
        </w:rPr>
      </w:pPr>
    </w:p>
    <w:p w14:paraId="3814F16E" w14:textId="39C8035F" w:rsidR="009F03A5" w:rsidRPr="008C6808" w:rsidRDefault="006D3983" w:rsidP="008C6808">
      <w:pPr>
        <w:spacing w:after="240"/>
        <w:jc w:val="both"/>
        <w:rPr>
          <w:rFonts w:ascii="Times New Roman" w:hAnsi="Times New Roman" w:cs="Times New Roman"/>
        </w:rPr>
      </w:pPr>
      <w:r w:rsidRPr="008C6808">
        <w:rPr>
          <w:rFonts w:ascii="Times New Roman" w:eastAsia="Times New Roman" w:hAnsi="Times New Roman" w:cs="Times New Roman"/>
          <w:szCs w:val="20"/>
        </w:rPr>
        <w:t xml:space="preserve">Comments </w:t>
      </w:r>
      <w:r w:rsidR="008C6808" w:rsidRPr="008C6808">
        <w:rPr>
          <w:rFonts w:ascii="Times New Roman" w:eastAsia="Times New Roman" w:hAnsi="Times New Roman" w:cs="Times New Roman"/>
          <w:szCs w:val="20"/>
        </w:rPr>
        <w:t xml:space="preserve">applicable to </w:t>
      </w:r>
      <w:r w:rsidRPr="008C6808">
        <w:rPr>
          <w:rFonts w:ascii="Times New Roman" w:eastAsia="Times New Roman" w:hAnsi="Times New Roman" w:cs="Times New Roman"/>
          <w:szCs w:val="20"/>
        </w:rPr>
        <w:t>multiple sections</w:t>
      </w:r>
    </w:p>
    <w:p w14:paraId="2C56C2C1" w14:textId="7B4A612F" w:rsidR="008C6808" w:rsidRPr="008C6808" w:rsidRDefault="008C6808" w:rsidP="00555FEE">
      <w:pPr>
        <w:pStyle w:val="ListParagraph"/>
        <w:numPr>
          <w:ilvl w:val="0"/>
          <w:numId w:val="26"/>
        </w:numPr>
        <w:spacing w:after="240"/>
        <w:jc w:val="both"/>
        <w:rPr>
          <w:rFonts w:ascii="Times New Roman" w:hAnsi="Times New Roman" w:cs="Times New Roman"/>
        </w:rPr>
      </w:pPr>
      <w:r w:rsidRPr="00E17B69">
        <w:rPr>
          <w:rFonts w:ascii="Times New Roman" w:eastAsia="Times New Roman" w:hAnsi="Times New Roman" w:cs="Times New Roman"/>
          <w:b/>
          <w:bCs/>
          <w:szCs w:val="20"/>
        </w:rPr>
        <w:t>25.505(b) &amp; 25.509(b)</w:t>
      </w:r>
      <w:r>
        <w:rPr>
          <w:rFonts w:ascii="Times New Roman" w:eastAsia="Times New Roman" w:hAnsi="Times New Roman" w:cs="Times New Roman"/>
          <w:szCs w:val="20"/>
        </w:rPr>
        <w:t xml:space="preserve">: </w:t>
      </w:r>
      <w:r w:rsidR="006D3983">
        <w:rPr>
          <w:rFonts w:ascii="Times New Roman" w:eastAsia="Times New Roman" w:hAnsi="Times New Roman" w:cs="Times New Roman"/>
          <w:szCs w:val="20"/>
        </w:rPr>
        <w:t>The definitions of “generation entity” should incorporate energy storage resources to avoid gaps and be consistent with 16 TAC § 25.5</w:t>
      </w:r>
      <w:r>
        <w:rPr>
          <w:rFonts w:ascii="Times New Roman" w:eastAsia="Times New Roman" w:hAnsi="Times New Roman" w:cs="Times New Roman"/>
          <w:szCs w:val="20"/>
        </w:rPr>
        <w:t xml:space="preserve">5 </w:t>
      </w:r>
    </w:p>
    <w:p w14:paraId="20861FB7" w14:textId="29A4E7F4" w:rsidR="008C6808" w:rsidRDefault="008C6808" w:rsidP="00555FEE">
      <w:pPr>
        <w:pStyle w:val="ListParagraph"/>
        <w:numPr>
          <w:ilvl w:val="0"/>
          <w:numId w:val="26"/>
        </w:numPr>
        <w:spacing w:after="240"/>
        <w:jc w:val="both"/>
        <w:rPr>
          <w:rFonts w:ascii="Times New Roman" w:hAnsi="Times New Roman" w:cs="Times New Roman"/>
        </w:rPr>
      </w:pPr>
      <w:r w:rsidRPr="00E17B69">
        <w:rPr>
          <w:rFonts w:ascii="Times New Roman" w:hAnsi="Times New Roman" w:cs="Times New Roman"/>
          <w:b/>
          <w:bCs/>
        </w:rPr>
        <w:t>25.505(f), 25.506(c), and 25.509(</w:t>
      </w:r>
      <w:r w:rsidR="00E17B69" w:rsidRPr="00E17B69">
        <w:rPr>
          <w:rFonts w:ascii="Times New Roman" w:hAnsi="Times New Roman" w:cs="Times New Roman"/>
          <w:b/>
          <w:bCs/>
        </w:rPr>
        <w:t>d</w:t>
      </w:r>
      <w:r w:rsidRPr="00E17B69">
        <w:rPr>
          <w:rFonts w:ascii="Times New Roman" w:hAnsi="Times New Roman" w:cs="Times New Roman"/>
          <w:b/>
          <w:bCs/>
        </w:rPr>
        <w:t>)</w:t>
      </w:r>
      <w:r w:rsidR="00E17B69">
        <w:rPr>
          <w:rFonts w:ascii="Times New Roman" w:hAnsi="Times New Roman" w:cs="Times New Roman"/>
        </w:rPr>
        <w:t xml:space="preserve">: </w:t>
      </w:r>
      <w:r w:rsidR="00E17B69" w:rsidRPr="00E17B69">
        <w:rPr>
          <w:rFonts w:ascii="Times New Roman" w:hAnsi="Times New Roman" w:cs="Times New Roman"/>
        </w:rPr>
        <w:t xml:space="preserve">The phrase "in consultation with commission staff" </w:t>
      </w:r>
      <w:r w:rsidR="00E17B69">
        <w:rPr>
          <w:rFonts w:ascii="Times New Roman" w:hAnsi="Times New Roman" w:cs="Times New Roman"/>
        </w:rPr>
        <w:t>sh</w:t>
      </w:r>
      <w:r w:rsidR="00E17B69" w:rsidRPr="00E17B69">
        <w:rPr>
          <w:rFonts w:ascii="Times New Roman" w:hAnsi="Times New Roman" w:cs="Times New Roman"/>
        </w:rPr>
        <w:t xml:space="preserve">ould be </w:t>
      </w:r>
      <w:r w:rsidR="00E17B69">
        <w:rPr>
          <w:rFonts w:ascii="Times New Roman" w:hAnsi="Times New Roman" w:cs="Times New Roman"/>
        </w:rPr>
        <w:t xml:space="preserve">revised to </w:t>
      </w:r>
      <w:r w:rsidR="00C948B8">
        <w:rPr>
          <w:rFonts w:ascii="Times New Roman" w:hAnsi="Times New Roman" w:cs="Times New Roman"/>
        </w:rPr>
        <w:t>avoid confusion and clarify that ERCOT’s consultation with Staff will be as a stakeholder</w:t>
      </w:r>
    </w:p>
    <w:p w14:paraId="7EC2D79B" w14:textId="5C565AA1" w:rsidR="008C6808" w:rsidRPr="008C6808" w:rsidRDefault="008C6808" w:rsidP="008C6808">
      <w:pPr>
        <w:spacing w:after="240"/>
        <w:jc w:val="both"/>
        <w:rPr>
          <w:rFonts w:ascii="Times New Roman" w:hAnsi="Times New Roman" w:cs="Times New Roman"/>
        </w:rPr>
      </w:pPr>
      <w:r>
        <w:rPr>
          <w:rFonts w:ascii="Times New Roman" w:hAnsi="Times New Roman" w:cs="Times New Roman"/>
        </w:rPr>
        <w:t>Comments on specific sections</w:t>
      </w:r>
    </w:p>
    <w:p w14:paraId="6BB9EC1D" w14:textId="1180107A" w:rsidR="006D3983" w:rsidRPr="003A5C58" w:rsidRDefault="00555FEE" w:rsidP="003A5C58">
      <w:pPr>
        <w:pStyle w:val="ListParagraph"/>
        <w:numPr>
          <w:ilvl w:val="0"/>
          <w:numId w:val="26"/>
        </w:numPr>
        <w:spacing w:after="240"/>
        <w:jc w:val="both"/>
        <w:rPr>
          <w:rFonts w:ascii="Times New Roman" w:hAnsi="Times New Roman" w:cs="Times New Roman"/>
        </w:rPr>
      </w:pPr>
      <w:r w:rsidRPr="003A5C58">
        <w:rPr>
          <w:rFonts w:ascii="Times New Roman" w:hAnsi="Times New Roman" w:cs="Times New Roman"/>
          <w:b/>
          <w:bCs/>
        </w:rPr>
        <w:t xml:space="preserve">25.505(e)(4): </w:t>
      </w:r>
      <w:r w:rsidR="008C6808" w:rsidRPr="003A5C58">
        <w:rPr>
          <w:rFonts w:ascii="Times New Roman" w:hAnsi="Times New Roman" w:cs="Times New Roman"/>
        </w:rPr>
        <w:t>The Commission may wish to incorporate the definition of “non-dispatchable resources” established by SB 3 in PURA § 39.159</w:t>
      </w:r>
    </w:p>
    <w:p w14:paraId="3DB2F7A5" w14:textId="27E081F8" w:rsidR="008C6808" w:rsidRPr="00E5083B" w:rsidRDefault="00555FEE" w:rsidP="008C6808">
      <w:pPr>
        <w:pStyle w:val="ListParagraph"/>
        <w:numPr>
          <w:ilvl w:val="0"/>
          <w:numId w:val="26"/>
        </w:numPr>
        <w:spacing w:after="240"/>
        <w:jc w:val="both"/>
        <w:rPr>
          <w:rFonts w:ascii="Times New Roman" w:hAnsi="Times New Roman" w:cs="Times New Roman"/>
          <w:b/>
          <w:bCs/>
        </w:rPr>
      </w:pPr>
      <w:r w:rsidRPr="00555FEE">
        <w:rPr>
          <w:rFonts w:ascii="Times New Roman" w:hAnsi="Times New Roman" w:cs="Times New Roman"/>
          <w:b/>
          <w:bCs/>
        </w:rPr>
        <w:t>25.509(c)</w:t>
      </w:r>
      <w:r>
        <w:rPr>
          <w:rFonts w:ascii="Times New Roman" w:hAnsi="Times New Roman" w:cs="Times New Roman"/>
          <w:b/>
          <w:bCs/>
        </w:rPr>
        <w:t>(7)</w:t>
      </w:r>
      <w:r w:rsidRPr="00555FEE">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 xml:space="preserve">The Commission should replace “actual marginal costs” with “reasonable, verifiable operating costs” to </w:t>
      </w:r>
      <w:r w:rsidR="00E5083B">
        <w:rPr>
          <w:rFonts w:ascii="Times New Roman" w:hAnsi="Times New Roman" w:cs="Times New Roman"/>
        </w:rPr>
        <w:t>reflect the language established by SB 3 in PURA § 39.160</w:t>
      </w:r>
    </w:p>
    <w:p w14:paraId="6AE6C535" w14:textId="49F5743F" w:rsidR="00E5083B" w:rsidRDefault="00E5083B" w:rsidP="00E5083B">
      <w:pPr>
        <w:pStyle w:val="ListParagraph"/>
        <w:numPr>
          <w:ilvl w:val="1"/>
          <w:numId w:val="26"/>
        </w:numPr>
        <w:spacing w:after="240"/>
        <w:jc w:val="both"/>
        <w:rPr>
          <w:rFonts w:ascii="Times New Roman" w:hAnsi="Times New Roman" w:cs="Times New Roman"/>
        </w:rPr>
      </w:pPr>
      <w:r w:rsidRPr="00E5083B">
        <w:rPr>
          <w:rFonts w:ascii="Times New Roman" w:hAnsi="Times New Roman" w:cs="Times New Roman"/>
        </w:rPr>
        <w:t>If the</w:t>
      </w:r>
      <w:r>
        <w:rPr>
          <w:rFonts w:ascii="Times New Roman" w:hAnsi="Times New Roman" w:cs="Times New Roman"/>
        </w:rPr>
        <w:t xml:space="preserve"> Commission declines to make this change in the current rulemaking, TCPA requests that the Commission promptly open a rulemaking to implement the provisions of PURA § 39.160 following the completion of this rulemaking</w:t>
      </w:r>
    </w:p>
    <w:p w14:paraId="62A09021" w14:textId="4021B39F" w:rsidR="00B15763" w:rsidRPr="00B15763" w:rsidRDefault="00B15763" w:rsidP="00E5083B">
      <w:pPr>
        <w:pStyle w:val="ListParagraph"/>
        <w:numPr>
          <w:ilvl w:val="0"/>
          <w:numId w:val="26"/>
        </w:numPr>
        <w:spacing w:after="240"/>
        <w:jc w:val="both"/>
        <w:rPr>
          <w:rFonts w:ascii="Times New Roman" w:hAnsi="Times New Roman" w:cs="Times New Roman"/>
        </w:rPr>
      </w:pPr>
      <w:r>
        <w:rPr>
          <w:rFonts w:ascii="Times New Roman" w:hAnsi="Times New Roman" w:cs="Times New Roman"/>
          <w:b/>
          <w:bCs/>
        </w:rPr>
        <w:t>25.509 (general)</w:t>
      </w:r>
      <w:r>
        <w:rPr>
          <w:rFonts w:ascii="Times New Roman" w:hAnsi="Times New Roman" w:cs="Times New Roman"/>
        </w:rPr>
        <w:t xml:space="preserve">:  The Preamble of the rule should clarify that </w:t>
      </w:r>
      <w:r w:rsidRPr="00B15763">
        <w:rPr>
          <w:rFonts w:ascii="Times New Roman" w:hAnsi="Times New Roman" w:cs="Times New Roman"/>
          <w:bCs/>
        </w:rPr>
        <w:t xml:space="preserve">The System Wide Offer Cap calculations </w:t>
      </w:r>
      <w:r>
        <w:rPr>
          <w:rFonts w:ascii="Times New Roman" w:hAnsi="Times New Roman" w:cs="Times New Roman"/>
          <w:bCs/>
        </w:rPr>
        <w:t xml:space="preserve">in § 25.509(c) </w:t>
      </w:r>
      <w:r w:rsidRPr="00B15763">
        <w:rPr>
          <w:rFonts w:ascii="Times New Roman" w:hAnsi="Times New Roman" w:cs="Times New Roman"/>
          <w:bCs/>
        </w:rPr>
        <w:t xml:space="preserve">do not </w:t>
      </w:r>
      <w:proofErr w:type="gramStart"/>
      <w:r w:rsidRPr="00B15763">
        <w:rPr>
          <w:rFonts w:ascii="Times New Roman" w:hAnsi="Times New Roman" w:cs="Times New Roman"/>
          <w:bCs/>
        </w:rPr>
        <w:t>take into account</w:t>
      </w:r>
      <w:proofErr w:type="gramEnd"/>
      <w:r w:rsidRPr="00B15763">
        <w:rPr>
          <w:rFonts w:ascii="Times New Roman" w:hAnsi="Times New Roman" w:cs="Times New Roman"/>
          <w:bCs/>
        </w:rPr>
        <w:t xml:space="preserve"> the value of lost load (VOLL) and, thus, should not be read as an estimate of or proxy for VOLL</w:t>
      </w:r>
      <w:r>
        <w:rPr>
          <w:rFonts w:ascii="Times New Roman" w:hAnsi="Times New Roman" w:cs="Times New Roman"/>
          <w:bCs/>
        </w:rPr>
        <w:t>.</w:t>
      </w:r>
    </w:p>
    <w:p w14:paraId="6879789D" w14:textId="176A4332" w:rsidR="00E5083B" w:rsidRDefault="00E5083B" w:rsidP="00E5083B">
      <w:pPr>
        <w:pStyle w:val="ListParagraph"/>
        <w:numPr>
          <w:ilvl w:val="0"/>
          <w:numId w:val="26"/>
        </w:numPr>
        <w:spacing w:after="240"/>
        <w:jc w:val="both"/>
        <w:rPr>
          <w:rFonts w:ascii="Times New Roman" w:hAnsi="Times New Roman" w:cs="Times New Roman"/>
        </w:rPr>
      </w:pPr>
      <w:r w:rsidRPr="00555FEE">
        <w:rPr>
          <w:rFonts w:ascii="Times New Roman" w:hAnsi="Times New Roman" w:cs="Times New Roman"/>
          <w:b/>
          <w:bCs/>
        </w:rPr>
        <w:t>25.509(c)</w:t>
      </w:r>
      <w:r>
        <w:rPr>
          <w:rFonts w:ascii="Times New Roman" w:hAnsi="Times New Roman" w:cs="Times New Roman"/>
          <w:b/>
          <w:bCs/>
        </w:rPr>
        <w:t>(7)</w:t>
      </w:r>
      <w:r w:rsidRPr="00555FEE">
        <w:rPr>
          <w:rFonts w:ascii="Times New Roman" w:hAnsi="Times New Roman" w:cs="Times New Roman"/>
          <w:b/>
          <w:bCs/>
        </w:rPr>
        <w:t>:</w:t>
      </w:r>
      <w:r>
        <w:rPr>
          <w:rFonts w:ascii="Times New Roman" w:hAnsi="Times New Roman" w:cs="Times New Roman"/>
        </w:rPr>
        <w:t xml:space="preserve"> </w:t>
      </w:r>
    </w:p>
    <w:p w14:paraId="3EFDECAB" w14:textId="0F25943C" w:rsidR="00E5083B" w:rsidRDefault="00E5083B" w:rsidP="00E5083B">
      <w:pPr>
        <w:pStyle w:val="ListParagraph"/>
        <w:numPr>
          <w:ilvl w:val="1"/>
          <w:numId w:val="26"/>
        </w:numPr>
        <w:spacing w:after="240"/>
        <w:jc w:val="both"/>
        <w:rPr>
          <w:rFonts w:ascii="Times New Roman" w:hAnsi="Times New Roman" w:cs="Times New Roman"/>
        </w:rPr>
      </w:pPr>
      <w:r>
        <w:rPr>
          <w:rFonts w:ascii="Times New Roman" w:hAnsi="Times New Roman" w:cs="Times New Roman"/>
        </w:rPr>
        <w:t>The ORDC reporting requirement may better fit under the new 25.505 along with other resource adequacy reporting requirements</w:t>
      </w:r>
    </w:p>
    <w:p w14:paraId="2FB46889" w14:textId="28792963" w:rsidR="00E5083B" w:rsidRPr="00E5083B" w:rsidRDefault="00E5083B" w:rsidP="00E5083B">
      <w:pPr>
        <w:pStyle w:val="ListParagraph"/>
        <w:numPr>
          <w:ilvl w:val="1"/>
          <w:numId w:val="26"/>
        </w:numPr>
        <w:spacing w:after="240"/>
        <w:jc w:val="both"/>
        <w:rPr>
          <w:rFonts w:ascii="Times New Roman" w:hAnsi="Times New Roman" w:cs="Times New Roman"/>
        </w:rPr>
      </w:pPr>
      <w:r>
        <w:rPr>
          <w:rFonts w:ascii="Times New Roman" w:hAnsi="Times New Roman" w:cs="Times New Roman"/>
        </w:rPr>
        <w:t xml:space="preserve">The Commission should expand the rule language to ensure that the ORDC reporting that it receives provides </w:t>
      </w:r>
      <w:r w:rsidR="00B8182C">
        <w:rPr>
          <w:rFonts w:ascii="Times New Roman" w:hAnsi="Times New Roman" w:cs="Times New Roman"/>
        </w:rPr>
        <w:t xml:space="preserve">holistic </w:t>
      </w:r>
      <w:r>
        <w:rPr>
          <w:rFonts w:ascii="Times New Roman" w:hAnsi="Times New Roman" w:cs="Times New Roman"/>
        </w:rPr>
        <w:t xml:space="preserve">context </w:t>
      </w:r>
      <w:r w:rsidR="00B8182C">
        <w:rPr>
          <w:rFonts w:ascii="Times New Roman" w:hAnsi="Times New Roman" w:cs="Times New Roman"/>
        </w:rPr>
        <w:t xml:space="preserve">by </w:t>
      </w:r>
      <w:proofErr w:type="gramStart"/>
      <w:r w:rsidR="00B8182C">
        <w:rPr>
          <w:rFonts w:ascii="Times New Roman" w:hAnsi="Times New Roman" w:cs="Times New Roman"/>
        </w:rPr>
        <w:t>taking into account</w:t>
      </w:r>
      <w:proofErr w:type="gramEnd"/>
      <w:r w:rsidR="00B8182C">
        <w:rPr>
          <w:rFonts w:ascii="Times New Roman" w:hAnsi="Times New Roman" w:cs="Times New Roman"/>
        </w:rPr>
        <w:t xml:space="preserve"> any interactions between the ORDC and other activities, such as ancillary service procurements and out-of-market actions (e.g., RUCs, ERS deployments, use of TDU load</w:t>
      </w:r>
      <w:r w:rsidR="003A5C58">
        <w:rPr>
          <w:rFonts w:ascii="Times New Roman" w:hAnsi="Times New Roman" w:cs="Times New Roman"/>
        </w:rPr>
        <w:t xml:space="preserve"> management programs, etc.)</w:t>
      </w:r>
    </w:p>
    <w:sectPr w:rsidR="00E5083B" w:rsidRPr="00E5083B" w:rsidSect="00DC3469">
      <w:footerReference w:type="default" r:id="rId10"/>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A86A" w14:textId="77777777" w:rsidR="00D244EB" w:rsidRDefault="00D244EB" w:rsidP="00AF1446">
      <w:r>
        <w:separator/>
      </w:r>
    </w:p>
  </w:endnote>
  <w:endnote w:type="continuationSeparator" w:id="0">
    <w:p w14:paraId="162312A0" w14:textId="77777777" w:rsidR="00D244EB" w:rsidRDefault="00D244EB" w:rsidP="00AF1446">
      <w:r>
        <w:continuationSeparator/>
      </w:r>
    </w:p>
  </w:endnote>
  <w:endnote w:type="continuationNotice" w:id="1">
    <w:p w14:paraId="1DDAF667" w14:textId="77777777" w:rsidR="00D244EB" w:rsidRDefault="00D24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98A6" w14:textId="1BE4BB02" w:rsidR="00D00A3A" w:rsidRPr="00D8346C" w:rsidRDefault="006141FF" w:rsidP="00DC3469">
    <w:pPr>
      <w:pStyle w:val="Footer"/>
      <w:rPr>
        <w:rFonts w:ascii="Times New Roman" w:hAnsi="Times New Roman" w:cs="Times New Roman"/>
      </w:rPr>
    </w:pPr>
    <w:r>
      <w:rPr>
        <w:rFonts w:ascii="Times New Roman" w:hAnsi="Times New Roman" w:cs="Times New Roman"/>
      </w:rPr>
      <w:t>TCPA</w:t>
    </w:r>
    <w:r w:rsidR="00D00A3A" w:rsidRPr="00D8346C">
      <w:rPr>
        <w:rFonts w:ascii="Times New Roman" w:hAnsi="Times New Roman" w:cs="Times New Roman"/>
      </w:rPr>
      <w:t xml:space="preserve"> Comments in Project </w:t>
    </w:r>
    <w:r w:rsidR="00726C20">
      <w:rPr>
        <w:rFonts w:ascii="Times New Roman" w:hAnsi="Times New Roman" w:cs="Times New Roman"/>
      </w:rPr>
      <w:t>53191</w:t>
    </w:r>
    <w:r w:rsidR="00D8346C">
      <w:rPr>
        <w:rFonts w:ascii="Times New Roman" w:hAnsi="Times New Roman" w:cs="Times New Roman"/>
      </w:rPr>
      <w:tab/>
    </w:r>
    <w:r w:rsidR="00D00A3A" w:rsidRPr="00D8346C">
      <w:rPr>
        <w:rFonts w:ascii="Times New Roman" w:hAnsi="Times New Roman" w:cs="Times New Roman"/>
      </w:rPr>
      <w:tab/>
      <w:t xml:space="preserve">Page </w:t>
    </w:r>
    <w:r w:rsidR="00D00A3A" w:rsidRPr="00D8346C">
      <w:rPr>
        <w:rFonts w:ascii="Times New Roman" w:hAnsi="Times New Roman" w:cs="Times New Roman"/>
      </w:rPr>
      <w:fldChar w:fldCharType="begin"/>
    </w:r>
    <w:r w:rsidR="00D00A3A" w:rsidRPr="00D8346C">
      <w:rPr>
        <w:rFonts w:ascii="Times New Roman" w:hAnsi="Times New Roman" w:cs="Times New Roman"/>
      </w:rPr>
      <w:instrText xml:space="preserve"> PAGE   \* MERGEFORMAT </w:instrText>
    </w:r>
    <w:r w:rsidR="00D00A3A" w:rsidRPr="00D8346C">
      <w:rPr>
        <w:rFonts w:ascii="Times New Roman" w:hAnsi="Times New Roman" w:cs="Times New Roman"/>
      </w:rPr>
      <w:fldChar w:fldCharType="separate"/>
    </w:r>
    <w:r w:rsidR="00A82E3B">
      <w:rPr>
        <w:rFonts w:ascii="Times New Roman" w:hAnsi="Times New Roman" w:cs="Times New Roman"/>
        <w:noProof/>
      </w:rPr>
      <w:t>26</w:t>
    </w:r>
    <w:r w:rsidR="00D00A3A" w:rsidRPr="00D8346C">
      <w:rPr>
        <w:rFonts w:ascii="Times New Roman" w:hAnsi="Times New Roman" w:cs="Times New Roman"/>
        <w:noProof/>
      </w:rPr>
      <w:fldChar w:fldCharType="end"/>
    </w:r>
  </w:p>
  <w:p w14:paraId="0F70DEEE" w14:textId="77777777" w:rsidR="00D00A3A" w:rsidRDefault="00D00A3A">
    <w:pPr>
      <w:pStyle w:val="Footer"/>
    </w:pPr>
  </w:p>
  <w:p w14:paraId="77AE2FF0" w14:textId="77777777" w:rsidR="00436101" w:rsidRDefault="004361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AADB" w14:textId="77777777" w:rsidR="00D244EB" w:rsidRDefault="00D244EB" w:rsidP="00AF1446">
      <w:r>
        <w:separator/>
      </w:r>
    </w:p>
  </w:footnote>
  <w:footnote w:type="continuationSeparator" w:id="0">
    <w:p w14:paraId="74C74E1B" w14:textId="77777777" w:rsidR="00D244EB" w:rsidRDefault="00D244EB" w:rsidP="00AF1446">
      <w:r>
        <w:continuationSeparator/>
      </w:r>
    </w:p>
  </w:footnote>
  <w:footnote w:type="continuationNotice" w:id="1">
    <w:p w14:paraId="7E8933B0" w14:textId="77777777" w:rsidR="00D244EB" w:rsidRDefault="00D244EB"/>
  </w:footnote>
  <w:footnote w:id="2">
    <w:p w14:paraId="6A344EFC" w14:textId="1B384D4A" w:rsidR="0011418A" w:rsidRPr="00855095" w:rsidRDefault="0011418A">
      <w:pPr>
        <w:pStyle w:val="FootnoteText"/>
        <w:rPr>
          <w:rFonts w:ascii="Times New Roman" w:hAnsi="Times New Roman" w:cs="Times New Roman"/>
          <w:sz w:val="20"/>
          <w:szCs w:val="20"/>
        </w:rPr>
      </w:pPr>
      <w:r w:rsidRPr="00855095">
        <w:rPr>
          <w:rStyle w:val="FootnoteReference"/>
          <w:rFonts w:ascii="Times New Roman" w:hAnsi="Times New Roman" w:cs="Times New Roman"/>
          <w:sz w:val="20"/>
          <w:szCs w:val="20"/>
        </w:rPr>
        <w:footnoteRef/>
      </w:r>
      <w:r w:rsidRPr="00855095">
        <w:rPr>
          <w:rFonts w:ascii="Times New Roman" w:hAnsi="Times New Roman" w:cs="Times New Roman"/>
          <w:sz w:val="20"/>
          <w:szCs w:val="20"/>
        </w:rPr>
        <w:t xml:space="preserve"> </w:t>
      </w:r>
      <w:r w:rsidRPr="00855095">
        <w:rPr>
          <w:rFonts w:ascii="Times New Roman" w:hAnsi="Times New Roman" w:cs="Times New Roman"/>
          <w:sz w:val="20"/>
          <w:szCs w:val="20"/>
        </w:rPr>
        <w:tab/>
        <w:t>TCPA is a trade association representing power generation companies and wholesale power marketers with investments in Texas and the Electric Reliability Council of Texas (ERCOT) wholesale electric market. TCPA members</w:t>
      </w:r>
      <w:r w:rsidRPr="00855095">
        <w:rPr>
          <w:rFonts w:ascii="Times New Roman" w:hAnsi="Times New Roman" w:cs="Times New Roman"/>
          <w:sz w:val="20"/>
          <w:szCs w:val="20"/>
          <w:vertAlign w:val="superscript"/>
        </w:rPr>
        <w:footnoteRef/>
      </w:r>
      <w:r w:rsidRPr="00855095">
        <w:rPr>
          <w:rFonts w:ascii="Times New Roman" w:hAnsi="Times New Roman" w:cs="Times New Roman"/>
          <w:sz w:val="20"/>
          <w:szCs w:val="20"/>
        </w:rPr>
        <w:t xml:space="preserve"> and 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participating in this filing provide nearly ninety percent (90%) of the non-wind electric generating capacity in ERCOT, representing billions of dollars of investment in the state, and employing thousands of Texans. </w:t>
      </w:r>
      <w:r w:rsidRPr="0011418A">
        <w:rPr>
          <w:rFonts w:ascii="Times New Roman" w:hAnsi="Times New Roman" w:cs="Times New Roman"/>
          <w:sz w:val="20"/>
          <w:szCs w:val="20"/>
        </w:rPr>
        <w:t xml:space="preserve">TCPA member companies participating in these comments </w:t>
      </w:r>
      <w:proofErr w:type="gramStart"/>
      <w:r w:rsidRPr="0011418A">
        <w:rPr>
          <w:rFonts w:ascii="Times New Roman" w:hAnsi="Times New Roman" w:cs="Times New Roman"/>
          <w:sz w:val="20"/>
          <w:szCs w:val="20"/>
        </w:rPr>
        <w:t>include:</w:t>
      </w:r>
      <w:proofErr w:type="gramEnd"/>
      <w:r w:rsidRPr="0011418A">
        <w:rPr>
          <w:rFonts w:ascii="Times New Roman" w:hAnsi="Times New Roman" w:cs="Times New Roman"/>
          <w:sz w:val="20"/>
          <w:szCs w:val="20"/>
        </w:rPr>
        <w:t xml:space="preserve"> Calpine, </w:t>
      </w:r>
      <w:proofErr w:type="spellStart"/>
      <w:r w:rsidRPr="0011418A">
        <w:rPr>
          <w:rFonts w:ascii="Times New Roman" w:hAnsi="Times New Roman" w:cs="Times New Roman"/>
          <w:sz w:val="20"/>
          <w:szCs w:val="20"/>
        </w:rPr>
        <w:t>Cogentrix</w:t>
      </w:r>
      <w:proofErr w:type="spellEnd"/>
      <w:r w:rsidRPr="0011418A">
        <w:rPr>
          <w:rFonts w:ascii="Times New Roman" w:hAnsi="Times New Roman" w:cs="Times New Roman"/>
          <w:sz w:val="20"/>
          <w:szCs w:val="20"/>
        </w:rPr>
        <w:t xml:space="preserve">, Constellation (formerly Exelon), EDF Trading North America, Luminant, NRG, Shell Energy North America, Talen Energy, Tenaska, </w:t>
      </w:r>
      <w:proofErr w:type="spellStart"/>
      <w:r w:rsidRPr="0011418A">
        <w:rPr>
          <w:rFonts w:ascii="Times New Roman" w:hAnsi="Times New Roman" w:cs="Times New Roman"/>
          <w:sz w:val="20"/>
          <w:szCs w:val="20"/>
        </w:rPr>
        <w:t>TexGen</w:t>
      </w:r>
      <w:proofErr w:type="spellEnd"/>
      <w:r w:rsidRPr="0011418A">
        <w:rPr>
          <w:rFonts w:ascii="Times New Roman" w:hAnsi="Times New Roman" w:cs="Times New Roman"/>
          <w:sz w:val="20"/>
          <w:szCs w:val="20"/>
        </w:rPr>
        <w:t xml:space="preserve"> Power, and </w:t>
      </w:r>
      <w:proofErr w:type="spellStart"/>
      <w:r w:rsidRPr="0011418A">
        <w:rPr>
          <w:rFonts w:ascii="Times New Roman" w:hAnsi="Times New Roman" w:cs="Times New Roman"/>
          <w:sz w:val="20"/>
          <w:szCs w:val="20"/>
        </w:rPr>
        <w:t>WattBridge</w:t>
      </w:r>
      <w:proofErr w:type="spellEnd"/>
      <w:r w:rsidRPr="0011418A">
        <w:rPr>
          <w:rFonts w:ascii="Times New Roman" w:hAnsi="Times New Roman" w:cs="Times New Roman"/>
          <w:sz w:val="20"/>
          <w:szCs w:val="20"/>
        </w:rPr>
        <w:t>.</w:t>
      </w:r>
    </w:p>
  </w:footnote>
  <w:footnote w:id="3">
    <w:p w14:paraId="0121B896" w14:textId="07EAB854" w:rsidR="00D712D7" w:rsidRPr="007B357D" w:rsidRDefault="00D712D7" w:rsidP="007B357D">
      <w:pPr>
        <w:pStyle w:val="FootnoteText"/>
        <w:spacing w:after="120"/>
        <w:ind w:firstLine="720"/>
        <w:jc w:val="both"/>
        <w:rPr>
          <w:rFonts w:ascii="Times New Roman" w:hAnsi="Times New Roman" w:cs="Times New Roman"/>
          <w:sz w:val="20"/>
          <w:szCs w:val="20"/>
        </w:rPr>
      </w:pPr>
      <w:r>
        <w:rPr>
          <w:rStyle w:val="FootnoteReference"/>
        </w:rPr>
        <w:footnoteRef/>
      </w:r>
      <w:r>
        <w:t xml:space="preserve"> </w:t>
      </w:r>
      <w:r w:rsidR="001A49C5">
        <w:rPr>
          <w:rStyle w:val="Hyperlink"/>
        </w:rPr>
        <w:t xml:space="preserve"> </w:t>
      </w:r>
      <w:r w:rsidR="001A49C5" w:rsidRPr="007B357D">
        <w:rPr>
          <w:rStyle w:val="Hyperlink"/>
          <w:rFonts w:ascii="Times New Roman" w:hAnsi="Times New Roman" w:cs="Times New Roman"/>
          <w:sz w:val="20"/>
          <w:szCs w:val="20"/>
        </w:rPr>
        <w:t xml:space="preserve">Proposal for Publication to Repeal 16 TAC § 25.501 and </w:t>
      </w:r>
      <w:proofErr w:type="gramStart"/>
      <w:r w:rsidR="001A49C5" w:rsidRPr="007B357D">
        <w:rPr>
          <w:rStyle w:val="Hyperlink"/>
          <w:rFonts w:ascii="Times New Roman" w:hAnsi="Times New Roman" w:cs="Times New Roman"/>
          <w:sz w:val="20"/>
          <w:szCs w:val="20"/>
        </w:rPr>
        <w:t>Replace</w:t>
      </w:r>
      <w:proofErr w:type="gramEnd"/>
      <w:r w:rsidR="001A49C5" w:rsidRPr="007B357D">
        <w:rPr>
          <w:rStyle w:val="Hyperlink"/>
          <w:rFonts w:ascii="Times New Roman" w:hAnsi="Times New Roman" w:cs="Times New Roman"/>
          <w:sz w:val="20"/>
          <w:szCs w:val="20"/>
        </w:rPr>
        <w:t xml:space="preserve"> it with New 16 TAC § 25.506, and New 16 TAC § 25.509 as Approved at the February 25, 2022, Open Meeting (Feb. 25, 2022) (hereafter “PFP”).</w:t>
      </w:r>
    </w:p>
  </w:footnote>
  <w:footnote w:id="4">
    <w:p w14:paraId="7D392171" w14:textId="31E93D58" w:rsidR="001765C5" w:rsidRPr="00855095" w:rsidRDefault="001765C5">
      <w:pPr>
        <w:pStyle w:val="FootnoteText"/>
        <w:rPr>
          <w:rFonts w:ascii="Times New Roman" w:hAnsi="Times New Roman" w:cs="Times New Roman"/>
          <w:sz w:val="20"/>
          <w:szCs w:val="20"/>
        </w:rPr>
      </w:pPr>
      <w:r w:rsidRPr="00855095">
        <w:rPr>
          <w:rStyle w:val="FootnoteReference"/>
          <w:rFonts w:ascii="Times New Roman" w:hAnsi="Times New Roman" w:cs="Times New Roman"/>
          <w:sz w:val="20"/>
          <w:szCs w:val="20"/>
        </w:rPr>
        <w:footnoteRef/>
      </w:r>
      <w:r w:rsidRPr="00855095">
        <w:rPr>
          <w:rFonts w:ascii="Times New Roman" w:hAnsi="Times New Roman" w:cs="Times New Roman"/>
          <w:sz w:val="20"/>
          <w:szCs w:val="20"/>
        </w:rPr>
        <w:t xml:space="preserve"> Article 5, Section 5.2 Functions of TAC, Amended and Restated Bylaws (</w:t>
      </w:r>
      <w:r w:rsidR="00B1566D" w:rsidRPr="00855095">
        <w:rPr>
          <w:rFonts w:ascii="Times New Roman" w:hAnsi="Times New Roman" w:cs="Times New Roman"/>
          <w:sz w:val="20"/>
          <w:szCs w:val="20"/>
        </w:rPr>
        <w:t>approved on October 12, 2021)</w:t>
      </w:r>
      <w:r w:rsidRPr="00855095">
        <w:rPr>
          <w:rFonts w:ascii="Times New Roman" w:hAnsi="Times New Roman" w:cs="Times New Roman"/>
          <w:sz w:val="20"/>
          <w:szCs w:val="20"/>
        </w:rPr>
        <w:t>,</w:t>
      </w:r>
      <w:r w:rsidR="005B0B7C" w:rsidRPr="00855095">
        <w:rPr>
          <w:rFonts w:ascii="Times New Roman" w:hAnsi="Times New Roman" w:cs="Times New Roman"/>
          <w:sz w:val="20"/>
          <w:szCs w:val="20"/>
        </w:rPr>
        <w:t xml:space="preserve"> Participation by stakeholders </w:t>
      </w:r>
      <w:r w:rsidR="009F3961" w:rsidRPr="00855095">
        <w:rPr>
          <w:rFonts w:ascii="Times New Roman" w:hAnsi="Times New Roman" w:cs="Times New Roman"/>
          <w:sz w:val="20"/>
          <w:szCs w:val="20"/>
        </w:rPr>
        <w:t xml:space="preserve">including </w:t>
      </w:r>
      <w:r w:rsidR="005B0B7C" w:rsidRPr="00855095">
        <w:rPr>
          <w:rFonts w:ascii="Times New Roman" w:hAnsi="Times New Roman" w:cs="Times New Roman"/>
          <w:sz w:val="20"/>
          <w:szCs w:val="20"/>
        </w:rPr>
        <w:t xml:space="preserve">market participants and Public Utility Commission Staff is key to the process contemplated by the Bylaws for developing ERCOT market rules (e.g., Protocols/Market Guides). </w:t>
      </w:r>
    </w:p>
  </w:footnote>
  <w:footnote w:id="5">
    <w:p w14:paraId="60CB6381" w14:textId="6584DE62" w:rsidR="00662559" w:rsidRPr="00855095" w:rsidRDefault="00662559">
      <w:pPr>
        <w:pStyle w:val="FootnoteText"/>
        <w:rPr>
          <w:rFonts w:ascii="Times New Roman" w:hAnsi="Times New Roman" w:cs="Times New Roman"/>
          <w:sz w:val="20"/>
          <w:szCs w:val="20"/>
        </w:rPr>
      </w:pPr>
      <w:r w:rsidRPr="00855095">
        <w:rPr>
          <w:rStyle w:val="FootnoteReference"/>
          <w:rFonts w:ascii="Times New Roman" w:hAnsi="Times New Roman" w:cs="Times New Roman"/>
          <w:sz w:val="20"/>
          <w:szCs w:val="20"/>
        </w:rPr>
        <w:footnoteRef/>
      </w:r>
      <w:r w:rsidRPr="00855095">
        <w:rPr>
          <w:rFonts w:ascii="Times New Roman" w:hAnsi="Times New Roman" w:cs="Times New Roman"/>
          <w:sz w:val="20"/>
          <w:szCs w:val="20"/>
        </w:rPr>
        <w:t xml:space="preserve"> [Generation entities will provide ERCOT with] “projected output of non-dispatchable resources such as wind turbines, run-of-the-river hydro, and solar power”</w:t>
      </w:r>
    </w:p>
  </w:footnote>
  <w:footnote w:id="6">
    <w:p w14:paraId="712090A7" w14:textId="4B0E5D6B" w:rsidR="00662559" w:rsidRDefault="00662559">
      <w:pPr>
        <w:pStyle w:val="FootnoteText"/>
      </w:pPr>
      <w:r w:rsidRPr="00855095">
        <w:rPr>
          <w:rStyle w:val="FootnoteReference"/>
          <w:rFonts w:ascii="Times New Roman" w:hAnsi="Times New Roman" w:cs="Times New Roman"/>
          <w:sz w:val="20"/>
          <w:szCs w:val="20"/>
        </w:rPr>
        <w:footnoteRef/>
      </w:r>
      <w:r w:rsidRPr="00855095">
        <w:rPr>
          <w:rFonts w:ascii="Times New Roman" w:hAnsi="Times New Roman" w:cs="Times New Roman"/>
          <w:sz w:val="20"/>
          <w:szCs w:val="20"/>
        </w:rPr>
        <w:t xml:space="preserve"> As the term “non-dispatchable” only appears in 16 TAC § 25.505, </w:t>
      </w:r>
      <w:r w:rsidR="00DC275D" w:rsidRPr="00855095">
        <w:rPr>
          <w:rFonts w:ascii="Times New Roman" w:hAnsi="Times New Roman" w:cs="Times New Roman"/>
          <w:sz w:val="20"/>
          <w:szCs w:val="20"/>
        </w:rPr>
        <w:t>this addition would not be additive in the other proposed rule sections.</w:t>
      </w:r>
    </w:p>
  </w:footnote>
  <w:footnote w:id="7">
    <w:p w14:paraId="312671D7" w14:textId="2975065A" w:rsidR="00DC275D" w:rsidRPr="00855095" w:rsidRDefault="00DC275D">
      <w:pPr>
        <w:pStyle w:val="FootnoteText"/>
        <w:rPr>
          <w:rFonts w:ascii="Times New Roman" w:hAnsi="Times New Roman" w:cs="Times New Roman"/>
          <w:sz w:val="20"/>
          <w:szCs w:val="20"/>
        </w:rPr>
      </w:pPr>
      <w:r w:rsidRPr="00855095">
        <w:rPr>
          <w:rStyle w:val="FootnoteReference"/>
          <w:rFonts w:ascii="Times New Roman" w:hAnsi="Times New Roman" w:cs="Times New Roman"/>
          <w:sz w:val="20"/>
          <w:szCs w:val="20"/>
        </w:rPr>
        <w:footnoteRef/>
      </w:r>
      <w:r w:rsidRPr="00855095">
        <w:rPr>
          <w:rFonts w:ascii="Times New Roman" w:hAnsi="Times New Roman" w:cs="Times New Roman"/>
          <w:sz w:val="20"/>
          <w:szCs w:val="20"/>
        </w:rPr>
        <w:t xml:space="preserve"> </w:t>
      </w:r>
      <w:r w:rsidR="00240B0D" w:rsidRPr="00855095">
        <w:rPr>
          <w:rFonts w:ascii="Times New Roman" w:hAnsi="Times New Roman" w:cs="Times New Roman"/>
          <w:sz w:val="20"/>
          <w:szCs w:val="20"/>
        </w:rPr>
        <w:t xml:space="preserve">See TCPA’s comments filed in Project No. 51871 at </w:t>
      </w:r>
      <w:hyperlink r:id="rId1" w:history="1">
        <w:r w:rsidR="00855095" w:rsidRPr="00855095">
          <w:rPr>
            <w:rStyle w:val="Hyperlink"/>
            <w:rFonts w:ascii="Times New Roman" w:hAnsi="Times New Roman" w:cs="Times New Roman"/>
            <w:sz w:val="20"/>
            <w:szCs w:val="20"/>
          </w:rPr>
          <w:t>51871_36_1131963.PDF (texas.gov)</w:t>
        </w:r>
      </w:hyperlink>
      <w:r w:rsidRPr="00855095">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1F"/>
    <w:multiLevelType w:val="hybridMultilevel"/>
    <w:tmpl w:val="6042265C"/>
    <w:lvl w:ilvl="0" w:tplc="F8104106">
      <w:start w:val="7"/>
      <w:numFmt w:val="lowerLetter"/>
      <w:lvlText w:val="(%1)"/>
      <w:lvlJc w:val="left"/>
    </w:lvl>
    <w:lvl w:ilvl="1" w:tplc="EAAEBA7A">
      <w:numFmt w:val="decimal"/>
      <w:lvlText w:val=""/>
      <w:lvlJc w:val="left"/>
    </w:lvl>
    <w:lvl w:ilvl="2" w:tplc="8E84F138">
      <w:numFmt w:val="decimal"/>
      <w:lvlText w:val=""/>
      <w:lvlJc w:val="left"/>
    </w:lvl>
    <w:lvl w:ilvl="3" w:tplc="96E2CABA">
      <w:numFmt w:val="decimal"/>
      <w:lvlText w:val=""/>
      <w:lvlJc w:val="left"/>
    </w:lvl>
    <w:lvl w:ilvl="4" w:tplc="C3F4EFE0">
      <w:numFmt w:val="decimal"/>
      <w:lvlText w:val=""/>
      <w:lvlJc w:val="left"/>
    </w:lvl>
    <w:lvl w:ilvl="5" w:tplc="0F3CAE60">
      <w:numFmt w:val="decimal"/>
      <w:lvlText w:val=""/>
      <w:lvlJc w:val="left"/>
    </w:lvl>
    <w:lvl w:ilvl="6" w:tplc="476ED36A">
      <w:numFmt w:val="decimal"/>
      <w:lvlText w:val=""/>
      <w:lvlJc w:val="left"/>
    </w:lvl>
    <w:lvl w:ilvl="7" w:tplc="049E74FA">
      <w:numFmt w:val="decimal"/>
      <w:lvlText w:val=""/>
      <w:lvlJc w:val="left"/>
    </w:lvl>
    <w:lvl w:ilvl="8" w:tplc="FF90FDE2">
      <w:numFmt w:val="decimal"/>
      <w:lvlText w:val=""/>
      <w:lvlJc w:val="left"/>
    </w:lvl>
  </w:abstractNum>
  <w:abstractNum w:abstractNumId="1" w15:restartNumberingAfterBreak="0">
    <w:nsid w:val="00004D06"/>
    <w:multiLevelType w:val="hybridMultilevel"/>
    <w:tmpl w:val="E660B834"/>
    <w:lvl w:ilvl="0" w:tplc="45D46368">
      <w:start w:val="1"/>
      <w:numFmt w:val="lowerLetter"/>
      <w:lvlText w:val="(%1)"/>
      <w:lvlJc w:val="left"/>
    </w:lvl>
    <w:lvl w:ilvl="1" w:tplc="00E8112A">
      <w:start w:val="1"/>
      <w:numFmt w:val="decimal"/>
      <w:lvlText w:val="(%2)"/>
      <w:lvlJc w:val="left"/>
    </w:lvl>
    <w:lvl w:ilvl="2" w:tplc="BBAA2036">
      <w:numFmt w:val="decimal"/>
      <w:lvlText w:val=""/>
      <w:lvlJc w:val="left"/>
    </w:lvl>
    <w:lvl w:ilvl="3" w:tplc="3112C754">
      <w:numFmt w:val="decimal"/>
      <w:lvlText w:val=""/>
      <w:lvlJc w:val="left"/>
    </w:lvl>
    <w:lvl w:ilvl="4" w:tplc="7A242630">
      <w:numFmt w:val="decimal"/>
      <w:lvlText w:val=""/>
      <w:lvlJc w:val="left"/>
    </w:lvl>
    <w:lvl w:ilvl="5" w:tplc="56685954">
      <w:numFmt w:val="decimal"/>
      <w:lvlText w:val=""/>
      <w:lvlJc w:val="left"/>
    </w:lvl>
    <w:lvl w:ilvl="6" w:tplc="699AB008">
      <w:numFmt w:val="decimal"/>
      <w:lvlText w:val=""/>
      <w:lvlJc w:val="left"/>
    </w:lvl>
    <w:lvl w:ilvl="7" w:tplc="A246F7D2">
      <w:numFmt w:val="decimal"/>
      <w:lvlText w:val=""/>
      <w:lvlJc w:val="left"/>
    </w:lvl>
    <w:lvl w:ilvl="8" w:tplc="ECC6106A">
      <w:numFmt w:val="decimal"/>
      <w:lvlText w:val=""/>
      <w:lvlJc w:val="left"/>
    </w:lvl>
  </w:abstractNum>
  <w:abstractNum w:abstractNumId="2" w15:restartNumberingAfterBreak="0">
    <w:nsid w:val="054B38DA"/>
    <w:multiLevelType w:val="hybridMultilevel"/>
    <w:tmpl w:val="2662E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B115C"/>
    <w:multiLevelType w:val="hybridMultilevel"/>
    <w:tmpl w:val="6D84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78B1"/>
    <w:multiLevelType w:val="hybridMultilevel"/>
    <w:tmpl w:val="BDAE5724"/>
    <w:lvl w:ilvl="0" w:tplc="3FC02F12">
      <w:start w:val="4"/>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C7AFB"/>
    <w:multiLevelType w:val="hybridMultilevel"/>
    <w:tmpl w:val="BDAE5724"/>
    <w:lvl w:ilvl="0" w:tplc="FFFFFFFF">
      <w:start w:val="4"/>
      <w:numFmt w:val="lowerRoman"/>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F205EC"/>
    <w:multiLevelType w:val="hybridMultilevel"/>
    <w:tmpl w:val="B7B4ED5C"/>
    <w:lvl w:ilvl="0" w:tplc="465EF95E">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5A83"/>
    <w:multiLevelType w:val="hybridMultilevel"/>
    <w:tmpl w:val="1910D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73B31"/>
    <w:multiLevelType w:val="hybridMultilevel"/>
    <w:tmpl w:val="EE8C0296"/>
    <w:lvl w:ilvl="0" w:tplc="ECA6328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27A80"/>
    <w:multiLevelType w:val="hybridMultilevel"/>
    <w:tmpl w:val="C480D92E"/>
    <w:lvl w:ilvl="0" w:tplc="93BAAA84">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977C7"/>
    <w:multiLevelType w:val="hybridMultilevel"/>
    <w:tmpl w:val="30AA4BE2"/>
    <w:lvl w:ilvl="0" w:tplc="D662FF42">
      <w:start w:val="2"/>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315989"/>
    <w:multiLevelType w:val="hybridMultilevel"/>
    <w:tmpl w:val="5B007748"/>
    <w:lvl w:ilvl="0" w:tplc="9412F96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A3C75"/>
    <w:multiLevelType w:val="hybridMultilevel"/>
    <w:tmpl w:val="4934B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6603B"/>
    <w:multiLevelType w:val="hybridMultilevel"/>
    <w:tmpl w:val="1C4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E0585"/>
    <w:multiLevelType w:val="hybridMultilevel"/>
    <w:tmpl w:val="02B2D9BE"/>
    <w:lvl w:ilvl="0" w:tplc="754C431E">
      <w:start w:val="3"/>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30E70"/>
    <w:multiLevelType w:val="hybridMultilevel"/>
    <w:tmpl w:val="58CAC864"/>
    <w:lvl w:ilvl="0" w:tplc="19C852C4">
      <w:start w:val="7"/>
      <w:numFmt w:val="upperLetter"/>
      <w:lvlText w:val="(%1)"/>
      <w:lvlJc w:val="left"/>
      <w:pPr>
        <w:ind w:left="1890" w:hanging="180"/>
      </w:pPr>
      <w:rPr>
        <w:rFonts w:hint="default"/>
        <w:strike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4EF74A1"/>
    <w:multiLevelType w:val="hybridMultilevel"/>
    <w:tmpl w:val="296EC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9F3266"/>
    <w:multiLevelType w:val="hybridMultilevel"/>
    <w:tmpl w:val="1870034E"/>
    <w:lvl w:ilvl="0" w:tplc="455C6A7C">
      <w:start w:val="1"/>
      <w:numFmt w:val="upperLetter"/>
      <w:lvlText w:val="%1."/>
      <w:lvlJc w:val="left"/>
      <w:pPr>
        <w:ind w:left="720" w:hanging="360"/>
      </w:pPr>
      <w:rPr>
        <w:b/>
        <w:bCs w:val="0"/>
      </w:rPr>
    </w:lvl>
    <w:lvl w:ilvl="1" w:tplc="0409000F">
      <w:start w:val="1"/>
      <w:numFmt w:val="decimal"/>
      <w:lvlText w:val="%2."/>
      <w:lvlJc w:val="left"/>
      <w:pPr>
        <w:ind w:left="1440" w:hanging="360"/>
      </w:pPr>
      <w:rPr>
        <w:b/>
        <w:bCs/>
      </w:rPr>
    </w:lvl>
    <w:lvl w:ilvl="2" w:tplc="AC42F83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077F8"/>
    <w:multiLevelType w:val="hybridMultilevel"/>
    <w:tmpl w:val="BA0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0471F"/>
    <w:multiLevelType w:val="hybridMultilevel"/>
    <w:tmpl w:val="62D4F122"/>
    <w:lvl w:ilvl="0" w:tplc="BCDE3A64">
      <w:start w:val="5"/>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950EA"/>
    <w:multiLevelType w:val="hybridMultilevel"/>
    <w:tmpl w:val="B0564D3C"/>
    <w:lvl w:ilvl="0" w:tplc="FFFFFFFF">
      <w:numFmt w:val="decimal"/>
      <w:lvlText w:val=""/>
      <w:lvlJc w:val="left"/>
    </w:lvl>
    <w:lvl w:ilvl="1" w:tplc="FFFFFFFF">
      <w:start w:val="1"/>
      <w:numFmt w:val="decimal"/>
      <w:lvlText w:val="(%2)"/>
      <w:lvlJc w:val="left"/>
      <w:pPr>
        <w:ind w:left="1440" w:hanging="360"/>
      </w:pPr>
    </w:lvl>
    <w:lvl w:ilvl="2" w:tplc="FFFFFFFF">
      <w:start w:val="1"/>
      <w:numFmt w:val="upperLetter"/>
      <w:lvlText w:val="(%3)"/>
      <w:lvlJc w:val="left"/>
      <w:pPr>
        <w:ind w:left="2160" w:hanging="180"/>
      </w:pPr>
    </w:lvl>
    <w:lvl w:ilvl="3" w:tplc="BC965232">
      <w:start w:val="1"/>
      <w:numFmt w:val="lowerRoman"/>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9E3698"/>
    <w:multiLevelType w:val="hybridMultilevel"/>
    <w:tmpl w:val="6A98A752"/>
    <w:lvl w:ilvl="0" w:tplc="149ACDA4">
      <w:start w:val="1"/>
      <w:numFmt w:val="lowerLetter"/>
      <w:lvlText w:val="(%1)"/>
      <w:lvlJc w:val="left"/>
      <w:pPr>
        <w:ind w:left="1080" w:hanging="360"/>
      </w:pPr>
      <w:rPr>
        <w:rFonts w:hint="default"/>
        <w:u w:val="none"/>
      </w:rPr>
    </w:lvl>
    <w:lvl w:ilvl="1" w:tplc="DFD8F0DE">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AF26BF"/>
    <w:multiLevelType w:val="hybridMultilevel"/>
    <w:tmpl w:val="79645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940F6"/>
    <w:multiLevelType w:val="hybridMultilevel"/>
    <w:tmpl w:val="7CC2C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F24C3"/>
    <w:multiLevelType w:val="hybridMultilevel"/>
    <w:tmpl w:val="FCFE36B8"/>
    <w:lvl w:ilvl="0" w:tplc="CA884796">
      <w:start w:val="9"/>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23436"/>
    <w:multiLevelType w:val="hybridMultilevel"/>
    <w:tmpl w:val="5DC25FD8"/>
    <w:lvl w:ilvl="0" w:tplc="39420F0E">
      <w:start w:val="3"/>
      <w:numFmt w:val="decimal"/>
      <w:lvlText w:val="(%1)"/>
      <w:lvlJc w:val="left"/>
      <w:pPr>
        <w:ind w:left="144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46CC8"/>
    <w:multiLevelType w:val="hybridMultilevel"/>
    <w:tmpl w:val="450EB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E5E21"/>
    <w:multiLevelType w:val="hybridMultilevel"/>
    <w:tmpl w:val="B1F48600"/>
    <w:lvl w:ilvl="0" w:tplc="BC965232">
      <w:start w:val="1"/>
      <w:numFmt w:val="lower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4D274A0"/>
    <w:multiLevelType w:val="hybridMultilevel"/>
    <w:tmpl w:val="6E6A6C2E"/>
    <w:lvl w:ilvl="0" w:tplc="699AB008">
      <w:numFmt w:val="decimal"/>
      <w:lvlText w:val=""/>
      <w:lvlJc w:val="left"/>
    </w:lvl>
    <w:lvl w:ilvl="1" w:tplc="DFD8F0DE">
      <w:start w:val="1"/>
      <w:numFmt w:val="decimal"/>
      <w:lvlText w:val="(%2)"/>
      <w:lvlJc w:val="left"/>
      <w:pPr>
        <w:ind w:left="1440" w:hanging="360"/>
      </w:pPr>
    </w:lvl>
    <w:lvl w:ilvl="2" w:tplc="465EF95E">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D4763"/>
    <w:multiLevelType w:val="hybridMultilevel"/>
    <w:tmpl w:val="E4E6FD94"/>
    <w:lvl w:ilvl="0" w:tplc="E31AFDF2">
      <w:start w:val="8"/>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C1F47"/>
    <w:multiLevelType w:val="hybridMultilevel"/>
    <w:tmpl w:val="59A69714"/>
    <w:lvl w:ilvl="0" w:tplc="465EF95E">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C7ADA"/>
    <w:multiLevelType w:val="hybridMultilevel"/>
    <w:tmpl w:val="EB1E7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1"/>
  </w:num>
  <w:num w:numId="4">
    <w:abstractNumId w:val="1"/>
  </w:num>
  <w:num w:numId="5">
    <w:abstractNumId w:val="28"/>
  </w:num>
  <w:num w:numId="6">
    <w:abstractNumId w:val="17"/>
  </w:num>
  <w:num w:numId="7">
    <w:abstractNumId w:val="11"/>
  </w:num>
  <w:num w:numId="8">
    <w:abstractNumId w:val="2"/>
  </w:num>
  <w:num w:numId="9">
    <w:abstractNumId w:val="23"/>
  </w:num>
  <w:num w:numId="10">
    <w:abstractNumId w:val="26"/>
  </w:num>
  <w:num w:numId="11">
    <w:abstractNumId w:val="31"/>
  </w:num>
  <w:num w:numId="12">
    <w:abstractNumId w:val="12"/>
  </w:num>
  <w:num w:numId="13">
    <w:abstractNumId w:val="22"/>
  </w:num>
  <w:num w:numId="14">
    <w:abstractNumId w:val="7"/>
  </w:num>
  <w:num w:numId="15">
    <w:abstractNumId w:val="8"/>
  </w:num>
  <w:num w:numId="16">
    <w:abstractNumId w:val="24"/>
  </w:num>
  <w:num w:numId="17">
    <w:abstractNumId w:val="20"/>
  </w:num>
  <w:num w:numId="18">
    <w:abstractNumId w:val="4"/>
  </w:num>
  <w:num w:numId="19">
    <w:abstractNumId w:val="27"/>
  </w:num>
  <w:num w:numId="20">
    <w:abstractNumId w:val="5"/>
  </w:num>
  <w:num w:numId="21">
    <w:abstractNumId w:val="15"/>
  </w:num>
  <w:num w:numId="22">
    <w:abstractNumId w:val="6"/>
  </w:num>
  <w:num w:numId="23">
    <w:abstractNumId w:val="29"/>
  </w:num>
  <w:num w:numId="24">
    <w:abstractNumId w:val="9"/>
  </w:num>
  <w:num w:numId="25">
    <w:abstractNumId w:val="0"/>
  </w:num>
  <w:num w:numId="26">
    <w:abstractNumId w:val="18"/>
  </w:num>
  <w:num w:numId="27">
    <w:abstractNumId w:val="25"/>
  </w:num>
  <w:num w:numId="28">
    <w:abstractNumId w:val="30"/>
  </w:num>
  <w:num w:numId="29">
    <w:abstractNumId w:val="14"/>
  </w:num>
  <w:num w:numId="30">
    <w:abstractNumId w:val="19"/>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46"/>
    <w:rsid w:val="00027D49"/>
    <w:rsid w:val="00034906"/>
    <w:rsid w:val="00046C46"/>
    <w:rsid w:val="000470B5"/>
    <w:rsid w:val="00047366"/>
    <w:rsid w:val="000541D4"/>
    <w:rsid w:val="00061A66"/>
    <w:rsid w:val="0006560A"/>
    <w:rsid w:val="00067076"/>
    <w:rsid w:val="00072FB6"/>
    <w:rsid w:val="000A250F"/>
    <w:rsid w:val="000A46BE"/>
    <w:rsid w:val="000B1615"/>
    <w:rsid w:val="000B7E64"/>
    <w:rsid w:val="000C0948"/>
    <w:rsid w:val="000C0B1A"/>
    <w:rsid w:val="000C6468"/>
    <w:rsid w:val="000D006A"/>
    <w:rsid w:val="000D0598"/>
    <w:rsid w:val="000D0AA0"/>
    <w:rsid w:val="000D18BA"/>
    <w:rsid w:val="000D529C"/>
    <w:rsid w:val="000E3D45"/>
    <w:rsid w:val="000E3FFB"/>
    <w:rsid w:val="000E4D8E"/>
    <w:rsid w:val="000E64BF"/>
    <w:rsid w:val="000F1924"/>
    <w:rsid w:val="00107439"/>
    <w:rsid w:val="00113EB3"/>
    <w:rsid w:val="0011418A"/>
    <w:rsid w:val="00114DD9"/>
    <w:rsid w:val="00116907"/>
    <w:rsid w:val="001253C7"/>
    <w:rsid w:val="00126DA7"/>
    <w:rsid w:val="001279D6"/>
    <w:rsid w:val="00132E60"/>
    <w:rsid w:val="00140CC3"/>
    <w:rsid w:val="00144AC4"/>
    <w:rsid w:val="001460B0"/>
    <w:rsid w:val="001516D7"/>
    <w:rsid w:val="00151F74"/>
    <w:rsid w:val="001555F5"/>
    <w:rsid w:val="00163C20"/>
    <w:rsid w:val="00173DC7"/>
    <w:rsid w:val="001765C5"/>
    <w:rsid w:val="001875EC"/>
    <w:rsid w:val="001918F1"/>
    <w:rsid w:val="001952A5"/>
    <w:rsid w:val="001A371A"/>
    <w:rsid w:val="001A4191"/>
    <w:rsid w:val="001A49C5"/>
    <w:rsid w:val="001A4D72"/>
    <w:rsid w:val="001A6228"/>
    <w:rsid w:val="001A666C"/>
    <w:rsid w:val="001B5D20"/>
    <w:rsid w:val="001B6850"/>
    <w:rsid w:val="001C14E7"/>
    <w:rsid w:val="001C227C"/>
    <w:rsid w:val="001C4B7A"/>
    <w:rsid w:val="001C4C46"/>
    <w:rsid w:val="001C5A5D"/>
    <w:rsid w:val="001D4BE3"/>
    <w:rsid w:val="001D69D6"/>
    <w:rsid w:val="001E1D10"/>
    <w:rsid w:val="001E44EB"/>
    <w:rsid w:val="001F5B44"/>
    <w:rsid w:val="00203BF9"/>
    <w:rsid w:val="002040B5"/>
    <w:rsid w:val="002114EC"/>
    <w:rsid w:val="00213FE4"/>
    <w:rsid w:val="002152F6"/>
    <w:rsid w:val="002174A6"/>
    <w:rsid w:val="00225E91"/>
    <w:rsid w:val="0022662C"/>
    <w:rsid w:val="00226B43"/>
    <w:rsid w:val="00240B0D"/>
    <w:rsid w:val="00242B62"/>
    <w:rsid w:val="00243B0F"/>
    <w:rsid w:val="00244341"/>
    <w:rsid w:val="00267EA8"/>
    <w:rsid w:val="00281E7B"/>
    <w:rsid w:val="00284883"/>
    <w:rsid w:val="00294C11"/>
    <w:rsid w:val="00296296"/>
    <w:rsid w:val="002A1FCB"/>
    <w:rsid w:val="002A57F7"/>
    <w:rsid w:val="002C4F86"/>
    <w:rsid w:val="002C5A90"/>
    <w:rsid w:val="002C7B5A"/>
    <w:rsid w:val="002D756B"/>
    <w:rsid w:val="002E2F76"/>
    <w:rsid w:val="002E4463"/>
    <w:rsid w:val="002E49A9"/>
    <w:rsid w:val="002F0AC0"/>
    <w:rsid w:val="002F43AF"/>
    <w:rsid w:val="002F750C"/>
    <w:rsid w:val="00307D53"/>
    <w:rsid w:val="00311AA4"/>
    <w:rsid w:val="0031721D"/>
    <w:rsid w:val="0032018B"/>
    <w:rsid w:val="003222A6"/>
    <w:rsid w:val="003279E9"/>
    <w:rsid w:val="00330929"/>
    <w:rsid w:val="003322CD"/>
    <w:rsid w:val="00333188"/>
    <w:rsid w:val="003332D1"/>
    <w:rsid w:val="0034355A"/>
    <w:rsid w:val="00352E52"/>
    <w:rsid w:val="003772FD"/>
    <w:rsid w:val="00382B92"/>
    <w:rsid w:val="00386ABE"/>
    <w:rsid w:val="0039088D"/>
    <w:rsid w:val="003A186B"/>
    <w:rsid w:val="003A3A8C"/>
    <w:rsid w:val="003A5C58"/>
    <w:rsid w:val="003B26A9"/>
    <w:rsid w:val="003B3AC6"/>
    <w:rsid w:val="003B776B"/>
    <w:rsid w:val="003C516E"/>
    <w:rsid w:val="003D0743"/>
    <w:rsid w:val="003D0E9C"/>
    <w:rsid w:val="003D4730"/>
    <w:rsid w:val="003D4E7D"/>
    <w:rsid w:val="003D5964"/>
    <w:rsid w:val="003D6470"/>
    <w:rsid w:val="003D793F"/>
    <w:rsid w:val="003E261E"/>
    <w:rsid w:val="003E423B"/>
    <w:rsid w:val="003E4F58"/>
    <w:rsid w:val="003E6FD7"/>
    <w:rsid w:val="003F23C6"/>
    <w:rsid w:val="004070DB"/>
    <w:rsid w:val="00415A88"/>
    <w:rsid w:val="0042151B"/>
    <w:rsid w:val="00422E07"/>
    <w:rsid w:val="00436101"/>
    <w:rsid w:val="00443948"/>
    <w:rsid w:val="004465BB"/>
    <w:rsid w:val="004512AC"/>
    <w:rsid w:val="00452B90"/>
    <w:rsid w:val="0045379F"/>
    <w:rsid w:val="00453FD0"/>
    <w:rsid w:val="0045682A"/>
    <w:rsid w:val="00460079"/>
    <w:rsid w:val="0046186E"/>
    <w:rsid w:val="00461AFE"/>
    <w:rsid w:val="004676FA"/>
    <w:rsid w:val="0046788E"/>
    <w:rsid w:val="00476005"/>
    <w:rsid w:val="0048030D"/>
    <w:rsid w:val="00485239"/>
    <w:rsid w:val="0048691B"/>
    <w:rsid w:val="00492DAE"/>
    <w:rsid w:val="00497FA2"/>
    <w:rsid w:val="004A21ED"/>
    <w:rsid w:val="004A78F5"/>
    <w:rsid w:val="004B0B68"/>
    <w:rsid w:val="004B0D75"/>
    <w:rsid w:val="004B69A8"/>
    <w:rsid w:val="004B6DBF"/>
    <w:rsid w:val="004C7ED8"/>
    <w:rsid w:val="004E0391"/>
    <w:rsid w:val="004E40FB"/>
    <w:rsid w:val="00502A57"/>
    <w:rsid w:val="0050324E"/>
    <w:rsid w:val="00505C81"/>
    <w:rsid w:val="0052332C"/>
    <w:rsid w:val="00523B95"/>
    <w:rsid w:val="00524889"/>
    <w:rsid w:val="005303C1"/>
    <w:rsid w:val="00530DBF"/>
    <w:rsid w:val="00531E61"/>
    <w:rsid w:val="005335AE"/>
    <w:rsid w:val="005342B4"/>
    <w:rsid w:val="00536F34"/>
    <w:rsid w:val="005426D4"/>
    <w:rsid w:val="005454F8"/>
    <w:rsid w:val="00552DA1"/>
    <w:rsid w:val="0055376A"/>
    <w:rsid w:val="0055594D"/>
    <w:rsid w:val="00555FEE"/>
    <w:rsid w:val="00561EF7"/>
    <w:rsid w:val="00575393"/>
    <w:rsid w:val="00577B92"/>
    <w:rsid w:val="00580715"/>
    <w:rsid w:val="0058126E"/>
    <w:rsid w:val="005818FD"/>
    <w:rsid w:val="00581F2F"/>
    <w:rsid w:val="0058331F"/>
    <w:rsid w:val="00584142"/>
    <w:rsid w:val="00586AD2"/>
    <w:rsid w:val="00587507"/>
    <w:rsid w:val="00590B8A"/>
    <w:rsid w:val="00595624"/>
    <w:rsid w:val="00595A68"/>
    <w:rsid w:val="005978E6"/>
    <w:rsid w:val="005A08AB"/>
    <w:rsid w:val="005A49FC"/>
    <w:rsid w:val="005A7902"/>
    <w:rsid w:val="005B0B7C"/>
    <w:rsid w:val="005B1BB2"/>
    <w:rsid w:val="005B31B4"/>
    <w:rsid w:val="005B3E62"/>
    <w:rsid w:val="005C075F"/>
    <w:rsid w:val="005D0221"/>
    <w:rsid w:val="005D0B40"/>
    <w:rsid w:val="005D3BB9"/>
    <w:rsid w:val="005D5C11"/>
    <w:rsid w:val="005E2D62"/>
    <w:rsid w:val="005E490E"/>
    <w:rsid w:val="005E7294"/>
    <w:rsid w:val="005E7992"/>
    <w:rsid w:val="005F7A80"/>
    <w:rsid w:val="00601E3D"/>
    <w:rsid w:val="0060552F"/>
    <w:rsid w:val="00607EDE"/>
    <w:rsid w:val="006141FF"/>
    <w:rsid w:val="006154D4"/>
    <w:rsid w:val="00624B4C"/>
    <w:rsid w:val="00630852"/>
    <w:rsid w:val="00634E60"/>
    <w:rsid w:val="00652430"/>
    <w:rsid w:val="00654EF0"/>
    <w:rsid w:val="00656E6B"/>
    <w:rsid w:val="00662559"/>
    <w:rsid w:val="00662F8E"/>
    <w:rsid w:val="00666970"/>
    <w:rsid w:val="00674E65"/>
    <w:rsid w:val="00680691"/>
    <w:rsid w:val="00683345"/>
    <w:rsid w:val="00684B58"/>
    <w:rsid w:val="006A56EF"/>
    <w:rsid w:val="006B6B0B"/>
    <w:rsid w:val="006C175A"/>
    <w:rsid w:val="006C28C9"/>
    <w:rsid w:val="006C3A47"/>
    <w:rsid w:val="006C4297"/>
    <w:rsid w:val="006C556C"/>
    <w:rsid w:val="006C5B41"/>
    <w:rsid w:val="006C72D3"/>
    <w:rsid w:val="006D0B47"/>
    <w:rsid w:val="006D1322"/>
    <w:rsid w:val="006D2AE6"/>
    <w:rsid w:val="006D3983"/>
    <w:rsid w:val="006D5A99"/>
    <w:rsid w:val="006D6383"/>
    <w:rsid w:val="006D7229"/>
    <w:rsid w:val="006E40FF"/>
    <w:rsid w:val="006F109C"/>
    <w:rsid w:val="00700569"/>
    <w:rsid w:val="007024E1"/>
    <w:rsid w:val="00702556"/>
    <w:rsid w:val="00704ACE"/>
    <w:rsid w:val="00706573"/>
    <w:rsid w:val="00726C20"/>
    <w:rsid w:val="00727E97"/>
    <w:rsid w:val="0073087C"/>
    <w:rsid w:val="00731811"/>
    <w:rsid w:val="00751AA5"/>
    <w:rsid w:val="0075638D"/>
    <w:rsid w:val="007601EA"/>
    <w:rsid w:val="00762903"/>
    <w:rsid w:val="007633B1"/>
    <w:rsid w:val="00766964"/>
    <w:rsid w:val="007822A4"/>
    <w:rsid w:val="007851D7"/>
    <w:rsid w:val="007903AE"/>
    <w:rsid w:val="00792178"/>
    <w:rsid w:val="00792B92"/>
    <w:rsid w:val="0079543B"/>
    <w:rsid w:val="007960F5"/>
    <w:rsid w:val="007A741F"/>
    <w:rsid w:val="007B26E3"/>
    <w:rsid w:val="007B357D"/>
    <w:rsid w:val="007D0349"/>
    <w:rsid w:val="007E25FA"/>
    <w:rsid w:val="007E56EE"/>
    <w:rsid w:val="007F44E1"/>
    <w:rsid w:val="007F735C"/>
    <w:rsid w:val="00803980"/>
    <w:rsid w:val="008070E5"/>
    <w:rsid w:val="00810F37"/>
    <w:rsid w:val="00814A7D"/>
    <w:rsid w:val="008245D1"/>
    <w:rsid w:val="00830ECC"/>
    <w:rsid w:val="00843D73"/>
    <w:rsid w:val="00854451"/>
    <w:rsid w:val="00855095"/>
    <w:rsid w:val="008566AF"/>
    <w:rsid w:val="00872CAE"/>
    <w:rsid w:val="00875A04"/>
    <w:rsid w:val="0087670E"/>
    <w:rsid w:val="0088086C"/>
    <w:rsid w:val="00880FA4"/>
    <w:rsid w:val="00886C61"/>
    <w:rsid w:val="008877F3"/>
    <w:rsid w:val="00894643"/>
    <w:rsid w:val="00897D2B"/>
    <w:rsid w:val="008A21FD"/>
    <w:rsid w:val="008B7546"/>
    <w:rsid w:val="008C5B78"/>
    <w:rsid w:val="008C6808"/>
    <w:rsid w:val="008D112E"/>
    <w:rsid w:val="008D49E2"/>
    <w:rsid w:val="008E2C7A"/>
    <w:rsid w:val="008F15ED"/>
    <w:rsid w:val="008F4952"/>
    <w:rsid w:val="008F602C"/>
    <w:rsid w:val="008F7D2C"/>
    <w:rsid w:val="009010BC"/>
    <w:rsid w:val="00901AEB"/>
    <w:rsid w:val="00902594"/>
    <w:rsid w:val="009063D3"/>
    <w:rsid w:val="00912839"/>
    <w:rsid w:val="00920D16"/>
    <w:rsid w:val="00921B24"/>
    <w:rsid w:val="00923F22"/>
    <w:rsid w:val="0093796B"/>
    <w:rsid w:val="009463E2"/>
    <w:rsid w:val="0095327F"/>
    <w:rsid w:val="0095439D"/>
    <w:rsid w:val="0095621B"/>
    <w:rsid w:val="009622D0"/>
    <w:rsid w:val="009725DA"/>
    <w:rsid w:val="00974130"/>
    <w:rsid w:val="009927A8"/>
    <w:rsid w:val="00994270"/>
    <w:rsid w:val="00995FA2"/>
    <w:rsid w:val="00996CA9"/>
    <w:rsid w:val="009A1E5E"/>
    <w:rsid w:val="009A4303"/>
    <w:rsid w:val="009A62BF"/>
    <w:rsid w:val="009A6F20"/>
    <w:rsid w:val="009B5999"/>
    <w:rsid w:val="009C5528"/>
    <w:rsid w:val="009C6279"/>
    <w:rsid w:val="009E0E45"/>
    <w:rsid w:val="009E4566"/>
    <w:rsid w:val="009F03A5"/>
    <w:rsid w:val="009F08DF"/>
    <w:rsid w:val="009F3961"/>
    <w:rsid w:val="009F7055"/>
    <w:rsid w:val="00A01140"/>
    <w:rsid w:val="00A03DD6"/>
    <w:rsid w:val="00A15454"/>
    <w:rsid w:val="00A157F6"/>
    <w:rsid w:val="00A16E58"/>
    <w:rsid w:val="00A260A9"/>
    <w:rsid w:val="00A267AA"/>
    <w:rsid w:val="00A27E43"/>
    <w:rsid w:val="00A360FD"/>
    <w:rsid w:val="00A36F03"/>
    <w:rsid w:val="00A44108"/>
    <w:rsid w:val="00A61351"/>
    <w:rsid w:val="00A73861"/>
    <w:rsid w:val="00A7721F"/>
    <w:rsid w:val="00A82E3B"/>
    <w:rsid w:val="00A82EDA"/>
    <w:rsid w:val="00A87133"/>
    <w:rsid w:val="00A93847"/>
    <w:rsid w:val="00A957E5"/>
    <w:rsid w:val="00AA5438"/>
    <w:rsid w:val="00AA68C6"/>
    <w:rsid w:val="00AB5447"/>
    <w:rsid w:val="00AC3C14"/>
    <w:rsid w:val="00AC4196"/>
    <w:rsid w:val="00AC48B0"/>
    <w:rsid w:val="00AC5CCE"/>
    <w:rsid w:val="00AD5D21"/>
    <w:rsid w:val="00AE2FEF"/>
    <w:rsid w:val="00AE5F34"/>
    <w:rsid w:val="00AF1446"/>
    <w:rsid w:val="00AF7DE9"/>
    <w:rsid w:val="00B0163A"/>
    <w:rsid w:val="00B0351A"/>
    <w:rsid w:val="00B04E05"/>
    <w:rsid w:val="00B12004"/>
    <w:rsid w:val="00B1566D"/>
    <w:rsid w:val="00B15763"/>
    <w:rsid w:val="00B2247F"/>
    <w:rsid w:val="00B256BD"/>
    <w:rsid w:val="00B25A21"/>
    <w:rsid w:val="00B271DE"/>
    <w:rsid w:val="00B46245"/>
    <w:rsid w:val="00B47E44"/>
    <w:rsid w:val="00B55797"/>
    <w:rsid w:val="00B72D17"/>
    <w:rsid w:val="00B74475"/>
    <w:rsid w:val="00B77185"/>
    <w:rsid w:val="00B8182C"/>
    <w:rsid w:val="00B82446"/>
    <w:rsid w:val="00B83829"/>
    <w:rsid w:val="00B844B7"/>
    <w:rsid w:val="00B869B4"/>
    <w:rsid w:val="00B9205D"/>
    <w:rsid w:val="00B93DC6"/>
    <w:rsid w:val="00B945A3"/>
    <w:rsid w:val="00B94BF7"/>
    <w:rsid w:val="00BA0869"/>
    <w:rsid w:val="00BA515B"/>
    <w:rsid w:val="00BB0F16"/>
    <w:rsid w:val="00BB184B"/>
    <w:rsid w:val="00BB44D2"/>
    <w:rsid w:val="00BB646D"/>
    <w:rsid w:val="00BC5BD2"/>
    <w:rsid w:val="00BC72CF"/>
    <w:rsid w:val="00BD1F97"/>
    <w:rsid w:val="00BD4DF2"/>
    <w:rsid w:val="00BD506B"/>
    <w:rsid w:val="00BD70E8"/>
    <w:rsid w:val="00BE1379"/>
    <w:rsid w:val="00BE5EEB"/>
    <w:rsid w:val="00BE6AA7"/>
    <w:rsid w:val="00BF0081"/>
    <w:rsid w:val="00BF0A06"/>
    <w:rsid w:val="00BF2FC9"/>
    <w:rsid w:val="00C11C4B"/>
    <w:rsid w:val="00C36738"/>
    <w:rsid w:val="00C4363E"/>
    <w:rsid w:val="00C5165B"/>
    <w:rsid w:val="00C56455"/>
    <w:rsid w:val="00C5691A"/>
    <w:rsid w:val="00C57A55"/>
    <w:rsid w:val="00C605D7"/>
    <w:rsid w:val="00C72D17"/>
    <w:rsid w:val="00C76C9B"/>
    <w:rsid w:val="00C811D6"/>
    <w:rsid w:val="00C8319F"/>
    <w:rsid w:val="00C85154"/>
    <w:rsid w:val="00C864F2"/>
    <w:rsid w:val="00C87F10"/>
    <w:rsid w:val="00C9169B"/>
    <w:rsid w:val="00C92AA5"/>
    <w:rsid w:val="00C92DD3"/>
    <w:rsid w:val="00C9435D"/>
    <w:rsid w:val="00C948B8"/>
    <w:rsid w:val="00C97492"/>
    <w:rsid w:val="00CA397A"/>
    <w:rsid w:val="00CA4476"/>
    <w:rsid w:val="00CA55DD"/>
    <w:rsid w:val="00CA65BA"/>
    <w:rsid w:val="00CC665E"/>
    <w:rsid w:val="00CE1254"/>
    <w:rsid w:val="00CF34C9"/>
    <w:rsid w:val="00CF50C6"/>
    <w:rsid w:val="00D00A3A"/>
    <w:rsid w:val="00D014B9"/>
    <w:rsid w:val="00D016E7"/>
    <w:rsid w:val="00D069EE"/>
    <w:rsid w:val="00D16116"/>
    <w:rsid w:val="00D16CDB"/>
    <w:rsid w:val="00D233D6"/>
    <w:rsid w:val="00D244EB"/>
    <w:rsid w:val="00D27CEF"/>
    <w:rsid w:val="00D30ED9"/>
    <w:rsid w:val="00D33855"/>
    <w:rsid w:val="00D373DF"/>
    <w:rsid w:val="00D41F3B"/>
    <w:rsid w:val="00D42033"/>
    <w:rsid w:val="00D43F6E"/>
    <w:rsid w:val="00D52AE1"/>
    <w:rsid w:val="00D548DF"/>
    <w:rsid w:val="00D57C50"/>
    <w:rsid w:val="00D661E9"/>
    <w:rsid w:val="00D66971"/>
    <w:rsid w:val="00D712D7"/>
    <w:rsid w:val="00D714B8"/>
    <w:rsid w:val="00D74CC8"/>
    <w:rsid w:val="00D75495"/>
    <w:rsid w:val="00D777DF"/>
    <w:rsid w:val="00D825EA"/>
    <w:rsid w:val="00D825ED"/>
    <w:rsid w:val="00D8346C"/>
    <w:rsid w:val="00D836CA"/>
    <w:rsid w:val="00D8657D"/>
    <w:rsid w:val="00D90EF5"/>
    <w:rsid w:val="00D91202"/>
    <w:rsid w:val="00D976C3"/>
    <w:rsid w:val="00DA5B87"/>
    <w:rsid w:val="00DB4028"/>
    <w:rsid w:val="00DC1CBE"/>
    <w:rsid w:val="00DC275D"/>
    <w:rsid w:val="00DC3469"/>
    <w:rsid w:val="00DD12BF"/>
    <w:rsid w:val="00DD1657"/>
    <w:rsid w:val="00DE2558"/>
    <w:rsid w:val="00DE2623"/>
    <w:rsid w:val="00DE4437"/>
    <w:rsid w:val="00DF0A49"/>
    <w:rsid w:val="00DF4050"/>
    <w:rsid w:val="00DF5762"/>
    <w:rsid w:val="00E0100E"/>
    <w:rsid w:val="00E03248"/>
    <w:rsid w:val="00E039B0"/>
    <w:rsid w:val="00E102C4"/>
    <w:rsid w:val="00E11DEE"/>
    <w:rsid w:val="00E14B1C"/>
    <w:rsid w:val="00E17B69"/>
    <w:rsid w:val="00E17B6D"/>
    <w:rsid w:val="00E21723"/>
    <w:rsid w:val="00E21A70"/>
    <w:rsid w:val="00E21B1E"/>
    <w:rsid w:val="00E301B4"/>
    <w:rsid w:val="00E3052E"/>
    <w:rsid w:val="00E47D33"/>
    <w:rsid w:val="00E5083B"/>
    <w:rsid w:val="00E51397"/>
    <w:rsid w:val="00E5390C"/>
    <w:rsid w:val="00E54C81"/>
    <w:rsid w:val="00E57351"/>
    <w:rsid w:val="00E674F5"/>
    <w:rsid w:val="00E705E0"/>
    <w:rsid w:val="00E8164B"/>
    <w:rsid w:val="00E8287B"/>
    <w:rsid w:val="00E93082"/>
    <w:rsid w:val="00E942D3"/>
    <w:rsid w:val="00EA4E02"/>
    <w:rsid w:val="00EA7401"/>
    <w:rsid w:val="00EB193D"/>
    <w:rsid w:val="00EB3AC7"/>
    <w:rsid w:val="00EB562A"/>
    <w:rsid w:val="00EB6EE5"/>
    <w:rsid w:val="00EC5230"/>
    <w:rsid w:val="00EC6513"/>
    <w:rsid w:val="00EC6FE4"/>
    <w:rsid w:val="00ED108D"/>
    <w:rsid w:val="00ED1BFF"/>
    <w:rsid w:val="00ED5D65"/>
    <w:rsid w:val="00EE435B"/>
    <w:rsid w:val="00EF12F0"/>
    <w:rsid w:val="00F125FF"/>
    <w:rsid w:val="00F155A8"/>
    <w:rsid w:val="00F30BE0"/>
    <w:rsid w:val="00F3627A"/>
    <w:rsid w:val="00F40502"/>
    <w:rsid w:val="00F40753"/>
    <w:rsid w:val="00F46E7C"/>
    <w:rsid w:val="00F55F97"/>
    <w:rsid w:val="00F84B65"/>
    <w:rsid w:val="00F974DF"/>
    <w:rsid w:val="00FA0E4C"/>
    <w:rsid w:val="00FA39ED"/>
    <w:rsid w:val="00FA50F0"/>
    <w:rsid w:val="00FC077A"/>
    <w:rsid w:val="00FC4EA0"/>
    <w:rsid w:val="00FC5F76"/>
    <w:rsid w:val="00FD0915"/>
    <w:rsid w:val="00FD23E8"/>
    <w:rsid w:val="00FE1976"/>
    <w:rsid w:val="00FF3BEA"/>
    <w:rsid w:val="00FF76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C6EFCB"/>
  <w15:docId w15:val="{0C5CDDF8-A6CF-E142-9E1E-C2037201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46"/>
    <w:pPr>
      <w:tabs>
        <w:tab w:val="center" w:pos="4320"/>
        <w:tab w:val="right" w:pos="8640"/>
      </w:tabs>
    </w:pPr>
  </w:style>
  <w:style w:type="character" w:customStyle="1" w:styleId="HeaderChar">
    <w:name w:val="Header Char"/>
    <w:basedOn w:val="DefaultParagraphFont"/>
    <w:link w:val="Header"/>
    <w:uiPriority w:val="99"/>
    <w:rsid w:val="00AF1446"/>
  </w:style>
  <w:style w:type="paragraph" w:styleId="Footer">
    <w:name w:val="footer"/>
    <w:basedOn w:val="Normal"/>
    <w:link w:val="FooterChar"/>
    <w:uiPriority w:val="99"/>
    <w:unhideWhenUsed/>
    <w:rsid w:val="00AF1446"/>
    <w:pPr>
      <w:tabs>
        <w:tab w:val="center" w:pos="4320"/>
        <w:tab w:val="right" w:pos="8640"/>
      </w:tabs>
    </w:pPr>
  </w:style>
  <w:style w:type="character" w:customStyle="1" w:styleId="FooterChar">
    <w:name w:val="Footer Char"/>
    <w:basedOn w:val="DefaultParagraphFont"/>
    <w:link w:val="Footer"/>
    <w:uiPriority w:val="99"/>
    <w:rsid w:val="00AF1446"/>
  </w:style>
  <w:style w:type="paragraph" w:styleId="ListParagraph">
    <w:name w:val="List Paragraph"/>
    <w:basedOn w:val="Normal"/>
    <w:link w:val="ListParagraphChar"/>
    <w:uiPriority w:val="34"/>
    <w:qFormat/>
    <w:rsid w:val="00DF5762"/>
    <w:pPr>
      <w:ind w:left="720"/>
      <w:contextualSpacing/>
    </w:pPr>
  </w:style>
  <w:style w:type="paragraph" w:styleId="FootnoteText">
    <w:name w:val="footnote text"/>
    <w:basedOn w:val="Normal"/>
    <w:link w:val="FootnoteTextChar"/>
    <w:uiPriority w:val="99"/>
    <w:unhideWhenUsed/>
    <w:rsid w:val="006B6B0B"/>
  </w:style>
  <w:style w:type="character" w:customStyle="1" w:styleId="FootnoteTextChar">
    <w:name w:val="Footnote Text Char"/>
    <w:basedOn w:val="DefaultParagraphFont"/>
    <w:link w:val="FootnoteText"/>
    <w:uiPriority w:val="99"/>
    <w:rsid w:val="006B6B0B"/>
  </w:style>
  <w:style w:type="character" w:styleId="FootnoteReference">
    <w:name w:val="footnote reference"/>
    <w:basedOn w:val="DefaultParagraphFont"/>
    <w:uiPriority w:val="99"/>
    <w:unhideWhenUsed/>
    <w:rsid w:val="006B6B0B"/>
    <w:rPr>
      <w:vertAlign w:val="superscript"/>
    </w:rPr>
  </w:style>
  <w:style w:type="table" w:styleId="TableGrid">
    <w:name w:val="Table Grid"/>
    <w:basedOn w:val="TableNormal"/>
    <w:uiPriority w:val="59"/>
    <w:rsid w:val="009A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DF"/>
    <w:rPr>
      <w:rFonts w:ascii="Segoe UI" w:hAnsi="Segoe UI" w:cs="Segoe UI"/>
      <w:sz w:val="18"/>
      <w:szCs w:val="18"/>
    </w:rPr>
  </w:style>
  <w:style w:type="character" w:styleId="CommentReference">
    <w:name w:val="annotation reference"/>
    <w:basedOn w:val="DefaultParagraphFont"/>
    <w:uiPriority w:val="99"/>
    <w:semiHidden/>
    <w:unhideWhenUsed/>
    <w:rsid w:val="00BF0A06"/>
    <w:rPr>
      <w:sz w:val="16"/>
      <w:szCs w:val="16"/>
    </w:rPr>
  </w:style>
  <w:style w:type="paragraph" w:styleId="CommentText">
    <w:name w:val="annotation text"/>
    <w:basedOn w:val="Normal"/>
    <w:link w:val="CommentTextChar"/>
    <w:uiPriority w:val="99"/>
    <w:unhideWhenUsed/>
    <w:rsid w:val="00BF0A06"/>
    <w:rPr>
      <w:sz w:val="20"/>
      <w:szCs w:val="20"/>
    </w:rPr>
  </w:style>
  <w:style w:type="character" w:customStyle="1" w:styleId="CommentTextChar">
    <w:name w:val="Comment Text Char"/>
    <w:basedOn w:val="DefaultParagraphFont"/>
    <w:link w:val="CommentText"/>
    <w:uiPriority w:val="99"/>
    <w:rsid w:val="00BF0A06"/>
    <w:rPr>
      <w:sz w:val="20"/>
      <w:szCs w:val="20"/>
    </w:rPr>
  </w:style>
  <w:style w:type="paragraph" w:styleId="CommentSubject">
    <w:name w:val="annotation subject"/>
    <w:basedOn w:val="CommentText"/>
    <w:next w:val="CommentText"/>
    <w:link w:val="CommentSubjectChar"/>
    <w:uiPriority w:val="99"/>
    <w:semiHidden/>
    <w:unhideWhenUsed/>
    <w:rsid w:val="00BF0A06"/>
    <w:rPr>
      <w:b/>
      <w:bCs/>
    </w:rPr>
  </w:style>
  <w:style w:type="character" w:customStyle="1" w:styleId="CommentSubjectChar">
    <w:name w:val="Comment Subject Char"/>
    <w:basedOn w:val="CommentTextChar"/>
    <w:link w:val="CommentSubject"/>
    <w:uiPriority w:val="99"/>
    <w:semiHidden/>
    <w:rsid w:val="00BF0A06"/>
    <w:rPr>
      <w:b/>
      <w:bCs/>
      <w:sz w:val="20"/>
      <w:szCs w:val="20"/>
    </w:rPr>
  </w:style>
  <w:style w:type="character" w:styleId="Hyperlink">
    <w:name w:val="Hyperlink"/>
    <w:basedOn w:val="DefaultParagraphFont"/>
    <w:uiPriority w:val="99"/>
    <w:unhideWhenUsed/>
    <w:rsid w:val="00294C11"/>
    <w:rPr>
      <w:color w:val="0000FF" w:themeColor="hyperlink"/>
      <w:u w:val="single"/>
    </w:rPr>
  </w:style>
  <w:style w:type="character" w:customStyle="1" w:styleId="UnresolvedMention1">
    <w:name w:val="Unresolved Mention1"/>
    <w:basedOn w:val="DefaultParagraphFont"/>
    <w:uiPriority w:val="99"/>
    <w:semiHidden/>
    <w:unhideWhenUsed/>
    <w:rsid w:val="00294C11"/>
    <w:rPr>
      <w:color w:val="605E5C"/>
      <w:shd w:val="clear" w:color="auto" w:fill="E1DFDD"/>
    </w:rPr>
  </w:style>
  <w:style w:type="character" w:customStyle="1" w:styleId="ListParagraphChar">
    <w:name w:val="List Paragraph Char"/>
    <w:basedOn w:val="DefaultParagraphFont"/>
    <w:link w:val="ListParagraph"/>
    <w:uiPriority w:val="34"/>
    <w:rsid w:val="0088086C"/>
  </w:style>
  <w:style w:type="paragraph" w:styleId="Revision">
    <w:name w:val="Revision"/>
    <w:hidden/>
    <w:uiPriority w:val="99"/>
    <w:semiHidden/>
    <w:rsid w:val="00B82446"/>
  </w:style>
  <w:style w:type="character" w:styleId="FollowedHyperlink">
    <w:name w:val="FollowedHyperlink"/>
    <w:basedOn w:val="DefaultParagraphFont"/>
    <w:uiPriority w:val="99"/>
    <w:semiHidden/>
    <w:unhideWhenUsed/>
    <w:rsid w:val="001A666C"/>
    <w:rPr>
      <w:color w:val="800080" w:themeColor="followedHyperlink"/>
      <w:u w:val="single"/>
    </w:rPr>
  </w:style>
  <w:style w:type="character" w:styleId="UnresolvedMention">
    <w:name w:val="Unresolved Mention"/>
    <w:basedOn w:val="DefaultParagraphFont"/>
    <w:uiPriority w:val="99"/>
    <w:semiHidden/>
    <w:unhideWhenUsed/>
    <w:rsid w:val="00DC2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5519">
      <w:bodyDiv w:val="1"/>
      <w:marLeft w:val="0"/>
      <w:marRight w:val="0"/>
      <w:marTop w:val="0"/>
      <w:marBottom w:val="0"/>
      <w:divBdr>
        <w:top w:val="none" w:sz="0" w:space="0" w:color="auto"/>
        <w:left w:val="none" w:sz="0" w:space="0" w:color="auto"/>
        <w:bottom w:val="none" w:sz="0" w:space="0" w:color="auto"/>
        <w:right w:val="none" w:sz="0" w:space="0" w:color="auto"/>
      </w:divBdr>
    </w:div>
    <w:div w:id="1938979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e@competitivepowe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terchange.puc.texas.gov/Documents/51871_36_11319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767E-8A26-4137-A124-CCEF8956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1963</Words>
  <Characters>11195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Shellman</dc:creator>
  <cp:keywords/>
  <dc:description/>
  <cp:lastModifiedBy>Michele Richmond</cp:lastModifiedBy>
  <cp:revision>2</cp:revision>
  <dcterms:created xsi:type="dcterms:W3CDTF">2022-03-18T14:47:00Z</dcterms:created>
  <dcterms:modified xsi:type="dcterms:W3CDTF">2022-03-18T14:47:00Z</dcterms:modified>
</cp:coreProperties>
</file>