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3B5C3" w14:textId="46508E54" w:rsidR="00916A22" w:rsidRPr="00F75B6B" w:rsidRDefault="00916A22" w:rsidP="00916A22">
      <w:pPr>
        <w:suppressLineNumbers/>
        <w:jc w:val="center"/>
        <w:rPr>
          <w:b/>
          <w:bCs/>
        </w:rPr>
      </w:pPr>
      <w:r w:rsidRPr="00F75B6B">
        <w:rPr>
          <w:b/>
          <w:bCs/>
        </w:rPr>
        <w:t>PROJECT NO. 5</w:t>
      </w:r>
      <w:r w:rsidR="00327E54">
        <w:rPr>
          <w:b/>
          <w:bCs/>
        </w:rPr>
        <w:t>3298</w:t>
      </w:r>
    </w:p>
    <w:tbl>
      <w:tblPr>
        <w:tblW w:w="0" w:type="auto"/>
        <w:tblLayout w:type="fixed"/>
        <w:tblLook w:val="0000" w:firstRow="0" w:lastRow="0" w:firstColumn="0" w:lastColumn="0" w:noHBand="0" w:noVBand="0"/>
      </w:tblPr>
      <w:tblGrid>
        <w:gridCol w:w="4518"/>
        <w:gridCol w:w="630"/>
        <w:gridCol w:w="4320"/>
      </w:tblGrid>
      <w:tr w:rsidR="00916A22" w:rsidRPr="00F75B6B" w14:paraId="3DF84726" w14:textId="77777777" w:rsidTr="009E6FCC">
        <w:trPr>
          <w:trHeight w:val="1422"/>
        </w:trPr>
        <w:tc>
          <w:tcPr>
            <w:tcW w:w="4518" w:type="dxa"/>
            <w:shd w:val="clear" w:color="auto" w:fill="auto"/>
          </w:tcPr>
          <w:p w14:paraId="0410CD9D" w14:textId="77777777" w:rsidR="00916A22" w:rsidRPr="00B47220" w:rsidRDefault="00916A22" w:rsidP="009E6FCC">
            <w:pPr>
              <w:pStyle w:val="preamble"/>
              <w:suppressLineNumbers/>
              <w:spacing w:line="240" w:lineRule="auto"/>
              <w:rPr>
                <w:b/>
                <w:sz w:val="16"/>
                <w:szCs w:val="16"/>
              </w:rPr>
            </w:pPr>
          </w:p>
          <w:p w14:paraId="13ACC4BF" w14:textId="24F9E099" w:rsidR="00916A22" w:rsidRPr="00F75B6B" w:rsidRDefault="00916A22" w:rsidP="009E6FCC">
            <w:pPr>
              <w:pStyle w:val="preamble"/>
              <w:suppressLineNumbers/>
              <w:spacing w:line="240" w:lineRule="auto"/>
              <w:rPr>
                <w:b/>
                <w:szCs w:val="22"/>
              </w:rPr>
            </w:pPr>
            <w:r w:rsidRPr="00F75B6B">
              <w:rPr>
                <w:b/>
                <w:szCs w:val="22"/>
              </w:rPr>
              <w:t>WHOLESALE ELECTRIC MARKET DESIGN</w:t>
            </w:r>
            <w:r w:rsidR="00327E54">
              <w:rPr>
                <w:b/>
                <w:szCs w:val="22"/>
              </w:rPr>
              <w:t xml:space="preserve"> IMPLEMENTATION</w:t>
            </w:r>
          </w:p>
          <w:p w14:paraId="66049C84" w14:textId="77777777" w:rsidR="00916A22" w:rsidRPr="00F75B6B" w:rsidRDefault="00916A22" w:rsidP="009E6FCC">
            <w:pPr>
              <w:pStyle w:val="preamble"/>
              <w:suppressLineNumbers/>
              <w:spacing w:line="240" w:lineRule="auto"/>
              <w:rPr>
                <w:b/>
                <w:sz w:val="22"/>
              </w:rPr>
            </w:pPr>
          </w:p>
        </w:tc>
        <w:tc>
          <w:tcPr>
            <w:tcW w:w="630" w:type="dxa"/>
            <w:shd w:val="clear" w:color="auto" w:fill="auto"/>
          </w:tcPr>
          <w:p w14:paraId="59F55895" w14:textId="77777777" w:rsidR="00916A22" w:rsidRPr="00F75B6B" w:rsidRDefault="00916A22" w:rsidP="009E6FCC">
            <w:pPr>
              <w:pStyle w:val="preamble"/>
              <w:suppressLineNumbers/>
              <w:spacing w:line="240" w:lineRule="auto"/>
              <w:jc w:val="center"/>
              <w:rPr>
                <w:b/>
                <w:color w:val="FFFFFF"/>
                <w:szCs w:val="22"/>
              </w:rPr>
            </w:pPr>
            <w:r w:rsidRPr="00F75B6B">
              <w:rPr>
                <w:b/>
                <w:color w:val="FFFFFF"/>
                <w:szCs w:val="22"/>
              </w:rPr>
              <w:t>§</w:t>
            </w:r>
          </w:p>
          <w:p w14:paraId="345423CC" w14:textId="77777777" w:rsidR="00916A22" w:rsidRPr="00F75B6B" w:rsidRDefault="00916A22" w:rsidP="009E6FCC">
            <w:pPr>
              <w:pStyle w:val="preamble"/>
              <w:suppressLineNumbers/>
              <w:spacing w:line="240" w:lineRule="auto"/>
              <w:jc w:val="center"/>
              <w:rPr>
                <w:b/>
                <w:szCs w:val="22"/>
              </w:rPr>
            </w:pPr>
            <w:r w:rsidRPr="00F75B6B">
              <w:rPr>
                <w:b/>
                <w:szCs w:val="22"/>
              </w:rPr>
              <w:t>§</w:t>
            </w:r>
          </w:p>
          <w:p w14:paraId="1AEE1085" w14:textId="77777777" w:rsidR="00916A22" w:rsidRPr="00F75B6B" w:rsidRDefault="00916A22" w:rsidP="009E6FCC">
            <w:pPr>
              <w:pStyle w:val="preamble"/>
              <w:suppressLineNumbers/>
              <w:spacing w:line="240" w:lineRule="auto"/>
              <w:jc w:val="center"/>
              <w:rPr>
                <w:b/>
                <w:szCs w:val="22"/>
              </w:rPr>
            </w:pPr>
            <w:r w:rsidRPr="00F75B6B">
              <w:rPr>
                <w:b/>
                <w:szCs w:val="22"/>
              </w:rPr>
              <w:t>§</w:t>
            </w:r>
          </w:p>
          <w:p w14:paraId="39FC75C4" w14:textId="77777777" w:rsidR="00916A22" w:rsidRPr="00F75B6B" w:rsidRDefault="00916A22" w:rsidP="009E6FCC">
            <w:pPr>
              <w:pStyle w:val="preamble"/>
              <w:suppressLineNumbers/>
              <w:spacing w:line="240" w:lineRule="auto"/>
              <w:jc w:val="center"/>
              <w:rPr>
                <w:b/>
                <w:szCs w:val="22"/>
              </w:rPr>
            </w:pPr>
            <w:r w:rsidRPr="00F75B6B">
              <w:rPr>
                <w:b/>
                <w:szCs w:val="22"/>
              </w:rPr>
              <w:t>§</w:t>
            </w:r>
          </w:p>
          <w:p w14:paraId="253EA391" w14:textId="77777777" w:rsidR="00916A22" w:rsidRPr="00F75B6B" w:rsidRDefault="00916A22" w:rsidP="009E6FCC">
            <w:pPr>
              <w:pStyle w:val="preamble"/>
              <w:suppressLineNumbers/>
              <w:spacing w:line="240" w:lineRule="auto"/>
              <w:jc w:val="center"/>
              <w:rPr>
                <w:b/>
                <w:szCs w:val="22"/>
              </w:rPr>
            </w:pPr>
          </w:p>
          <w:p w14:paraId="6F15B077" w14:textId="77777777" w:rsidR="00916A22" w:rsidRPr="00F75B6B" w:rsidRDefault="00916A22" w:rsidP="009E6FCC">
            <w:pPr>
              <w:pStyle w:val="preamble"/>
              <w:suppressLineNumbers/>
              <w:spacing w:line="240" w:lineRule="auto"/>
              <w:jc w:val="center"/>
              <w:rPr>
                <w:b/>
                <w:szCs w:val="22"/>
              </w:rPr>
            </w:pPr>
          </w:p>
        </w:tc>
        <w:tc>
          <w:tcPr>
            <w:tcW w:w="4320" w:type="dxa"/>
            <w:shd w:val="clear" w:color="auto" w:fill="auto"/>
          </w:tcPr>
          <w:p w14:paraId="2E1FA750" w14:textId="77777777" w:rsidR="00916A22" w:rsidRPr="00F75B6B" w:rsidRDefault="00916A22" w:rsidP="009E6FCC">
            <w:pPr>
              <w:pStyle w:val="preamble"/>
              <w:suppressLineNumbers/>
              <w:spacing w:line="240" w:lineRule="auto"/>
              <w:rPr>
                <w:b/>
                <w:szCs w:val="22"/>
              </w:rPr>
            </w:pPr>
            <w:r w:rsidRPr="00F75B6B">
              <w:rPr>
                <w:b/>
                <w:szCs w:val="22"/>
              </w:rPr>
              <w:br/>
              <w:t xml:space="preserve">       PUBLIC UTILITY COMMISSION</w:t>
            </w:r>
          </w:p>
          <w:p w14:paraId="0F627910" w14:textId="77777777" w:rsidR="00916A22" w:rsidRPr="00F75B6B" w:rsidRDefault="00916A22" w:rsidP="009E6FCC">
            <w:pPr>
              <w:pStyle w:val="preamble"/>
              <w:suppressLineNumbers/>
              <w:spacing w:line="240" w:lineRule="auto"/>
              <w:rPr>
                <w:b/>
                <w:szCs w:val="22"/>
              </w:rPr>
            </w:pPr>
          </w:p>
          <w:p w14:paraId="4FCB1BDA" w14:textId="77777777" w:rsidR="00916A22" w:rsidRPr="00F75B6B" w:rsidRDefault="00916A22" w:rsidP="009E6FCC">
            <w:pPr>
              <w:pStyle w:val="preamble"/>
              <w:suppressLineNumbers/>
              <w:spacing w:line="240" w:lineRule="auto"/>
              <w:jc w:val="center"/>
              <w:rPr>
                <w:b/>
                <w:szCs w:val="22"/>
              </w:rPr>
            </w:pPr>
            <w:r w:rsidRPr="00F75B6B">
              <w:rPr>
                <w:b/>
                <w:szCs w:val="22"/>
              </w:rPr>
              <w:t>OF TEXAS</w:t>
            </w:r>
          </w:p>
        </w:tc>
      </w:tr>
    </w:tbl>
    <w:p w14:paraId="7C4B12A4" w14:textId="44E8362F" w:rsidR="00903366" w:rsidRPr="00F75B6B" w:rsidRDefault="00903366" w:rsidP="00903366">
      <w:pPr>
        <w:suppressLineNumbers/>
        <w:jc w:val="center"/>
        <w:rPr>
          <w:b/>
          <w:color w:val="FF0000"/>
          <w:szCs w:val="24"/>
        </w:rPr>
      </w:pPr>
      <w:r w:rsidRPr="00F75B6B">
        <w:rPr>
          <w:b/>
          <w:szCs w:val="24"/>
        </w:rPr>
        <w:t xml:space="preserve">TCPA </w:t>
      </w:r>
      <w:r w:rsidR="00327E54">
        <w:rPr>
          <w:b/>
          <w:szCs w:val="24"/>
        </w:rPr>
        <w:t>RESPONSE TO STAFF QUESTIONS ON FIRM FUEL SUPPLY SERVICE (FFSS)</w:t>
      </w:r>
    </w:p>
    <w:p w14:paraId="1DE20A80" w14:textId="37E28EA8" w:rsidR="00903366" w:rsidRDefault="00903366" w:rsidP="00C751DE">
      <w:pPr>
        <w:spacing w:line="360" w:lineRule="auto"/>
        <w:ind w:firstLine="720"/>
        <w:jc w:val="both"/>
        <w:rPr>
          <w:szCs w:val="24"/>
        </w:rPr>
      </w:pPr>
      <w:r w:rsidRPr="00F75B6B">
        <w:rPr>
          <w:szCs w:val="24"/>
        </w:rPr>
        <w:t>Texas Competitive Power Advocates (TCPA) is a trade association representing power generation companies and wholesale power marketers with investments in Texas and the Electric Reliability Council of Texas (ERCOT) wholesale electric market. TCPA members</w:t>
      </w:r>
      <w:r w:rsidRPr="00F75B6B">
        <w:rPr>
          <w:rStyle w:val="FootnoteReference"/>
          <w:szCs w:val="24"/>
        </w:rPr>
        <w:footnoteReference w:id="1"/>
      </w:r>
      <w:r w:rsidRPr="00F75B6B">
        <w:rPr>
          <w:szCs w:val="24"/>
        </w:rPr>
        <w:t xml:space="preserve"> and their affiliates provide a wide range of important market functions and services in ERCOT, including development, operation, and management of power generation assets, </w:t>
      </w:r>
      <w:r w:rsidR="00562020" w:rsidRPr="00F75B6B">
        <w:rPr>
          <w:szCs w:val="24"/>
        </w:rPr>
        <w:t xml:space="preserve">power </w:t>
      </w:r>
      <w:r w:rsidRPr="00F75B6B">
        <w:rPr>
          <w:szCs w:val="24"/>
        </w:rPr>
        <w:t>scheduling and marketing</w:t>
      </w:r>
      <w:r w:rsidR="00562020" w:rsidRPr="00F75B6B">
        <w:rPr>
          <w:szCs w:val="24"/>
        </w:rPr>
        <w:t xml:space="preserve">, </w:t>
      </w:r>
      <w:r w:rsidRPr="00F75B6B">
        <w:rPr>
          <w:szCs w:val="24"/>
        </w:rPr>
        <w:t xml:space="preserve">energy management services and sales of competitive electric service to consumers. TCPA members provide </w:t>
      </w:r>
      <w:r w:rsidR="00627712">
        <w:rPr>
          <w:szCs w:val="24"/>
        </w:rPr>
        <w:t>almost ninet</w:t>
      </w:r>
      <w:r w:rsidR="009C3D7D" w:rsidRPr="00F75B6B">
        <w:rPr>
          <w:szCs w:val="24"/>
        </w:rPr>
        <w:t>y</w:t>
      </w:r>
      <w:r w:rsidR="00391056" w:rsidRPr="00F75B6B">
        <w:rPr>
          <w:szCs w:val="24"/>
        </w:rPr>
        <w:t xml:space="preserve"> </w:t>
      </w:r>
      <w:r w:rsidRPr="00F75B6B">
        <w:rPr>
          <w:szCs w:val="24"/>
        </w:rPr>
        <w:t>percent (</w:t>
      </w:r>
      <w:r w:rsidR="00627712">
        <w:rPr>
          <w:szCs w:val="24"/>
        </w:rPr>
        <w:t>9</w:t>
      </w:r>
      <w:r w:rsidRPr="00F75B6B">
        <w:rPr>
          <w:szCs w:val="24"/>
        </w:rPr>
        <w:t xml:space="preserve">0%) of the </w:t>
      </w:r>
      <w:r w:rsidR="00627712">
        <w:rPr>
          <w:szCs w:val="24"/>
        </w:rPr>
        <w:t>non-wind</w:t>
      </w:r>
      <w:r w:rsidRPr="00F75B6B">
        <w:rPr>
          <w:szCs w:val="24"/>
        </w:rPr>
        <w:t xml:space="preserve"> electric generating capacity in ERCOT</w:t>
      </w:r>
      <w:r w:rsidR="00627712">
        <w:rPr>
          <w:szCs w:val="24"/>
        </w:rPr>
        <w:t xml:space="preserve">. </w:t>
      </w:r>
      <w:r w:rsidR="009C3D7D" w:rsidRPr="00F75B6B">
        <w:rPr>
          <w:szCs w:val="24"/>
        </w:rPr>
        <w:t xml:space="preserve">TCPA </w:t>
      </w:r>
      <w:r w:rsidR="00DC133B">
        <w:rPr>
          <w:szCs w:val="24"/>
        </w:rPr>
        <w:t>members</w:t>
      </w:r>
      <w:r w:rsidR="009C3D7D" w:rsidRPr="00F75B6B">
        <w:rPr>
          <w:szCs w:val="24"/>
        </w:rPr>
        <w:t xml:space="preserve"> </w:t>
      </w:r>
      <w:r w:rsidR="00DC133B">
        <w:rPr>
          <w:szCs w:val="24"/>
        </w:rPr>
        <w:t>have invested</w:t>
      </w:r>
      <w:r w:rsidR="00DC133B" w:rsidRPr="00F75B6B">
        <w:rPr>
          <w:szCs w:val="24"/>
        </w:rPr>
        <w:t xml:space="preserve"> </w:t>
      </w:r>
      <w:r w:rsidRPr="00F75B6B">
        <w:rPr>
          <w:szCs w:val="24"/>
        </w:rPr>
        <w:t xml:space="preserve">billions of dollars in the state and employ thousands of Texans. </w:t>
      </w:r>
    </w:p>
    <w:p w14:paraId="4A288AB6" w14:textId="77777777" w:rsidR="003167EF" w:rsidRDefault="00327E54" w:rsidP="003167EF">
      <w:pPr>
        <w:pStyle w:val="ListParagraph"/>
        <w:jc w:val="both"/>
        <w:rPr>
          <w:szCs w:val="24"/>
        </w:rPr>
      </w:pPr>
      <w:r>
        <w:rPr>
          <w:szCs w:val="24"/>
        </w:rPr>
        <w:t xml:space="preserve">TCPA appreciates the opportunity to provide comment to Staff’s questions, and TCPA </w:t>
      </w:r>
    </w:p>
    <w:p w14:paraId="77D5AA81" w14:textId="7231AD5F" w:rsidR="00DC74A1" w:rsidRDefault="00327E54" w:rsidP="003167EF">
      <w:pPr>
        <w:spacing w:line="360" w:lineRule="auto"/>
        <w:jc w:val="both"/>
        <w:rPr>
          <w:szCs w:val="24"/>
        </w:rPr>
      </w:pPr>
      <w:r w:rsidRPr="003167EF">
        <w:rPr>
          <w:szCs w:val="24"/>
        </w:rPr>
        <w:t xml:space="preserve">members have provided input regarding FFSS at ERCOT as well. It is unclear whether the parameters of the FFSS determined </w:t>
      </w:r>
      <w:r w:rsidR="003167EF">
        <w:rPr>
          <w:szCs w:val="24"/>
        </w:rPr>
        <w:t xml:space="preserve">in the current implementation are intended to apply only to the first round of procurements or if they will be permanent parameters for the duration of the program. </w:t>
      </w:r>
      <w:r w:rsidRPr="003167EF">
        <w:rPr>
          <w:szCs w:val="24"/>
        </w:rPr>
        <w:t xml:space="preserve">If these parameters are intended to apply to the first round of procurements, </w:t>
      </w:r>
      <w:r w:rsidR="003167EF">
        <w:rPr>
          <w:szCs w:val="24"/>
        </w:rPr>
        <w:t xml:space="preserve">then the </w:t>
      </w:r>
      <w:r w:rsidRPr="003167EF">
        <w:rPr>
          <w:szCs w:val="24"/>
        </w:rPr>
        <w:t xml:space="preserve">scope of eligibility, </w:t>
      </w:r>
      <w:r w:rsidR="003167EF">
        <w:rPr>
          <w:szCs w:val="24"/>
        </w:rPr>
        <w:t xml:space="preserve">the appropriate sizing of capacity procured, </w:t>
      </w:r>
      <w:r w:rsidRPr="003167EF">
        <w:rPr>
          <w:szCs w:val="24"/>
        </w:rPr>
        <w:t xml:space="preserve">and timeframe will be different than if these will apply for the duration of the program. </w:t>
      </w:r>
      <w:r w:rsidR="00DC74A1">
        <w:rPr>
          <w:szCs w:val="24"/>
        </w:rPr>
        <w:t xml:space="preserve">For the long-term program, </w:t>
      </w:r>
      <w:r w:rsidRPr="003167EF">
        <w:rPr>
          <w:szCs w:val="24"/>
        </w:rPr>
        <w:t xml:space="preserve">surplus coal reserves, as well as nuclear </w:t>
      </w:r>
      <w:r w:rsidR="00875AFA">
        <w:rPr>
          <w:szCs w:val="24"/>
        </w:rPr>
        <w:t xml:space="preserve">fuel </w:t>
      </w:r>
      <w:r w:rsidRPr="003167EF">
        <w:rPr>
          <w:szCs w:val="24"/>
        </w:rPr>
        <w:t xml:space="preserve">reserves, should be considered eligible to participate and the quantities </w:t>
      </w:r>
      <w:r w:rsidR="00DC74A1">
        <w:rPr>
          <w:szCs w:val="24"/>
        </w:rPr>
        <w:t xml:space="preserve">of resources </w:t>
      </w:r>
      <w:r w:rsidRPr="003167EF">
        <w:rPr>
          <w:szCs w:val="24"/>
        </w:rPr>
        <w:t>procured may need to vary by fuel type</w:t>
      </w:r>
      <w:r w:rsidR="00DC74A1">
        <w:rPr>
          <w:szCs w:val="24"/>
        </w:rPr>
        <w:t>.</w:t>
      </w:r>
      <w:r w:rsidRPr="003167EF">
        <w:rPr>
          <w:szCs w:val="24"/>
        </w:rPr>
        <w:t xml:space="preserve"> </w:t>
      </w:r>
      <w:r w:rsidR="00DC74A1">
        <w:rPr>
          <w:szCs w:val="24"/>
        </w:rPr>
        <w:t>Additionally,</w:t>
      </w:r>
      <w:r w:rsidRPr="003167EF">
        <w:rPr>
          <w:szCs w:val="24"/>
        </w:rPr>
        <w:t xml:space="preserve"> consideration should be given to whether concentration of firm fuel in certain geographic areas would free up gas in other areas of the state</w:t>
      </w:r>
      <w:r w:rsidR="00DC74A1">
        <w:rPr>
          <w:szCs w:val="24"/>
        </w:rPr>
        <w:t xml:space="preserve"> or if firm fuel procurements need to be geographically diverse to shore up the fleet statewide. </w:t>
      </w:r>
    </w:p>
    <w:p w14:paraId="4F61570A" w14:textId="459615EE" w:rsidR="008B2386" w:rsidRDefault="00327E54" w:rsidP="00DC74A1">
      <w:pPr>
        <w:spacing w:line="360" w:lineRule="auto"/>
        <w:ind w:firstLine="720"/>
        <w:jc w:val="both"/>
        <w:rPr>
          <w:szCs w:val="24"/>
        </w:rPr>
      </w:pPr>
      <w:r w:rsidRPr="003167EF">
        <w:rPr>
          <w:szCs w:val="24"/>
        </w:rPr>
        <w:lastRenderedPageBreak/>
        <w:t xml:space="preserve">Lack of transparency on the intrastate gas system makes </w:t>
      </w:r>
      <w:r w:rsidR="00122A65">
        <w:rPr>
          <w:szCs w:val="24"/>
        </w:rPr>
        <w:t>identifying specific geographic chokepoints that need</w:t>
      </w:r>
      <w:r w:rsidR="00122A65" w:rsidRPr="003167EF">
        <w:rPr>
          <w:szCs w:val="24"/>
        </w:rPr>
        <w:t xml:space="preserve"> </w:t>
      </w:r>
      <w:r w:rsidRPr="003167EF">
        <w:rPr>
          <w:szCs w:val="24"/>
        </w:rPr>
        <w:t xml:space="preserve">firm fuel </w:t>
      </w:r>
      <w:r w:rsidR="00122A65">
        <w:rPr>
          <w:szCs w:val="24"/>
        </w:rPr>
        <w:t xml:space="preserve">to alleviate </w:t>
      </w:r>
      <w:r w:rsidRPr="003167EF">
        <w:rPr>
          <w:szCs w:val="24"/>
        </w:rPr>
        <w:t>difficult to pinpoint</w:t>
      </w:r>
      <w:r w:rsidR="00DC74A1">
        <w:rPr>
          <w:szCs w:val="24"/>
        </w:rPr>
        <w:t xml:space="preserve">. The independent reports from the Federal Energy Regulatory Commission (FERC), the University of Texas, and information still unavailable to generation resources as well as regulatory agencies in Texas demonstrate the </w:t>
      </w:r>
      <w:r w:rsidR="00122A65">
        <w:rPr>
          <w:szCs w:val="24"/>
        </w:rPr>
        <w:t xml:space="preserve">intrastate gas system’s near total </w:t>
      </w:r>
      <w:r w:rsidR="00DC74A1">
        <w:rPr>
          <w:szCs w:val="24"/>
        </w:rPr>
        <w:t>lack of real-time information regarding flows at various receipt points and prices the gas is trading at on those delivery and receipts points.</w:t>
      </w:r>
      <w:r w:rsidR="00B91054">
        <w:rPr>
          <w:rStyle w:val="FootnoteReference"/>
          <w:szCs w:val="24"/>
        </w:rPr>
        <w:footnoteReference w:id="2"/>
      </w:r>
      <w:r w:rsidR="00DC74A1">
        <w:rPr>
          <w:szCs w:val="24"/>
        </w:rPr>
        <w:t xml:space="preserve"> </w:t>
      </w:r>
      <w:r w:rsidR="00122A65">
        <w:rPr>
          <w:szCs w:val="24"/>
        </w:rPr>
        <w:t>This is notwithstanding that s</w:t>
      </w:r>
      <w:r w:rsidR="00DC74A1">
        <w:rPr>
          <w:szCs w:val="24"/>
        </w:rPr>
        <w:t>uch information is available</w:t>
      </w:r>
      <w:r w:rsidR="00122A65">
        <w:rPr>
          <w:szCs w:val="24"/>
        </w:rPr>
        <w:t xml:space="preserve"> in Texas</w:t>
      </w:r>
      <w:r w:rsidR="00DC74A1">
        <w:rPr>
          <w:szCs w:val="24"/>
        </w:rPr>
        <w:t xml:space="preserve"> through Electronic Bulletin Boards (EBBs) required</w:t>
      </w:r>
      <w:r w:rsidR="001E5C81">
        <w:rPr>
          <w:szCs w:val="24"/>
        </w:rPr>
        <w:t xml:space="preserve"> on interstate pipelines. As demonstrated by the line of questions asked during the March 9, 2022 Senate Business &amp; Commerce Committee hearing by Senators Johnson, Campbell, and Kolkhorst and responses by Railroad Commission (RRC) Chairman Wayne Christian, statutory authority to require such information appears to exist currently but is not being </w:t>
      </w:r>
      <w:r w:rsidR="00122A65">
        <w:rPr>
          <w:szCs w:val="24"/>
        </w:rPr>
        <w:t xml:space="preserve">exercised </w:t>
      </w:r>
      <w:r w:rsidR="001E5C81">
        <w:rPr>
          <w:szCs w:val="24"/>
        </w:rPr>
        <w:t xml:space="preserve">by the </w:t>
      </w:r>
      <w:r w:rsidR="007C5B99">
        <w:rPr>
          <w:szCs w:val="24"/>
        </w:rPr>
        <w:t>RRC</w:t>
      </w:r>
      <w:r w:rsidR="001E5C81">
        <w:rPr>
          <w:szCs w:val="24"/>
        </w:rPr>
        <w:t xml:space="preserve">. Chairman Christian indicated he thought the Legislature would need to specifically require such transparency before </w:t>
      </w:r>
      <w:r w:rsidR="007C5B99">
        <w:rPr>
          <w:szCs w:val="24"/>
        </w:rPr>
        <w:t xml:space="preserve">the </w:t>
      </w:r>
      <w:r w:rsidR="001E5C81">
        <w:rPr>
          <w:szCs w:val="24"/>
        </w:rPr>
        <w:t xml:space="preserve">RRC </w:t>
      </w:r>
      <w:r w:rsidR="007C5B99">
        <w:rPr>
          <w:szCs w:val="24"/>
        </w:rPr>
        <w:t>c</w:t>
      </w:r>
      <w:r w:rsidR="001E5C81">
        <w:rPr>
          <w:szCs w:val="24"/>
        </w:rPr>
        <w:t xml:space="preserve">ould exercise any oversight over the information provided in the intrastate gas market. </w:t>
      </w:r>
      <w:r w:rsidR="00784677">
        <w:rPr>
          <w:szCs w:val="24"/>
        </w:rPr>
        <w:t>TCPA supports the RRC utilizing its statutory authority, current or contemplated, to bring the intrastate natural gas market up to speed with national standards</w:t>
      </w:r>
      <w:r w:rsidR="00754BAD">
        <w:rPr>
          <w:szCs w:val="24"/>
        </w:rPr>
        <w:t>.</w:t>
      </w:r>
      <w:r w:rsidR="00784677">
        <w:rPr>
          <w:szCs w:val="24"/>
        </w:rPr>
        <w:t xml:space="preserve"> </w:t>
      </w:r>
      <w:r w:rsidR="00754BAD">
        <w:rPr>
          <w:szCs w:val="24"/>
        </w:rPr>
        <w:t xml:space="preserve">This change </w:t>
      </w:r>
      <w:r w:rsidRPr="003167EF">
        <w:rPr>
          <w:szCs w:val="24"/>
        </w:rPr>
        <w:t xml:space="preserve">would be useful in </w:t>
      </w:r>
      <w:r w:rsidR="008B2386">
        <w:rPr>
          <w:szCs w:val="24"/>
        </w:rPr>
        <w:t>determining whether</w:t>
      </w:r>
      <w:r w:rsidR="008B2386" w:rsidRPr="003167EF">
        <w:rPr>
          <w:szCs w:val="24"/>
        </w:rPr>
        <w:t xml:space="preserve"> </w:t>
      </w:r>
      <w:r w:rsidRPr="003167EF">
        <w:rPr>
          <w:szCs w:val="24"/>
        </w:rPr>
        <w:t xml:space="preserve">future procurements </w:t>
      </w:r>
      <w:r w:rsidR="008B2386">
        <w:rPr>
          <w:szCs w:val="24"/>
        </w:rPr>
        <w:t xml:space="preserve">should </w:t>
      </w:r>
      <w:r w:rsidRPr="003167EF">
        <w:rPr>
          <w:szCs w:val="24"/>
        </w:rPr>
        <w:t>provide for geographically diverse firm fuel, and may lend to additional investment in areas of the state in which lack of firm fuel is inhibiting reliability during extreme cold.</w:t>
      </w:r>
      <w:r w:rsidR="001E5C81">
        <w:rPr>
          <w:szCs w:val="24"/>
        </w:rPr>
        <w:t xml:space="preserve"> </w:t>
      </w:r>
    </w:p>
    <w:p w14:paraId="4BD77259" w14:textId="758AA9EC" w:rsidR="00093D7B" w:rsidRPr="00093D7B" w:rsidRDefault="00093D7B" w:rsidP="003241C5">
      <w:pPr>
        <w:spacing w:line="360" w:lineRule="auto"/>
        <w:jc w:val="center"/>
        <w:rPr>
          <w:b/>
          <w:bCs/>
          <w:szCs w:val="24"/>
          <w:u w:val="single"/>
        </w:rPr>
      </w:pPr>
      <w:r w:rsidRPr="00093D7B">
        <w:rPr>
          <w:b/>
          <w:bCs/>
          <w:szCs w:val="24"/>
          <w:u w:val="single"/>
        </w:rPr>
        <w:t xml:space="preserve">TCPA </w:t>
      </w:r>
      <w:r w:rsidR="006E76A9">
        <w:rPr>
          <w:b/>
          <w:bCs/>
          <w:szCs w:val="24"/>
          <w:u w:val="single"/>
        </w:rPr>
        <w:t>Response to Staff Questions</w:t>
      </w:r>
    </w:p>
    <w:p w14:paraId="03188762" w14:textId="77777777" w:rsidR="006E76A9" w:rsidRPr="002D1A9C" w:rsidRDefault="006E76A9" w:rsidP="00670C59">
      <w:pPr>
        <w:pStyle w:val="ListParagraph"/>
        <w:numPr>
          <w:ilvl w:val="0"/>
          <w:numId w:val="17"/>
        </w:numPr>
        <w:jc w:val="both"/>
        <w:rPr>
          <w:b/>
          <w:bCs/>
          <w:i/>
          <w:iCs/>
          <w:szCs w:val="24"/>
        </w:rPr>
      </w:pPr>
      <w:r w:rsidRPr="002D1A9C">
        <w:rPr>
          <w:b/>
          <w:bCs/>
          <w:i/>
          <w:iCs/>
          <w:szCs w:val="24"/>
        </w:rPr>
        <w:t xml:space="preserve">What is the appropriate contract term for initial FFSS procurements? Should subsequent procurements have a different contract term? </w:t>
      </w:r>
    </w:p>
    <w:p w14:paraId="5F0E65B0" w14:textId="77777777" w:rsidR="006E76A9" w:rsidRDefault="006E76A9" w:rsidP="006E76A9">
      <w:pPr>
        <w:pStyle w:val="ListParagraph"/>
        <w:rPr>
          <w:szCs w:val="24"/>
        </w:rPr>
      </w:pPr>
    </w:p>
    <w:p w14:paraId="465FEC6C" w14:textId="437A00A2" w:rsidR="006E76A9" w:rsidRDefault="006E76A9" w:rsidP="00670C59">
      <w:pPr>
        <w:pStyle w:val="ListParagraph"/>
        <w:jc w:val="both"/>
        <w:rPr>
          <w:szCs w:val="24"/>
        </w:rPr>
      </w:pPr>
      <w:r>
        <w:rPr>
          <w:szCs w:val="24"/>
        </w:rPr>
        <w:t xml:space="preserve">Generally, TCPA supports the 2-year contract proposed </w:t>
      </w:r>
      <w:r w:rsidR="00224FF4">
        <w:rPr>
          <w:szCs w:val="24"/>
        </w:rPr>
        <w:t xml:space="preserve">by ERCOT in NPRR1120 </w:t>
      </w:r>
      <w:r>
        <w:rPr>
          <w:szCs w:val="24"/>
        </w:rPr>
        <w:t>but reserve</w:t>
      </w:r>
      <w:r w:rsidR="009A4519">
        <w:rPr>
          <w:szCs w:val="24"/>
        </w:rPr>
        <w:t>s</w:t>
      </w:r>
      <w:r>
        <w:rPr>
          <w:szCs w:val="24"/>
        </w:rPr>
        <w:t xml:space="preserve"> the right to change our perspective as we get more experience with this product. </w:t>
      </w:r>
      <w:r w:rsidR="001F1363">
        <w:rPr>
          <w:szCs w:val="24"/>
        </w:rPr>
        <w:t xml:space="preserve">We recommend that contracts </w:t>
      </w:r>
      <w:r w:rsidR="00CE6ED6">
        <w:rPr>
          <w:szCs w:val="24"/>
        </w:rPr>
        <w:t>align</w:t>
      </w:r>
      <w:r w:rsidR="001F1363">
        <w:rPr>
          <w:szCs w:val="24"/>
        </w:rPr>
        <w:t xml:space="preserve"> with environmental limits</w:t>
      </w:r>
      <w:r w:rsidR="00CE6ED6">
        <w:rPr>
          <w:szCs w:val="24"/>
        </w:rPr>
        <w:t xml:space="preserve"> to allow resources to better reserve those allowances.</w:t>
      </w:r>
      <w:r w:rsidR="001F1363">
        <w:rPr>
          <w:szCs w:val="24"/>
        </w:rPr>
        <w:t xml:space="preserve"> </w:t>
      </w:r>
      <w:r w:rsidR="00CE6ED6">
        <w:rPr>
          <w:szCs w:val="24"/>
        </w:rPr>
        <w:t xml:space="preserve">The current </w:t>
      </w:r>
      <w:r>
        <w:rPr>
          <w:szCs w:val="24"/>
        </w:rPr>
        <w:t xml:space="preserve">NPRR proposal </w:t>
      </w:r>
      <w:r w:rsidR="00CE6ED6">
        <w:rPr>
          <w:szCs w:val="24"/>
        </w:rPr>
        <w:t xml:space="preserve">appears to </w:t>
      </w:r>
      <w:r>
        <w:rPr>
          <w:szCs w:val="24"/>
        </w:rPr>
        <w:t>mimic</w:t>
      </w:r>
      <w:r w:rsidR="00CE6ED6">
        <w:rPr>
          <w:szCs w:val="24"/>
        </w:rPr>
        <w:t xml:space="preserve"> the</w:t>
      </w:r>
      <w:r>
        <w:rPr>
          <w:szCs w:val="24"/>
        </w:rPr>
        <w:t xml:space="preserve"> Black Start process. </w:t>
      </w:r>
      <w:r w:rsidR="00CE6ED6">
        <w:rPr>
          <w:szCs w:val="24"/>
        </w:rPr>
        <w:t>TCPA recommends en</w:t>
      </w:r>
      <w:r>
        <w:rPr>
          <w:szCs w:val="24"/>
        </w:rPr>
        <w:t>sur</w:t>
      </w:r>
      <w:r w:rsidR="004F4AA0">
        <w:rPr>
          <w:szCs w:val="24"/>
        </w:rPr>
        <w:t>ing</w:t>
      </w:r>
      <w:r>
        <w:rPr>
          <w:szCs w:val="24"/>
        </w:rPr>
        <w:t xml:space="preserve"> the RFP process is consistent with the </w:t>
      </w:r>
      <w:r w:rsidR="009F4C12">
        <w:rPr>
          <w:szCs w:val="24"/>
        </w:rPr>
        <w:t>P</w:t>
      </w:r>
      <w:r>
        <w:rPr>
          <w:szCs w:val="24"/>
        </w:rPr>
        <w:t xml:space="preserve">rotocols or </w:t>
      </w:r>
      <w:r w:rsidR="000E3DC0">
        <w:rPr>
          <w:szCs w:val="24"/>
        </w:rPr>
        <w:t xml:space="preserve">that </w:t>
      </w:r>
      <w:r w:rsidR="009F4C12">
        <w:rPr>
          <w:szCs w:val="24"/>
        </w:rPr>
        <w:t>P</w:t>
      </w:r>
      <w:r w:rsidR="000E3DC0">
        <w:rPr>
          <w:szCs w:val="24"/>
        </w:rPr>
        <w:t xml:space="preserve">rotocols be </w:t>
      </w:r>
      <w:r>
        <w:rPr>
          <w:szCs w:val="24"/>
        </w:rPr>
        <w:t>revise</w:t>
      </w:r>
      <w:r w:rsidR="000E3DC0">
        <w:rPr>
          <w:szCs w:val="24"/>
        </w:rPr>
        <w:t>d</w:t>
      </w:r>
      <w:r>
        <w:rPr>
          <w:szCs w:val="24"/>
        </w:rPr>
        <w:t xml:space="preserve"> to align with the RFP procurement process. </w:t>
      </w:r>
      <w:r w:rsidR="000E3DC0">
        <w:rPr>
          <w:szCs w:val="24"/>
        </w:rPr>
        <w:t>TCPA also believes t</w:t>
      </w:r>
      <w:r>
        <w:rPr>
          <w:szCs w:val="24"/>
        </w:rPr>
        <w:t xml:space="preserve">his product could </w:t>
      </w:r>
      <w:r w:rsidR="000E3DC0">
        <w:rPr>
          <w:szCs w:val="24"/>
        </w:rPr>
        <w:t xml:space="preserve">eventually </w:t>
      </w:r>
      <w:r>
        <w:rPr>
          <w:szCs w:val="24"/>
        </w:rPr>
        <w:t xml:space="preserve">be subsumed by a </w:t>
      </w:r>
      <w:r w:rsidR="00E614BB">
        <w:rPr>
          <w:szCs w:val="24"/>
        </w:rPr>
        <w:t xml:space="preserve">comprehensive resource adequacy solution </w:t>
      </w:r>
      <w:r w:rsidR="008726D1">
        <w:rPr>
          <w:szCs w:val="24"/>
        </w:rPr>
        <w:t xml:space="preserve">such as LSERO </w:t>
      </w:r>
      <w:r w:rsidR="009F4C12">
        <w:rPr>
          <w:szCs w:val="24"/>
        </w:rPr>
        <w:t xml:space="preserve">where </w:t>
      </w:r>
      <w:r>
        <w:rPr>
          <w:szCs w:val="24"/>
        </w:rPr>
        <w:t xml:space="preserve">firm fuel could be accredited as a more reliable resource as part of the design. </w:t>
      </w:r>
    </w:p>
    <w:p w14:paraId="68FDB51D" w14:textId="77777777" w:rsidR="006E76A9" w:rsidRDefault="006E76A9" w:rsidP="006E76A9">
      <w:pPr>
        <w:pStyle w:val="ListParagraph"/>
        <w:rPr>
          <w:szCs w:val="24"/>
        </w:rPr>
      </w:pPr>
    </w:p>
    <w:p w14:paraId="6819F71E" w14:textId="77777777" w:rsidR="006E76A9" w:rsidRPr="002D1A9C" w:rsidRDefault="006E76A9" w:rsidP="006E76A9">
      <w:pPr>
        <w:pStyle w:val="ListParagraph"/>
        <w:rPr>
          <w:szCs w:val="24"/>
        </w:rPr>
      </w:pPr>
    </w:p>
    <w:p w14:paraId="472A3515" w14:textId="77777777" w:rsidR="006E76A9" w:rsidRPr="005B1633" w:rsidRDefault="006E76A9" w:rsidP="00670C59">
      <w:pPr>
        <w:pStyle w:val="ListParagraph"/>
        <w:numPr>
          <w:ilvl w:val="0"/>
          <w:numId w:val="17"/>
        </w:numPr>
        <w:jc w:val="both"/>
        <w:rPr>
          <w:szCs w:val="24"/>
        </w:rPr>
      </w:pPr>
      <w:r w:rsidRPr="002D1A9C">
        <w:rPr>
          <w:b/>
          <w:bCs/>
          <w:i/>
          <w:iCs/>
          <w:szCs w:val="24"/>
        </w:rPr>
        <w:t xml:space="preserve">What sustained duration of FFSS should ERCOT procure? PURA § 39.160(c)(2) requires ERCOT to procure at least 48 hours of generation that can withstand fuel supply 1 Public Utility Regulatory Act, Tex. Util. Code §§ 11.001-66.016. Page 1 of 2 disruptions. What are the advantages and disadvantages of requiring a longer sustained duration? </w:t>
      </w:r>
    </w:p>
    <w:p w14:paraId="394331C8" w14:textId="77777777" w:rsidR="006E76A9" w:rsidRDefault="006E76A9" w:rsidP="006E76A9">
      <w:pPr>
        <w:pStyle w:val="ListParagraph"/>
        <w:rPr>
          <w:szCs w:val="24"/>
        </w:rPr>
      </w:pPr>
    </w:p>
    <w:p w14:paraId="61D9A69D" w14:textId="5AF95AC3" w:rsidR="006E76A9" w:rsidRPr="005B1633" w:rsidRDefault="003250B7" w:rsidP="00670C59">
      <w:pPr>
        <w:pStyle w:val="ListParagraph"/>
        <w:jc w:val="both"/>
        <w:rPr>
          <w:szCs w:val="24"/>
        </w:rPr>
      </w:pPr>
      <w:r>
        <w:rPr>
          <w:szCs w:val="24"/>
        </w:rPr>
        <w:t>The s</w:t>
      </w:r>
      <w:r w:rsidR="006E76A9">
        <w:rPr>
          <w:szCs w:val="24"/>
        </w:rPr>
        <w:t xml:space="preserve">tatute says “several days” which is usually viewed as more than two days </w:t>
      </w:r>
      <w:r>
        <w:rPr>
          <w:szCs w:val="24"/>
        </w:rPr>
        <w:t>since</w:t>
      </w:r>
      <w:r w:rsidR="004A4BC0">
        <w:rPr>
          <w:szCs w:val="24"/>
        </w:rPr>
        <w:t xml:space="preserve"> “a couple of days” is the typical terminology used for two days. While the proposal in the memo </w:t>
      </w:r>
      <w:r w:rsidR="006E76A9">
        <w:rPr>
          <w:szCs w:val="24"/>
        </w:rPr>
        <w:t>is a 72-hour duration</w:t>
      </w:r>
      <w:r w:rsidR="004A4BC0">
        <w:rPr>
          <w:szCs w:val="24"/>
        </w:rPr>
        <w:t xml:space="preserve">, TCPA </w:t>
      </w:r>
      <w:r w:rsidR="00307D11">
        <w:rPr>
          <w:szCs w:val="24"/>
        </w:rPr>
        <w:t>supports any time frame that exceeds forty-eight (48) hours</w:t>
      </w:r>
      <w:r w:rsidR="00E614BB">
        <w:rPr>
          <w:szCs w:val="24"/>
        </w:rPr>
        <w:t xml:space="preserve"> but not more than five days</w:t>
      </w:r>
      <w:r w:rsidR="006E76A9">
        <w:rPr>
          <w:szCs w:val="24"/>
        </w:rPr>
        <w:t xml:space="preserve">. </w:t>
      </w:r>
      <w:r w:rsidR="00307D11">
        <w:rPr>
          <w:szCs w:val="24"/>
        </w:rPr>
        <w:t>TCPA recommends the Commission c</w:t>
      </w:r>
      <w:r w:rsidR="006E76A9">
        <w:rPr>
          <w:szCs w:val="24"/>
        </w:rPr>
        <w:t xml:space="preserve">larify whether the </w:t>
      </w:r>
      <w:r w:rsidR="00307D11">
        <w:rPr>
          <w:szCs w:val="24"/>
        </w:rPr>
        <w:t xml:space="preserve">duration </w:t>
      </w:r>
      <w:r w:rsidR="006E76A9">
        <w:rPr>
          <w:szCs w:val="24"/>
        </w:rPr>
        <w:t>timeframe applies to the full resource capacity for the required hours</w:t>
      </w:r>
      <w:r w:rsidR="00307D11">
        <w:rPr>
          <w:szCs w:val="24"/>
        </w:rPr>
        <w:t xml:space="preserve"> or if</w:t>
      </w:r>
      <w:r w:rsidR="006E76A9">
        <w:rPr>
          <w:szCs w:val="24"/>
        </w:rPr>
        <w:t xml:space="preserve"> it appl</w:t>
      </w:r>
      <w:r w:rsidR="00307D11">
        <w:rPr>
          <w:szCs w:val="24"/>
        </w:rPr>
        <w:t>ies</w:t>
      </w:r>
      <w:r w:rsidR="006E76A9">
        <w:rPr>
          <w:szCs w:val="24"/>
        </w:rPr>
        <w:t xml:space="preserve"> to</w:t>
      </w:r>
      <w:r w:rsidR="00307D11">
        <w:rPr>
          <w:szCs w:val="24"/>
        </w:rPr>
        <w:t xml:space="preserve"> a</w:t>
      </w:r>
      <w:r w:rsidR="006E76A9">
        <w:rPr>
          <w:szCs w:val="24"/>
        </w:rPr>
        <w:t xml:space="preserve"> lower level of operations </w:t>
      </w:r>
      <w:r w:rsidR="00307D11">
        <w:rPr>
          <w:szCs w:val="24"/>
        </w:rPr>
        <w:t>that is</w:t>
      </w:r>
      <w:r w:rsidR="006E76A9">
        <w:rPr>
          <w:szCs w:val="24"/>
        </w:rPr>
        <w:t xml:space="preserve"> sustained for a longer period of time</w:t>
      </w:r>
      <w:r w:rsidR="00307D11">
        <w:rPr>
          <w:szCs w:val="24"/>
        </w:rPr>
        <w:t>,</w:t>
      </w:r>
      <w:r w:rsidR="006E76A9">
        <w:rPr>
          <w:szCs w:val="24"/>
        </w:rPr>
        <w:t xml:space="preserve"> such as the full </w:t>
      </w:r>
      <w:r w:rsidR="00670C59">
        <w:rPr>
          <w:szCs w:val="24"/>
        </w:rPr>
        <w:t>seventy-two (</w:t>
      </w:r>
      <w:r w:rsidR="006E76A9">
        <w:rPr>
          <w:szCs w:val="24"/>
        </w:rPr>
        <w:t>72</w:t>
      </w:r>
      <w:r w:rsidR="00670C59">
        <w:rPr>
          <w:szCs w:val="24"/>
        </w:rPr>
        <w:t>)</w:t>
      </w:r>
      <w:r w:rsidR="006E76A9">
        <w:rPr>
          <w:szCs w:val="24"/>
        </w:rPr>
        <w:t xml:space="preserve"> hours. </w:t>
      </w:r>
      <w:r w:rsidR="00307D11">
        <w:rPr>
          <w:szCs w:val="24"/>
        </w:rPr>
        <w:t>TCPA cautions that i</w:t>
      </w:r>
      <w:r w:rsidR="006E76A9">
        <w:rPr>
          <w:szCs w:val="24"/>
        </w:rPr>
        <w:t xml:space="preserve">f the </w:t>
      </w:r>
      <w:r w:rsidR="00307D11">
        <w:rPr>
          <w:szCs w:val="24"/>
        </w:rPr>
        <w:t xml:space="preserve">required </w:t>
      </w:r>
      <w:r w:rsidR="006E76A9">
        <w:rPr>
          <w:szCs w:val="24"/>
        </w:rPr>
        <w:t xml:space="preserve">duration is too long, then the cost </w:t>
      </w:r>
      <w:r w:rsidR="00307D11">
        <w:rPr>
          <w:szCs w:val="24"/>
        </w:rPr>
        <w:t xml:space="preserve">to provide such a resource </w:t>
      </w:r>
      <w:r w:rsidR="006E76A9">
        <w:rPr>
          <w:szCs w:val="24"/>
        </w:rPr>
        <w:t xml:space="preserve">may outweigh the benefit. </w:t>
      </w:r>
      <w:r w:rsidR="00670C59">
        <w:rPr>
          <w:szCs w:val="24"/>
        </w:rPr>
        <w:t xml:space="preserve">We expect that a timeframe between </w:t>
      </w:r>
      <w:r w:rsidR="006E76A9">
        <w:rPr>
          <w:szCs w:val="24"/>
        </w:rPr>
        <w:t>48</w:t>
      </w:r>
      <w:r w:rsidR="00670C59">
        <w:rPr>
          <w:szCs w:val="24"/>
        </w:rPr>
        <w:t xml:space="preserve"> and </w:t>
      </w:r>
      <w:r w:rsidR="006E76A9">
        <w:rPr>
          <w:szCs w:val="24"/>
        </w:rPr>
        <w:t xml:space="preserve">72 hours should correlate to </w:t>
      </w:r>
      <w:r w:rsidR="00670C59">
        <w:rPr>
          <w:szCs w:val="24"/>
        </w:rPr>
        <w:t>a</w:t>
      </w:r>
      <w:r w:rsidR="006E76A9">
        <w:rPr>
          <w:szCs w:val="24"/>
        </w:rPr>
        <w:t xml:space="preserve"> duration expected for a </w:t>
      </w:r>
      <w:r w:rsidR="009F4C12">
        <w:rPr>
          <w:szCs w:val="24"/>
        </w:rPr>
        <w:t xml:space="preserve">typical </w:t>
      </w:r>
      <w:r w:rsidR="006E76A9">
        <w:rPr>
          <w:szCs w:val="24"/>
        </w:rPr>
        <w:t xml:space="preserve">strained natural gas system </w:t>
      </w:r>
      <w:r w:rsidR="009F4C12">
        <w:rPr>
          <w:szCs w:val="24"/>
        </w:rPr>
        <w:t>event</w:t>
      </w:r>
      <w:r w:rsidR="00F53F2B">
        <w:rPr>
          <w:szCs w:val="24"/>
        </w:rPr>
        <w:t xml:space="preserve"> though </w:t>
      </w:r>
      <w:r w:rsidR="00A27A82">
        <w:rPr>
          <w:szCs w:val="24"/>
        </w:rPr>
        <w:t xml:space="preserve">it </w:t>
      </w:r>
      <w:r w:rsidR="00F53F2B">
        <w:rPr>
          <w:szCs w:val="24"/>
        </w:rPr>
        <w:t>might fall short if the intent is to offset more extreme impacts to the natural gas fuel infrastructure, such as those experienced during Winter Storm Uri</w:t>
      </w:r>
      <w:r w:rsidR="006E76A9">
        <w:rPr>
          <w:szCs w:val="24"/>
        </w:rPr>
        <w:t xml:space="preserve">. </w:t>
      </w:r>
    </w:p>
    <w:p w14:paraId="75D9B085" w14:textId="77777777" w:rsidR="006E76A9" w:rsidRPr="002D1A9C" w:rsidRDefault="006E76A9" w:rsidP="006E76A9">
      <w:pPr>
        <w:pStyle w:val="ListParagraph"/>
        <w:rPr>
          <w:szCs w:val="24"/>
        </w:rPr>
      </w:pPr>
    </w:p>
    <w:p w14:paraId="3B55D634" w14:textId="77777777" w:rsidR="006E76A9" w:rsidRPr="002D1A9C" w:rsidRDefault="006E76A9" w:rsidP="004300B1">
      <w:pPr>
        <w:pStyle w:val="ListParagraph"/>
        <w:numPr>
          <w:ilvl w:val="0"/>
          <w:numId w:val="17"/>
        </w:numPr>
        <w:jc w:val="both"/>
        <w:rPr>
          <w:b/>
          <w:bCs/>
          <w:i/>
          <w:iCs/>
          <w:szCs w:val="24"/>
        </w:rPr>
      </w:pPr>
      <w:r w:rsidRPr="002D1A9C">
        <w:rPr>
          <w:b/>
          <w:bCs/>
          <w:i/>
          <w:iCs/>
          <w:szCs w:val="24"/>
        </w:rPr>
        <w:t xml:space="preserve">What quantity of FFSS should ERCOT procure? Should it be measured in terms of monetary budget or generation capacity over the specified duration? </w:t>
      </w:r>
    </w:p>
    <w:p w14:paraId="67075457" w14:textId="77777777" w:rsidR="006E76A9" w:rsidRDefault="006E76A9" w:rsidP="006E76A9">
      <w:pPr>
        <w:pStyle w:val="ListParagraph"/>
        <w:rPr>
          <w:szCs w:val="24"/>
        </w:rPr>
      </w:pPr>
    </w:p>
    <w:p w14:paraId="5CEA5A90" w14:textId="72200FBE" w:rsidR="005A1E71" w:rsidRDefault="005A761C" w:rsidP="004300B1">
      <w:pPr>
        <w:pStyle w:val="ListParagraph"/>
        <w:jc w:val="both"/>
        <w:rPr>
          <w:szCs w:val="24"/>
        </w:rPr>
      </w:pPr>
      <w:r>
        <w:rPr>
          <w:szCs w:val="24"/>
        </w:rPr>
        <w:t>TCPA believes the quantity to procure will</w:t>
      </w:r>
      <w:r w:rsidR="006E76A9">
        <w:rPr>
          <w:szCs w:val="24"/>
        </w:rPr>
        <w:t xml:space="preserve"> depend on </w:t>
      </w:r>
      <w:r>
        <w:rPr>
          <w:szCs w:val="24"/>
        </w:rPr>
        <w:t>the</w:t>
      </w:r>
      <w:r w:rsidR="006E76A9">
        <w:rPr>
          <w:szCs w:val="24"/>
        </w:rPr>
        <w:t xml:space="preserve"> weather or intermittent generation scenario </w:t>
      </w:r>
      <w:r>
        <w:rPr>
          <w:szCs w:val="24"/>
        </w:rPr>
        <w:t>the Commission</w:t>
      </w:r>
      <w:r w:rsidR="006E76A9">
        <w:rPr>
          <w:szCs w:val="24"/>
        </w:rPr>
        <w:t xml:space="preserve"> </w:t>
      </w:r>
      <w:r>
        <w:rPr>
          <w:szCs w:val="24"/>
        </w:rPr>
        <w:t>is</w:t>
      </w:r>
      <w:r w:rsidR="006E76A9">
        <w:rPr>
          <w:szCs w:val="24"/>
        </w:rPr>
        <w:t xml:space="preserve"> trying to address</w:t>
      </w:r>
      <w:r>
        <w:rPr>
          <w:szCs w:val="24"/>
        </w:rPr>
        <w:t xml:space="preserve"> as well as the type of fuel limitation to be addressed.</w:t>
      </w:r>
      <w:r w:rsidR="006E76A9">
        <w:rPr>
          <w:szCs w:val="24"/>
        </w:rPr>
        <w:t xml:space="preserve"> The cost </w:t>
      </w:r>
      <w:r w:rsidR="005A1E71">
        <w:rPr>
          <w:szCs w:val="24"/>
        </w:rPr>
        <w:t xml:space="preserve">for the procurement </w:t>
      </w:r>
      <w:r w:rsidR="006E76A9">
        <w:rPr>
          <w:szCs w:val="24"/>
        </w:rPr>
        <w:t xml:space="preserve">should be tied to a specific problem </w:t>
      </w:r>
      <w:r w:rsidR="005A1E71">
        <w:rPr>
          <w:szCs w:val="24"/>
        </w:rPr>
        <w:t>this solution seeks to</w:t>
      </w:r>
      <w:r w:rsidR="006E76A9">
        <w:rPr>
          <w:szCs w:val="24"/>
        </w:rPr>
        <w:t xml:space="preserve"> solve. </w:t>
      </w:r>
      <w:r w:rsidR="00F71356">
        <w:rPr>
          <w:szCs w:val="24"/>
        </w:rPr>
        <w:t xml:space="preserve">The upper bound on the cost could be determined by a budget constraint or a demand curve. </w:t>
      </w:r>
    </w:p>
    <w:p w14:paraId="317248CE" w14:textId="77777777" w:rsidR="005A1E71" w:rsidRDefault="005A1E71" w:rsidP="004300B1">
      <w:pPr>
        <w:pStyle w:val="ListParagraph"/>
        <w:jc w:val="both"/>
        <w:rPr>
          <w:szCs w:val="24"/>
        </w:rPr>
      </w:pPr>
    </w:p>
    <w:p w14:paraId="1F3B8A70" w14:textId="2DAB4C79" w:rsidR="006E76A9" w:rsidRDefault="005A1E71" w:rsidP="004300B1">
      <w:pPr>
        <w:pStyle w:val="ListParagraph"/>
        <w:jc w:val="both"/>
        <w:rPr>
          <w:szCs w:val="24"/>
        </w:rPr>
      </w:pPr>
      <w:r>
        <w:rPr>
          <w:szCs w:val="24"/>
        </w:rPr>
        <w:t>TCPA believes that s</w:t>
      </w:r>
      <w:r w:rsidR="006E76A9">
        <w:rPr>
          <w:szCs w:val="24"/>
        </w:rPr>
        <w:t xml:space="preserve">pecifying the amount of generation capacity expected for this product over the requisite duration is the appropriate measurement </w:t>
      </w:r>
      <w:r>
        <w:rPr>
          <w:szCs w:val="24"/>
        </w:rPr>
        <w:t>and method for right-sizing it</w:t>
      </w:r>
      <w:r w:rsidR="006E76A9">
        <w:rPr>
          <w:szCs w:val="24"/>
        </w:rPr>
        <w:t xml:space="preserve">. Procuring an amount </w:t>
      </w:r>
      <w:r w:rsidR="000F62F4">
        <w:rPr>
          <w:szCs w:val="24"/>
        </w:rPr>
        <w:t xml:space="preserve">that is only </w:t>
      </w:r>
      <w:r w:rsidR="006E76A9">
        <w:rPr>
          <w:szCs w:val="24"/>
        </w:rPr>
        <w:t xml:space="preserve">equivalent to the current resources that have this capability will not send a signal to the market that additional investment is needed in these technologies or resources. </w:t>
      </w:r>
      <w:r w:rsidR="007B66E4">
        <w:rPr>
          <w:szCs w:val="24"/>
        </w:rPr>
        <w:t>Additionally, a</w:t>
      </w:r>
      <w:r w:rsidR="006E76A9">
        <w:rPr>
          <w:szCs w:val="24"/>
        </w:rPr>
        <w:t xml:space="preserve"> specific </w:t>
      </w:r>
      <w:r w:rsidR="007B66E4">
        <w:rPr>
          <w:szCs w:val="24"/>
        </w:rPr>
        <w:t>megawatt (</w:t>
      </w:r>
      <w:r w:rsidR="006E76A9">
        <w:rPr>
          <w:szCs w:val="24"/>
        </w:rPr>
        <w:t>MW</w:t>
      </w:r>
      <w:r w:rsidR="007B66E4">
        <w:rPr>
          <w:szCs w:val="24"/>
        </w:rPr>
        <w:t>)</w:t>
      </w:r>
      <w:r w:rsidR="006E76A9">
        <w:rPr>
          <w:szCs w:val="24"/>
        </w:rPr>
        <w:t xml:space="preserve"> amount for dual fuel should be specified and a separate </w:t>
      </w:r>
      <w:r w:rsidR="007B66E4">
        <w:rPr>
          <w:szCs w:val="24"/>
        </w:rPr>
        <w:t xml:space="preserve">MW </w:t>
      </w:r>
      <w:r w:rsidR="006E76A9">
        <w:rPr>
          <w:szCs w:val="24"/>
        </w:rPr>
        <w:t xml:space="preserve">amount </w:t>
      </w:r>
      <w:r w:rsidR="007B66E4">
        <w:rPr>
          <w:szCs w:val="24"/>
        </w:rPr>
        <w:t xml:space="preserve">should be specified </w:t>
      </w:r>
      <w:r w:rsidR="006E76A9">
        <w:rPr>
          <w:szCs w:val="24"/>
        </w:rPr>
        <w:t xml:space="preserve">for </w:t>
      </w:r>
      <w:r w:rsidR="000F62F4">
        <w:rPr>
          <w:szCs w:val="24"/>
        </w:rPr>
        <w:t xml:space="preserve">qualified </w:t>
      </w:r>
      <w:r w:rsidR="00E614BB">
        <w:rPr>
          <w:szCs w:val="24"/>
        </w:rPr>
        <w:t xml:space="preserve">off-site </w:t>
      </w:r>
      <w:r w:rsidR="006E76A9">
        <w:rPr>
          <w:szCs w:val="24"/>
        </w:rPr>
        <w:t>gas storage. If</w:t>
      </w:r>
      <w:r w:rsidR="008901FD">
        <w:rPr>
          <w:szCs w:val="24"/>
        </w:rPr>
        <w:t xml:space="preserve"> Winter Storm</w:t>
      </w:r>
      <w:r w:rsidR="006E76A9">
        <w:rPr>
          <w:szCs w:val="24"/>
        </w:rPr>
        <w:t xml:space="preserve"> Uri is the </w:t>
      </w:r>
      <w:r w:rsidR="00E614BB">
        <w:rPr>
          <w:szCs w:val="24"/>
        </w:rPr>
        <w:t>basis for establishing</w:t>
      </w:r>
      <w:r w:rsidR="008901FD">
        <w:rPr>
          <w:szCs w:val="24"/>
        </w:rPr>
        <w:t xml:space="preserve"> the procurement </w:t>
      </w:r>
      <w:r w:rsidR="00E614BB">
        <w:rPr>
          <w:szCs w:val="24"/>
        </w:rPr>
        <w:t>amount</w:t>
      </w:r>
      <w:r w:rsidR="006E76A9">
        <w:rPr>
          <w:szCs w:val="24"/>
        </w:rPr>
        <w:t xml:space="preserve">, </w:t>
      </w:r>
      <w:r w:rsidR="008901FD">
        <w:rPr>
          <w:szCs w:val="24"/>
        </w:rPr>
        <w:t xml:space="preserve">it is important to note that </w:t>
      </w:r>
      <w:r w:rsidR="006E76A9">
        <w:rPr>
          <w:szCs w:val="24"/>
        </w:rPr>
        <w:t>at least 5</w:t>
      </w:r>
      <w:r w:rsidR="008901FD">
        <w:rPr>
          <w:szCs w:val="24"/>
        </w:rPr>
        <w:t xml:space="preserve"> gigawatts (</w:t>
      </w:r>
      <w:r w:rsidR="006E76A9">
        <w:rPr>
          <w:szCs w:val="24"/>
        </w:rPr>
        <w:t>GW</w:t>
      </w:r>
      <w:r w:rsidR="008901FD">
        <w:rPr>
          <w:szCs w:val="24"/>
        </w:rPr>
        <w:t>) of resources</w:t>
      </w:r>
      <w:r w:rsidR="006E76A9">
        <w:rPr>
          <w:szCs w:val="24"/>
        </w:rPr>
        <w:t xml:space="preserve"> could</w:t>
      </w:r>
      <w:r w:rsidR="008901FD">
        <w:rPr>
          <w:szCs w:val="24"/>
        </w:rPr>
        <w:t xml:space="preserve"> not</w:t>
      </w:r>
      <w:r w:rsidR="006E76A9">
        <w:rPr>
          <w:szCs w:val="24"/>
        </w:rPr>
        <w:t xml:space="preserve"> get fuel</w:t>
      </w:r>
      <w:r w:rsidR="008901FD">
        <w:rPr>
          <w:szCs w:val="24"/>
        </w:rPr>
        <w:t>. However,</w:t>
      </w:r>
      <w:r w:rsidR="006E76A9">
        <w:rPr>
          <w:szCs w:val="24"/>
        </w:rPr>
        <w:t xml:space="preserve"> there </w:t>
      </w:r>
      <w:r w:rsidR="000F62F4">
        <w:rPr>
          <w:szCs w:val="24"/>
        </w:rPr>
        <w:t xml:space="preserve">are </w:t>
      </w:r>
      <w:r w:rsidR="006E76A9">
        <w:rPr>
          <w:szCs w:val="24"/>
        </w:rPr>
        <w:t xml:space="preserve">more </w:t>
      </w:r>
      <w:r w:rsidR="000F62F4">
        <w:rPr>
          <w:szCs w:val="24"/>
        </w:rPr>
        <w:t xml:space="preserve">generation </w:t>
      </w:r>
      <w:r w:rsidR="006E76A9">
        <w:rPr>
          <w:szCs w:val="24"/>
        </w:rPr>
        <w:t>resources that have been further winterized</w:t>
      </w:r>
      <w:r w:rsidR="008901FD">
        <w:rPr>
          <w:szCs w:val="24"/>
        </w:rPr>
        <w:t xml:space="preserve"> since Uri</w:t>
      </w:r>
      <w:r w:rsidR="006E76A9">
        <w:rPr>
          <w:szCs w:val="24"/>
        </w:rPr>
        <w:t xml:space="preserve"> that would </w:t>
      </w:r>
      <w:r w:rsidR="000F62F4">
        <w:rPr>
          <w:szCs w:val="24"/>
        </w:rPr>
        <w:t xml:space="preserve">still </w:t>
      </w:r>
      <w:r w:rsidR="006E76A9">
        <w:rPr>
          <w:szCs w:val="24"/>
        </w:rPr>
        <w:t xml:space="preserve">be unable to run </w:t>
      </w:r>
      <w:r w:rsidR="008901FD">
        <w:rPr>
          <w:szCs w:val="24"/>
        </w:rPr>
        <w:t xml:space="preserve">in a similar storm </w:t>
      </w:r>
      <w:r w:rsidR="00337A73">
        <w:rPr>
          <w:szCs w:val="24"/>
        </w:rPr>
        <w:t>due to</w:t>
      </w:r>
      <w:r w:rsidR="006E76A9">
        <w:rPr>
          <w:szCs w:val="24"/>
        </w:rPr>
        <w:t xml:space="preserve"> lack of fuel. As such, </w:t>
      </w:r>
      <w:r w:rsidR="00337A73">
        <w:rPr>
          <w:szCs w:val="24"/>
        </w:rPr>
        <w:t>the</w:t>
      </w:r>
      <w:r w:rsidR="006E76A9">
        <w:rPr>
          <w:szCs w:val="24"/>
        </w:rPr>
        <w:t xml:space="preserve"> more conservative posture </w:t>
      </w:r>
      <w:r w:rsidR="00337A73">
        <w:rPr>
          <w:szCs w:val="24"/>
        </w:rPr>
        <w:t xml:space="preserve">would be </w:t>
      </w:r>
      <w:r w:rsidR="006E76A9">
        <w:rPr>
          <w:szCs w:val="24"/>
        </w:rPr>
        <w:t xml:space="preserve">to procure more than 5GW. Brattle suggested approximately </w:t>
      </w:r>
      <w:r w:rsidR="008A1362">
        <w:rPr>
          <w:szCs w:val="24"/>
        </w:rPr>
        <w:t>25GW</w:t>
      </w:r>
      <w:r w:rsidR="00DA3A60">
        <w:rPr>
          <w:szCs w:val="24"/>
        </w:rPr>
        <w:t xml:space="preserve"> in order to prevent another Uri type event</w:t>
      </w:r>
      <w:r w:rsidR="006E76A9">
        <w:rPr>
          <w:szCs w:val="24"/>
        </w:rPr>
        <w:t xml:space="preserve">, which </w:t>
      </w:r>
      <w:r w:rsidR="008A1362">
        <w:rPr>
          <w:szCs w:val="24"/>
        </w:rPr>
        <w:t xml:space="preserve">represents the approximately 5GW who were unable to attain gas supply </w:t>
      </w:r>
      <w:r w:rsidR="00DA3A60">
        <w:rPr>
          <w:szCs w:val="24"/>
        </w:rPr>
        <w:t xml:space="preserve">during Uri </w:t>
      </w:r>
      <w:r w:rsidR="008A1362">
        <w:rPr>
          <w:szCs w:val="24"/>
        </w:rPr>
        <w:t>plus the 20GW</w:t>
      </w:r>
      <w:r w:rsidR="00DA3A60">
        <w:rPr>
          <w:szCs w:val="24"/>
        </w:rPr>
        <w:t xml:space="preserve"> on outage that would not have </w:t>
      </w:r>
      <w:r w:rsidR="00DA3A60">
        <w:rPr>
          <w:szCs w:val="24"/>
        </w:rPr>
        <w:lastRenderedPageBreak/>
        <w:t>been able to attain gas supply if they were running.</w:t>
      </w:r>
      <w:r w:rsidR="00DE13EC">
        <w:rPr>
          <w:rStyle w:val="FootnoteReference"/>
          <w:szCs w:val="24"/>
        </w:rPr>
        <w:footnoteReference w:id="3"/>
      </w:r>
      <w:r w:rsidR="00DA3A60">
        <w:rPr>
          <w:szCs w:val="24"/>
        </w:rPr>
        <w:t xml:space="preserve">  </w:t>
      </w:r>
      <w:r w:rsidR="000F62F4">
        <w:rPr>
          <w:szCs w:val="24"/>
        </w:rPr>
        <w:t xml:space="preserve">If this is deemed to be </w:t>
      </w:r>
      <w:r w:rsidR="006E76A9">
        <w:rPr>
          <w:szCs w:val="24"/>
        </w:rPr>
        <w:t>too costly</w:t>
      </w:r>
      <w:r w:rsidR="00DA3A60">
        <w:rPr>
          <w:szCs w:val="24"/>
        </w:rPr>
        <w:t>,</w:t>
      </w:r>
      <w:r w:rsidR="00F71356">
        <w:rPr>
          <w:szCs w:val="24"/>
        </w:rPr>
        <w:t xml:space="preserve"> TCPA recommends</w:t>
      </w:r>
      <w:r w:rsidR="00F71356" w:rsidRPr="00F71356">
        <w:rPr>
          <w:szCs w:val="24"/>
        </w:rPr>
        <w:t xml:space="preserve"> </w:t>
      </w:r>
      <w:r w:rsidR="00F71356">
        <w:rPr>
          <w:szCs w:val="24"/>
        </w:rPr>
        <w:t xml:space="preserve">a gradual increase to the optimal firm fuel procurement MW that is determined </w:t>
      </w:r>
      <w:r w:rsidR="00F71356" w:rsidRPr="008726D1">
        <w:rPr>
          <w:szCs w:val="24"/>
        </w:rPr>
        <w:t xml:space="preserve">based on </w:t>
      </w:r>
      <w:r w:rsidR="008726D1">
        <w:rPr>
          <w:szCs w:val="24"/>
        </w:rPr>
        <w:t xml:space="preserve">a </w:t>
      </w:r>
      <w:r w:rsidR="00F71356" w:rsidRPr="00CE0AC9">
        <w:t>risk analysis.</w:t>
      </w:r>
      <w:r w:rsidR="00F71356">
        <w:rPr>
          <w:szCs w:val="24"/>
        </w:rPr>
        <w:t xml:space="preserve"> </w:t>
      </w:r>
      <w:r w:rsidR="006E76A9">
        <w:rPr>
          <w:szCs w:val="24"/>
        </w:rPr>
        <w:t xml:space="preserve"> </w:t>
      </w:r>
      <w:r w:rsidR="00337A73">
        <w:rPr>
          <w:szCs w:val="24"/>
        </w:rPr>
        <w:t xml:space="preserve">TCPA recommends consideration of </w:t>
      </w:r>
      <w:r w:rsidR="006E76A9">
        <w:rPr>
          <w:szCs w:val="24"/>
        </w:rPr>
        <w:t>10-15GW</w:t>
      </w:r>
      <w:r w:rsidR="00337A73">
        <w:rPr>
          <w:szCs w:val="24"/>
        </w:rPr>
        <w:t xml:space="preserve"> as a</w:t>
      </w:r>
      <w:r w:rsidR="000F62F4">
        <w:rPr>
          <w:szCs w:val="24"/>
        </w:rPr>
        <w:t>n</w:t>
      </w:r>
      <w:r w:rsidR="00337A73">
        <w:rPr>
          <w:szCs w:val="24"/>
        </w:rPr>
        <w:t xml:space="preserve"> </w:t>
      </w:r>
      <w:r w:rsidR="000F62F4">
        <w:rPr>
          <w:szCs w:val="24"/>
        </w:rPr>
        <w:t xml:space="preserve"> initial compromise between cost and resiliency</w:t>
      </w:r>
      <w:r w:rsidR="006E76A9">
        <w:rPr>
          <w:szCs w:val="24"/>
        </w:rPr>
        <w:t xml:space="preserve">. </w:t>
      </w:r>
      <w:r w:rsidR="000F62F4">
        <w:rPr>
          <w:szCs w:val="24"/>
        </w:rPr>
        <w:t xml:space="preserve">As noted at the outset of these comments, </w:t>
      </w:r>
      <w:r w:rsidR="00C278F2">
        <w:rPr>
          <w:szCs w:val="24"/>
        </w:rPr>
        <w:t xml:space="preserve">this assumes the question is only regarding initial implementation. Over the longer term, the Commission should view this service as a means of ensuring fuel diversity and resiliency by including </w:t>
      </w:r>
      <w:r w:rsidR="00C278F2" w:rsidRPr="003167EF">
        <w:rPr>
          <w:szCs w:val="24"/>
        </w:rPr>
        <w:t xml:space="preserve">coal </w:t>
      </w:r>
      <w:r w:rsidR="00C278F2">
        <w:rPr>
          <w:szCs w:val="24"/>
        </w:rPr>
        <w:t xml:space="preserve">and </w:t>
      </w:r>
      <w:r w:rsidR="00C278F2" w:rsidRPr="003167EF">
        <w:rPr>
          <w:szCs w:val="24"/>
        </w:rPr>
        <w:t xml:space="preserve">nuclear </w:t>
      </w:r>
      <w:r w:rsidR="00C278F2">
        <w:rPr>
          <w:szCs w:val="24"/>
        </w:rPr>
        <w:t xml:space="preserve">fuel </w:t>
      </w:r>
      <w:r w:rsidR="00C278F2" w:rsidRPr="003167EF">
        <w:rPr>
          <w:szCs w:val="24"/>
        </w:rPr>
        <w:t>reserves</w:t>
      </w:r>
      <w:r w:rsidR="00C278F2">
        <w:rPr>
          <w:szCs w:val="24"/>
        </w:rPr>
        <w:t xml:space="preserve"> as well, which would support a higher target quantity.   </w:t>
      </w:r>
    </w:p>
    <w:p w14:paraId="4A3AB5B1" w14:textId="77777777" w:rsidR="006E76A9" w:rsidRDefault="006E76A9" w:rsidP="004300B1">
      <w:pPr>
        <w:pStyle w:val="ListParagraph"/>
        <w:jc w:val="both"/>
        <w:rPr>
          <w:szCs w:val="24"/>
        </w:rPr>
      </w:pPr>
    </w:p>
    <w:p w14:paraId="49591A52" w14:textId="5F1B427D" w:rsidR="006E76A9" w:rsidRPr="0069242A" w:rsidRDefault="00F71356" w:rsidP="004300B1">
      <w:pPr>
        <w:pStyle w:val="ListParagraph"/>
        <w:jc w:val="both"/>
        <w:rPr>
          <w:szCs w:val="24"/>
        </w:rPr>
      </w:pPr>
      <w:r>
        <w:rPr>
          <w:szCs w:val="24"/>
        </w:rPr>
        <w:t xml:space="preserve">A demand curve for the procurement of the product will ensure appropriate MWs are procured based on the value of the resiliency. </w:t>
      </w:r>
      <w:r w:rsidR="006E76A9">
        <w:rPr>
          <w:szCs w:val="24"/>
        </w:rPr>
        <w:t xml:space="preserve">TCPA is </w:t>
      </w:r>
      <w:r w:rsidR="008726D1">
        <w:rPr>
          <w:szCs w:val="24"/>
        </w:rPr>
        <w:t xml:space="preserve">also </w:t>
      </w:r>
      <w:r w:rsidR="006E76A9">
        <w:rPr>
          <w:szCs w:val="24"/>
        </w:rPr>
        <w:t>open to the idea of an annual cost cap</w:t>
      </w:r>
      <w:r w:rsidR="008726D1">
        <w:rPr>
          <w:szCs w:val="24"/>
        </w:rPr>
        <w:t>,</w:t>
      </w:r>
      <w:r w:rsidR="006E76A9">
        <w:rPr>
          <w:szCs w:val="24"/>
        </w:rPr>
        <w:t xml:space="preserve"> but </w:t>
      </w:r>
      <w:r w:rsidR="008726D1">
        <w:rPr>
          <w:szCs w:val="24"/>
        </w:rPr>
        <w:t xml:space="preserve">in either case </w:t>
      </w:r>
      <w:r w:rsidR="006E76A9">
        <w:rPr>
          <w:szCs w:val="24"/>
        </w:rPr>
        <w:t xml:space="preserve">would want more discussion around what </w:t>
      </w:r>
      <w:r w:rsidR="00754031">
        <w:rPr>
          <w:szCs w:val="24"/>
        </w:rPr>
        <w:t xml:space="preserve">the demand curve or cost cap </w:t>
      </w:r>
      <w:r w:rsidR="006E76A9">
        <w:rPr>
          <w:szCs w:val="24"/>
        </w:rPr>
        <w:t>should be</w:t>
      </w:r>
      <w:r w:rsidR="00754031">
        <w:rPr>
          <w:szCs w:val="24"/>
        </w:rPr>
        <w:t xml:space="preserve"> to ensure that risks are appropriately valued</w:t>
      </w:r>
      <w:r w:rsidR="006E76A9">
        <w:rPr>
          <w:szCs w:val="24"/>
        </w:rPr>
        <w:t xml:space="preserve">. </w:t>
      </w:r>
    </w:p>
    <w:p w14:paraId="7A539F84" w14:textId="77777777" w:rsidR="006E76A9" w:rsidRPr="002D1A9C" w:rsidRDefault="006E76A9" w:rsidP="006E76A9">
      <w:pPr>
        <w:pStyle w:val="ListParagraph"/>
        <w:rPr>
          <w:szCs w:val="24"/>
        </w:rPr>
      </w:pPr>
    </w:p>
    <w:p w14:paraId="751B8216" w14:textId="77777777" w:rsidR="006E76A9" w:rsidRPr="002D1A9C" w:rsidRDefault="006E76A9" w:rsidP="006E76A9">
      <w:pPr>
        <w:rPr>
          <w:b/>
          <w:bCs/>
          <w:szCs w:val="24"/>
        </w:rPr>
      </w:pPr>
      <w:r w:rsidRPr="002D1A9C">
        <w:rPr>
          <w:b/>
          <w:bCs/>
          <w:szCs w:val="24"/>
        </w:rPr>
        <w:t xml:space="preserve">Eligible Resources </w:t>
      </w:r>
    </w:p>
    <w:p w14:paraId="3B5A7F01" w14:textId="77777777" w:rsidR="006E76A9" w:rsidRPr="002D1A9C" w:rsidRDefault="006E76A9" w:rsidP="009305BA">
      <w:pPr>
        <w:pStyle w:val="ListParagraph"/>
        <w:numPr>
          <w:ilvl w:val="0"/>
          <w:numId w:val="17"/>
        </w:numPr>
        <w:jc w:val="both"/>
        <w:rPr>
          <w:b/>
          <w:bCs/>
          <w:i/>
          <w:iCs/>
          <w:szCs w:val="24"/>
        </w:rPr>
      </w:pPr>
      <w:r w:rsidRPr="002D1A9C">
        <w:rPr>
          <w:b/>
          <w:bCs/>
          <w:i/>
          <w:iCs/>
          <w:szCs w:val="24"/>
        </w:rPr>
        <w:t xml:space="preserve">What attributes should be required for a resource to be eligible to provide FFSS? </w:t>
      </w:r>
    </w:p>
    <w:p w14:paraId="19C70A54" w14:textId="77777777" w:rsidR="006E76A9" w:rsidRDefault="006E76A9" w:rsidP="006E76A9">
      <w:pPr>
        <w:pStyle w:val="ListParagraph"/>
        <w:rPr>
          <w:szCs w:val="24"/>
        </w:rPr>
      </w:pPr>
    </w:p>
    <w:p w14:paraId="03E3FE81" w14:textId="1AA13B8C" w:rsidR="006E76A9" w:rsidRDefault="00BA0DFA" w:rsidP="009305BA">
      <w:pPr>
        <w:pStyle w:val="ListParagraph"/>
        <w:jc w:val="both"/>
        <w:rPr>
          <w:szCs w:val="24"/>
        </w:rPr>
      </w:pPr>
      <w:r>
        <w:rPr>
          <w:szCs w:val="24"/>
        </w:rPr>
        <w:t>TCPA believes this p</w:t>
      </w:r>
      <w:r w:rsidR="006E76A9">
        <w:rPr>
          <w:szCs w:val="24"/>
        </w:rPr>
        <w:t xml:space="preserve">rogram should be expanded to include technologies beyond dual fuel. </w:t>
      </w:r>
      <w:r w:rsidR="00285B29">
        <w:rPr>
          <w:szCs w:val="24"/>
        </w:rPr>
        <w:t xml:space="preserve">Other options could include coal and nuclear fuel storage, and levels of service on gas pipeline and </w:t>
      </w:r>
      <w:r w:rsidR="00A27A82">
        <w:rPr>
          <w:szCs w:val="24"/>
        </w:rPr>
        <w:t xml:space="preserve">off-site </w:t>
      </w:r>
      <w:r w:rsidR="00285B29">
        <w:rPr>
          <w:szCs w:val="24"/>
        </w:rPr>
        <w:t>storage facilities</w:t>
      </w:r>
      <w:r w:rsidR="00FC4876">
        <w:rPr>
          <w:szCs w:val="24"/>
        </w:rPr>
        <w:t xml:space="preserve"> </w:t>
      </w:r>
      <w:r w:rsidR="00252D00">
        <w:rPr>
          <w:szCs w:val="24"/>
        </w:rPr>
        <w:t xml:space="preserve">should be eligible under </w:t>
      </w:r>
      <w:r w:rsidR="00FC4876">
        <w:rPr>
          <w:szCs w:val="24"/>
        </w:rPr>
        <w:t xml:space="preserve">a long-term </w:t>
      </w:r>
      <w:r w:rsidR="00252D00">
        <w:rPr>
          <w:szCs w:val="24"/>
        </w:rPr>
        <w:t>FFSS</w:t>
      </w:r>
      <w:r w:rsidR="00FC4876">
        <w:rPr>
          <w:szCs w:val="24"/>
        </w:rPr>
        <w:t xml:space="preserve"> program</w:t>
      </w:r>
      <w:r w:rsidR="006E76A9">
        <w:rPr>
          <w:szCs w:val="24"/>
        </w:rPr>
        <w:t xml:space="preserve">. </w:t>
      </w:r>
      <w:r w:rsidR="00FC4876">
        <w:rPr>
          <w:szCs w:val="24"/>
        </w:rPr>
        <w:t xml:space="preserve">The FFSS product </w:t>
      </w:r>
      <w:r w:rsidR="00DD6AC1">
        <w:rPr>
          <w:szCs w:val="24"/>
        </w:rPr>
        <w:t xml:space="preserve">could </w:t>
      </w:r>
      <w:r w:rsidR="00FC4876">
        <w:rPr>
          <w:szCs w:val="24"/>
        </w:rPr>
        <w:t xml:space="preserve">include additional requirements that </w:t>
      </w:r>
      <w:r w:rsidR="00285B29">
        <w:rPr>
          <w:szCs w:val="24"/>
        </w:rPr>
        <w:t>limit</w:t>
      </w:r>
      <w:r w:rsidR="00FC4876">
        <w:rPr>
          <w:szCs w:val="24"/>
        </w:rPr>
        <w:t xml:space="preserve"> gas suppliers from declaring force majeure on </w:t>
      </w:r>
      <w:r w:rsidR="007C0D56">
        <w:rPr>
          <w:szCs w:val="24"/>
        </w:rPr>
        <w:t xml:space="preserve">or otherwise curtailing service to </w:t>
      </w:r>
      <w:r w:rsidR="00FC4876">
        <w:rPr>
          <w:szCs w:val="24"/>
        </w:rPr>
        <w:t xml:space="preserve">FFSS resources and require weatherization of gas facilities supplying FFSS.  </w:t>
      </w:r>
      <w:r w:rsidR="00252D00">
        <w:rPr>
          <w:szCs w:val="24"/>
        </w:rPr>
        <w:t>This program should r</w:t>
      </w:r>
      <w:r w:rsidR="006E76A9">
        <w:rPr>
          <w:szCs w:val="24"/>
        </w:rPr>
        <w:t xml:space="preserve">eward </w:t>
      </w:r>
      <w:r w:rsidR="00871213">
        <w:rPr>
          <w:szCs w:val="24"/>
        </w:rPr>
        <w:t xml:space="preserve">fuel resiliency </w:t>
      </w:r>
      <w:r w:rsidR="006E76A9">
        <w:rPr>
          <w:szCs w:val="24"/>
        </w:rPr>
        <w:t xml:space="preserve">attributes </w:t>
      </w:r>
      <w:r w:rsidR="00871213">
        <w:rPr>
          <w:szCs w:val="24"/>
        </w:rPr>
        <w:t>as opposed to</w:t>
      </w:r>
      <w:r w:rsidR="006E76A9">
        <w:rPr>
          <w:szCs w:val="24"/>
        </w:rPr>
        <w:t xml:space="preserve"> penalizing </w:t>
      </w:r>
      <w:r w:rsidR="00871213">
        <w:rPr>
          <w:szCs w:val="24"/>
        </w:rPr>
        <w:t xml:space="preserve">some </w:t>
      </w:r>
      <w:r w:rsidR="006E76A9">
        <w:rPr>
          <w:szCs w:val="24"/>
        </w:rPr>
        <w:t xml:space="preserve">attributes. Coal and nuclear </w:t>
      </w:r>
      <w:r w:rsidR="00871213">
        <w:rPr>
          <w:szCs w:val="24"/>
        </w:rPr>
        <w:t xml:space="preserve">resources also </w:t>
      </w:r>
      <w:r w:rsidR="006E76A9">
        <w:rPr>
          <w:szCs w:val="24"/>
        </w:rPr>
        <w:t>have reserves of fuel onsite</w:t>
      </w:r>
      <w:r w:rsidR="00871213">
        <w:rPr>
          <w:szCs w:val="24"/>
        </w:rPr>
        <w:t>,</w:t>
      </w:r>
      <w:r w:rsidR="006E76A9">
        <w:rPr>
          <w:szCs w:val="24"/>
        </w:rPr>
        <w:t xml:space="preserve"> and SB 3</w:t>
      </w:r>
      <w:r w:rsidR="00AB13E8">
        <w:rPr>
          <w:rStyle w:val="FootnoteReference"/>
          <w:szCs w:val="24"/>
        </w:rPr>
        <w:footnoteReference w:id="4"/>
      </w:r>
      <w:r w:rsidR="006E76A9">
        <w:rPr>
          <w:szCs w:val="24"/>
        </w:rPr>
        <w:t xml:space="preserve"> clearly contemplates multiple types of resources with firm fuel capability as eligible for a firm fuel product</w:t>
      </w:r>
      <w:r w:rsidR="00AA6BA6">
        <w:rPr>
          <w:szCs w:val="24"/>
        </w:rPr>
        <w:t xml:space="preserve"> and capabilities beyond dual fuel</w:t>
      </w:r>
      <w:r w:rsidR="006E76A9">
        <w:rPr>
          <w:szCs w:val="24"/>
        </w:rPr>
        <w:t xml:space="preserve">. </w:t>
      </w:r>
      <w:r w:rsidR="00AA6BA6">
        <w:rPr>
          <w:szCs w:val="24"/>
        </w:rPr>
        <w:t xml:space="preserve">TCPA </w:t>
      </w:r>
      <w:r w:rsidR="00945CE5">
        <w:rPr>
          <w:szCs w:val="24"/>
        </w:rPr>
        <w:t xml:space="preserve">supports the inclusion of coal and nuclear resources in </w:t>
      </w:r>
      <w:r w:rsidR="006E76A9">
        <w:rPr>
          <w:szCs w:val="24"/>
        </w:rPr>
        <w:t xml:space="preserve">this product. </w:t>
      </w:r>
    </w:p>
    <w:p w14:paraId="5CA74100" w14:textId="77777777" w:rsidR="006E76A9" w:rsidRDefault="006E76A9" w:rsidP="009305BA">
      <w:pPr>
        <w:pStyle w:val="ListParagraph"/>
        <w:jc w:val="both"/>
        <w:rPr>
          <w:szCs w:val="24"/>
        </w:rPr>
      </w:pPr>
    </w:p>
    <w:p w14:paraId="1775884D" w14:textId="41BA3E15" w:rsidR="006E76A9" w:rsidRDefault="00945CE5" w:rsidP="009305BA">
      <w:pPr>
        <w:pStyle w:val="ListParagraph"/>
        <w:jc w:val="both"/>
        <w:rPr>
          <w:szCs w:val="24"/>
        </w:rPr>
      </w:pPr>
      <w:r>
        <w:rPr>
          <w:szCs w:val="24"/>
        </w:rPr>
        <w:t>In addition, TCPA recommends that w</w:t>
      </w:r>
      <w:r w:rsidR="006E76A9">
        <w:rPr>
          <w:szCs w:val="24"/>
        </w:rPr>
        <w:t xml:space="preserve">eatherization, particularly as Phase II is contemplated, </w:t>
      </w:r>
      <w:r w:rsidR="00E820A5">
        <w:rPr>
          <w:szCs w:val="24"/>
        </w:rPr>
        <w:t>be included as</w:t>
      </w:r>
      <w:r w:rsidR="006E76A9">
        <w:rPr>
          <w:szCs w:val="24"/>
        </w:rPr>
        <w:t xml:space="preserve"> a</w:t>
      </w:r>
      <w:r w:rsidR="00FC4876">
        <w:rPr>
          <w:szCs w:val="24"/>
        </w:rPr>
        <w:t>n</w:t>
      </w:r>
      <w:r w:rsidR="006E76A9">
        <w:rPr>
          <w:szCs w:val="24"/>
        </w:rPr>
        <w:t xml:space="preserve"> eligibility requirement for this product </w:t>
      </w:r>
      <w:r w:rsidR="00E820A5">
        <w:rPr>
          <w:szCs w:val="24"/>
        </w:rPr>
        <w:t>that</w:t>
      </w:r>
      <w:r w:rsidR="006E76A9">
        <w:rPr>
          <w:szCs w:val="24"/>
        </w:rPr>
        <w:t xml:space="preserve"> would </w:t>
      </w:r>
      <w:r w:rsidR="00E820A5">
        <w:rPr>
          <w:szCs w:val="24"/>
        </w:rPr>
        <w:t xml:space="preserve">also </w:t>
      </w:r>
      <w:r w:rsidR="006E76A9">
        <w:rPr>
          <w:szCs w:val="24"/>
        </w:rPr>
        <w:t>provide a mechanism to recoup costs for weatherization</w:t>
      </w:r>
      <w:r w:rsidR="00E820A5">
        <w:rPr>
          <w:szCs w:val="24"/>
        </w:rPr>
        <w:t xml:space="preserve">. To date, weatherization costs for </w:t>
      </w:r>
      <w:r w:rsidR="009305BA">
        <w:rPr>
          <w:szCs w:val="24"/>
        </w:rPr>
        <w:t>market generators</w:t>
      </w:r>
      <w:r w:rsidR="006E76A9">
        <w:rPr>
          <w:szCs w:val="24"/>
        </w:rPr>
        <w:t xml:space="preserve"> are wholly uncompensated.</w:t>
      </w:r>
    </w:p>
    <w:p w14:paraId="12FAA9A6" w14:textId="77777777" w:rsidR="006E76A9" w:rsidRPr="002D1A9C" w:rsidRDefault="006E76A9" w:rsidP="006E76A9">
      <w:pPr>
        <w:pStyle w:val="ListParagraph"/>
        <w:rPr>
          <w:szCs w:val="24"/>
        </w:rPr>
      </w:pPr>
    </w:p>
    <w:p w14:paraId="354AF735" w14:textId="77777777" w:rsidR="006E76A9" w:rsidRPr="002D1A9C" w:rsidRDefault="006E76A9" w:rsidP="009305BA">
      <w:pPr>
        <w:pStyle w:val="ListParagraph"/>
        <w:numPr>
          <w:ilvl w:val="0"/>
          <w:numId w:val="17"/>
        </w:numPr>
        <w:jc w:val="both"/>
        <w:rPr>
          <w:b/>
          <w:bCs/>
          <w:i/>
          <w:iCs/>
          <w:szCs w:val="24"/>
        </w:rPr>
      </w:pPr>
      <w:r w:rsidRPr="002D1A9C">
        <w:rPr>
          <w:b/>
          <w:bCs/>
          <w:i/>
          <w:iCs/>
          <w:szCs w:val="24"/>
        </w:rPr>
        <w:t xml:space="preserve">What should be the minimum sustained duration for an eligible resource, if not the full sustained duration? What are the advantages and disadvantages of requiring a longer minimum sustained duration for eligible resources? </w:t>
      </w:r>
    </w:p>
    <w:p w14:paraId="17FA850C" w14:textId="77777777" w:rsidR="006E76A9" w:rsidRPr="002D1A9C" w:rsidRDefault="006E76A9" w:rsidP="006E76A9">
      <w:pPr>
        <w:pStyle w:val="ListParagraph"/>
        <w:rPr>
          <w:b/>
          <w:bCs/>
          <w:i/>
          <w:iCs/>
          <w:szCs w:val="24"/>
        </w:rPr>
      </w:pPr>
    </w:p>
    <w:p w14:paraId="00CEDA35" w14:textId="483A8298" w:rsidR="006E76A9" w:rsidRPr="002D1A9C" w:rsidRDefault="009305BA" w:rsidP="009305BA">
      <w:pPr>
        <w:pStyle w:val="ListParagraph"/>
        <w:jc w:val="both"/>
        <w:rPr>
          <w:szCs w:val="24"/>
        </w:rPr>
      </w:pPr>
      <w:r>
        <w:rPr>
          <w:szCs w:val="24"/>
        </w:rPr>
        <w:t>TCPA does not have any comments beyond those provided in response to question 2.</w:t>
      </w:r>
    </w:p>
    <w:p w14:paraId="1A95C340" w14:textId="77777777" w:rsidR="006E76A9" w:rsidRPr="002D1A9C" w:rsidRDefault="006E76A9" w:rsidP="006E76A9">
      <w:pPr>
        <w:rPr>
          <w:b/>
          <w:bCs/>
          <w:szCs w:val="24"/>
        </w:rPr>
      </w:pPr>
      <w:r w:rsidRPr="002D1A9C">
        <w:rPr>
          <w:b/>
          <w:bCs/>
          <w:szCs w:val="24"/>
        </w:rPr>
        <w:lastRenderedPageBreak/>
        <w:t xml:space="preserve">Procurement Price </w:t>
      </w:r>
    </w:p>
    <w:p w14:paraId="7E70373A" w14:textId="77777777" w:rsidR="006E76A9" w:rsidRDefault="006E76A9" w:rsidP="009D1F8E">
      <w:pPr>
        <w:pStyle w:val="ListParagraph"/>
        <w:numPr>
          <w:ilvl w:val="0"/>
          <w:numId w:val="17"/>
        </w:numPr>
        <w:jc w:val="both"/>
        <w:rPr>
          <w:b/>
          <w:bCs/>
          <w:i/>
          <w:iCs/>
          <w:szCs w:val="24"/>
        </w:rPr>
      </w:pPr>
      <w:r w:rsidRPr="002D1A9C">
        <w:rPr>
          <w:b/>
          <w:bCs/>
          <w:i/>
          <w:iCs/>
          <w:szCs w:val="24"/>
        </w:rPr>
        <w:t xml:space="preserve">How should the price awarded to each Firm Fuel Supply Service Resource (FFSSR) be determined? </w:t>
      </w:r>
    </w:p>
    <w:p w14:paraId="5FB1FBF3" w14:textId="06175BAD" w:rsidR="00F71356" w:rsidRPr="003000EB" w:rsidRDefault="006E76A9" w:rsidP="00F71356">
      <w:pPr>
        <w:ind w:left="720"/>
        <w:jc w:val="both"/>
        <w:rPr>
          <w:szCs w:val="24"/>
        </w:rPr>
      </w:pPr>
      <w:r>
        <w:rPr>
          <w:szCs w:val="24"/>
        </w:rPr>
        <w:t xml:space="preserve">If </w:t>
      </w:r>
      <w:r w:rsidR="00213848">
        <w:rPr>
          <w:szCs w:val="24"/>
        </w:rPr>
        <w:t xml:space="preserve">the </w:t>
      </w:r>
      <w:r w:rsidR="005321F8">
        <w:rPr>
          <w:szCs w:val="24"/>
        </w:rPr>
        <w:t>Commission</w:t>
      </w:r>
      <w:r>
        <w:rPr>
          <w:szCs w:val="24"/>
        </w:rPr>
        <w:t xml:space="preserve"> </w:t>
      </w:r>
      <w:r w:rsidR="005321F8">
        <w:rPr>
          <w:szCs w:val="24"/>
        </w:rPr>
        <w:t>adopts</w:t>
      </w:r>
      <w:r>
        <w:rPr>
          <w:szCs w:val="24"/>
        </w:rPr>
        <w:t xml:space="preserve"> a system-wide clearing price, a transparent price signal </w:t>
      </w:r>
      <w:r w:rsidR="005321F8">
        <w:rPr>
          <w:szCs w:val="24"/>
        </w:rPr>
        <w:t xml:space="preserve">would be </w:t>
      </w:r>
      <w:r>
        <w:rPr>
          <w:szCs w:val="24"/>
        </w:rPr>
        <w:t xml:space="preserve">sent to the market to indicate a need for new investment in this product. </w:t>
      </w:r>
      <w:r w:rsidR="006C2466">
        <w:rPr>
          <w:szCs w:val="24"/>
        </w:rPr>
        <w:t>However, i</w:t>
      </w:r>
      <w:r>
        <w:rPr>
          <w:szCs w:val="24"/>
        </w:rPr>
        <w:t xml:space="preserve">f different types of fuel reserves are providing </w:t>
      </w:r>
      <w:r w:rsidR="006C2466">
        <w:rPr>
          <w:szCs w:val="24"/>
        </w:rPr>
        <w:t>FFSS</w:t>
      </w:r>
      <w:r>
        <w:rPr>
          <w:szCs w:val="24"/>
        </w:rPr>
        <w:t xml:space="preserve">, </w:t>
      </w:r>
      <w:r w:rsidR="00FE1948">
        <w:rPr>
          <w:szCs w:val="24"/>
        </w:rPr>
        <w:t>that</w:t>
      </w:r>
      <w:r>
        <w:rPr>
          <w:szCs w:val="24"/>
        </w:rPr>
        <w:t xml:space="preserve"> will diversify sources </w:t>
      </w:r>
      <w:r w:rsidR="00FE1948">
        <w:rPr>
          <w:szCs w:val="24"/>
        </w:rPr>
        <w:t xml:space="preserve">but may </w:t>
      </w:r>
      <w:r w:rsidR="00294460">
        <w:rPr>
          <w:szCs w:val="24"/>
        </w:rPr>
        <w:t xml:space="preserve">result in </w:t>
      </w:r>
      <w:r w:rsidR="00100326">
        <w:rPr>
          <w:szCs w:val="24"/>
        </w:rPr>
        <w:t xml:space="preserve">cheaper types of firm fuel overwhelming the market and crowding out of the market </w:t>
      </w:r>
      <w:r w:rsidR="00FC4876">
        <w:rPr>
          <w:szCs w:val="24"/>
        </w:rPr>
        <w:t xml:space="preserve">for </w:t>
      </w:r>
      <w:r w:rsidR="00100326">
        <w:rPr>
          <w:szCs w:val="24"/>
        </w:rPr>
        <w:t xml:space="preserve">more expensive but very needed </w:t>
      </w:r>
      <w:r w:rsidR="00973B17">
        <w:rPr>
          <w:szCs w:val="24"/>
        </w:rPr>
        <w:t xml:space="preserve">other </w:t>
      </w:r>
      <w:r w:rsidR="00100326">
        <w:rPr>
          <w:szCs w:val="24"/>
        </w:rPr>
        <w:t xml:space="preserve">types of firm fuel. To ensure this does not occur, </w:t>
      </w:r>
      <w:r w:rsidR="00F91F43">
        <w:rPr>
          <w:szCs w:val="24"/>
        </w:rPr>
        <w:t>T</w:t>
      </w:r>
      <w:r w:rsidR="009D1F8E">
        <w:rPr>
          <w:szCs w:val="24"/>
        </w:rPr>
        <w:t xml:space="preserve">CPA recommends </w:t>
      </w:r>
      <w:r w:rsidR="006B260B">
        <w:rPr>
          <w:szCs w:val="24"/>
        </w:rPr>
        <w:t>a</w:t>
      </w:r>
      <w:r>
        <w:rPr>
          <w:szCs w:val="24"/>
        </w:rPr>
        <w:t xml:space="preserve"> system-wide clearing price for each type of firm fuel</w:t>
      </w:r>
      <w:r w:rsidR="009D1F8E">
        <w:rPr>
          <w:szCs w:val="24"/>
        </w:rPr>
        <w:t xml:space="preserve"> be </w:t>
      </w:r>
      <w:r w:rsidR="008726D1">
        <w:rPr>
          <w:szCs w:val="24"/>
        </w:rPr>
        <w:t xml:space="preserve">considered </w:t>
      </w:r>
      <w:r w:rsidR="00F71356" w:rsidRPr="00F71356">
        <w:rPr>
          <w:szCs w:val="24"/>
        </w:rPr>
        <w:t xml:space="preserve">if </w:t>
      </w:r>
      <w:r w:rsidR="005B7F85">
        <w:rPr>
          <w:szCs w:val="24"/>
        </w:rPr>
        <w:t>the C</w:t>
      </w:r>
      <w:r w:rsidR="00F71356" w:rsidRPr="00F71356">
        <w:rPr>
          <w:szCs w:val="24"/>
        </w:rPr>
        <w:t>ommission desires to procure min</w:t>
      </w:r>
      <w:r w:rsidR="008726D1">
        <w:rPr>
          <w:szCs w:val="24"/>
        </w:rPr>
        <w:t>imum</w:t>
      </w:r>
      <w:r w:rsidR="00F71356" w:rsidRPr="00F71356">
        <w:rPr>
          <w:szCs w:val="24"/>
        </w:rPr>
        <w:t xml:space="preserve"> MW from different type</w:t>
      </w:r>
      <w:r w:rsidR="008726D1">
        <w:rPr>
          <w:szCs w:val="24"/>
        </w:rPr>
        <w:t>s</w:t>
      </w:r>
      <w:r w:rsidR="00F71356" w:rsidRPr="00F71356">
        <w:rPr>
          <w:szCs w:val="24"/>
        </w:rPr>
        <w:t xml:space="preserve"> of firm fuel</w:t>
      </w:r>
      <w:r w:rsidR="00F71356">
        <w:rPr>
          <w:szCs w:val="24"/>
        </w:rPr>
        <w:t xml:space="preserve">. </w:t>
      </w:r>
    </w:p>
    <w:p w14:paraId="53354CCB" w14:textId="77777777" w:rsidR="006E76A9" w:rsidRPr="002D1A9C" w:rsidRDefault="006E76A9" w:rsidP="006E76A9">
      <w:pPr>
        <w:pStyle w:val="ListParagraph"/>
        <w:rPr>
          <w:i/>
          <w:iCs/>
          <w:szCs w:val="24"/>
        </w:rPr>
      </w:pPr>
    </w:p>
    <w:p w14:paraId="3ECFEC73" w14:textId="77777777" w:rsidR="006E76A9" w:rsidRDefault="006E76A9" w:rsidP="00484654">
      <w:pPr>
        <w:pStyle w:val="ListParagraph"/>
        <w:numPr>
          <w:ilvl w:val="0"/>
          <w:numId w:val="18"/>
        </w:numPr>
        <w:jc w:val="both"/>
        <w:rPr>
          <w:b/>
          <w:bCs/>
          <w:i/>
          <w:iCs/>
          <w:szCs w:val="24"/>
        </w:rPr>
      </w:pPr>
      <w:r w:rsidRPr="002D1A9C">
        <w:rPr>
          <w:b/>
          <w:bCs/>
          <w:i/>
          <w:iCs/>
          <w:szCs w:val="24"/>
        </w:rPr>
        <w:t xml:space="preserve">Should there be a single clearing price for all FFSSRs or should the price awarded equal the amount bid by each FFSSR? </w:t>
      </w:r>
    </w:p>
    <w:p w14:paraId="49AED669" w14:textId="77777777" w:rsidR="006E76A9" w:rsidRDefault="006E76A9" w:rsidP="006E76A9">
      <w:pPr>
        <w:pStyle w:val="ListParagraph"/>
        <w:rPr>
          <w:szCs w:val="24"/>
        </w:rPr>
      </w:pPr>
    </w:p>
    <w:p w14:paraId="536463CB" w14:textId="6F23C8D4" w:rsidR="006E76A9" w:rsidRPr="00987D9B" w:rsidRDefault="006E76A9" w:rsidP="00484654">
      <w:pPr>
        <w:pStyle w:val="ListParagraph"/>
        <w:jc w:val="both"/>
        <w:rPr>
          <w:szCs w:val="24"/>
        </w:rPr>
      </w:pPr>
      <w:r>
        <w:rPr>
          <w:szCs w:val="24"/>
        </w:rPr>
        <w:t>TCPA believes that this product should evolve into a system-wide clearing price.</w:t>
      </w:r>
      <w:r w:rsidR="008726D1">
        <w:rPr>
          <w:szCs w:val="24"/>
        </w:rPr>
        <w:t xml:space="preserve"> System-wide clearing prices provide the most transparent price signal to the market and therefore is best for coordinating investment decisions across diverse market participants.</w:t>
      </w:r>
      <w:r>
        <w:rPr>
          <w:szCs w:val="24"/>
        </w:rPr>
        <w:t xml:space="preserve"> </w:t>
      </w:r>
      <w:r w:rsidR="00FD2538">
        <w:rPr>
          <w:szCs w:val="24"/>
        </w:rPr>
        <w:t xml:space="preserve"> The c</w:t>
      </w:r>
      <w:r w:rsidR="00FD2538" w:rsidRPr="00FD2538">
        <w:rPr>
          <w:szCs w:val="24"/>
        </w:rPr>
        <w:t>ommission should review the need for min</w:t>
      </w:r>
      <w:r w:rsidR="00FD2538">
        <w:rPr>
          <w:szCs w:val="24"/>
        </w:rPr>
        <w:t>imum</w:t>
      </w:r>
      <w:r w:rsidR="00FD2538" w:rsidRPr="00FD2538">
        <w:rPr>
          <w:szCs w:val="24"/>
        </w:rPr>
        <w:t xml:space="preserve"> MW </w:t>
      </w:r>
      <w:r w:rsidR="00FD2538">
        <w:rPr>
          <w:szCs w:val="24"/>
        </w:rPr>
        <w:t xml:space="preserve">procurement </w:t>
      </w:r>
      <w:r w:rsidR="00FD2538" w:rsidRPr="00FD2538">
        <w:rPr>
          <w:szCs w:val="24"/>
        </w:rPr>
        <w:t>from different type of firm fuel to ensure fuel diversity</w:t>
      </w:r>
      <w:r w:rsidR="00FD2538">
        <w:rPr>
          <w:szCs w:val="24"/>
        </w:rPr>
        <w:t>.</w:t>
      </w:r>
      <w:r w:rsidR="00FD2538" w:rsidRPr="00FD2538">
        <w:rPr>
          <w:szCs w:val="24"/>
        </w:rPr>
        <w:t xml:space="preserve"> </w:t>
      </w:r>
      <w:r w:rsidR="00FD2538">
        <w:rPr>
          <w:szCs w:val="24"/>
        </w:rPr>
        <w:t>If that is established, then</w:t>
      </w:r>
      <w:r w:rsidR="009D1F8E">
        <w:rPr>
          <w:szCs w:val="24"/>
        </w:rPr>
        <w:t xml:space="preserve"> </w:t>
      </w:r>
      <w:r w:rsidR="00484654">
        <w:rPr>
          <w:szCs w:val="24"/>
        </w:rPr>
        <w:t>d</w:t>
      </w:r>
      <w:r>
        <w:rPr>
          <w:szCs w:val="24"/>
        </w:rPr>
        <w:t xml:space="preserve">ifferent fuel types </w:t>
      </w:r>
      <w:r w:rsidR="008726D1">
        <w:rPr>
          <w:szCs w:val="24"/>
        </w:rPr>
        <w:t>c</w:t>
      </w:r>
      <w:r>
        <w:rPr>
          <w:szCs w:val="24"/>
        </w:rPr>
        <w:t xml:space="preserve">ould have different </w:t>
      </w:r>
      <w:r w:rsidR="00FD2538">
        <w:rPr>
          <w:szCs w:val="24"/>
        </w:rPr>
        <w:t xml:space="preserve"> clearing price</w:t>
      </w:r>
      <w:r w:rsidR="008726D1">
        <w:rPr>
          <w:szCs w:val="24"/>
        </w:rPr>
        <w:t>s</w:t>
      </w:r>
      <w:r w:rsidR="00FD2538">
        <w:rPr>
          <w:szCs w:val="24"/>
        </w:rPr>
        <w:t xml:space="preserve"> </w:t>
      </w:r>
      <w:r>
        <w:rPr>
          <w:szCs w:val="24"/>
        </w:rPr>
        <w:t xml:space="preserve">to ensure </w:t>
      </w:r>
      <w:r w:rsidR="00FD2538">
        <w:rPr>
          <w:szCs w:val="24"/>
        </w:rPr>
        <w:t xml:space="preserve">correct price signals are sent to incentivize </w:t>
      </w:r>
      <w:r>
        <w:rPr>
          <w:szCs w:val="24"/>
        </w:rPr>
        <w:t xml:space="preserve">diversity of </w:t>
      </w:r>
      <w:r w:rsidR="00484654">
        <w:rPr>
          <w:szCs w:val="24"/>
        </w:rPr>
        <w:t xml:space="preserve">firm </w:t>
      </w:r>
      <w:r>
        <w:rPr>
          <w:szCs w:val="24"/>
        </w:rPr>
        <w:t xml:space="preserve">fuel supply </w:t>
      </w:r>
      <w:r w:rsidR="00484654">
        <w:rPr>
          <w:szCs w:val="24"/>
        </w:rPr>
        <w:t>i</w:t>
      </w:r>
      <w:r w:rsidR="00FD2538">
        <w:rPr>
          <w:szCs w:val="24"/>
        </w:rPr>
        <w:t>n</w:t>
      </w:r>
      <w:r w:rsidR="00484654">
        <w:rPr>
          <w:szCs w:val="24"/>
        </w:rPr>
        <w:t xml:space="preserve"> </w:t>
      </w:r>
      <w:r>
        <w:rPr>
          <w:szCs w:val="24"/>
        </w:rPr>
        <w:t>awarded contracts.</w:t>
      </w:r>
    </w:p>
    <w:p w14:paraId="4D5540EE" w14:textId="77777777" w:rsidR="006E76A9" w:rsidRPr="002D1A9C" w:rsidRDefault="006E76A9" w:rsidP="006E76A9">
      <w:pPr>
        <w:pStyle w:val="ListParagraph"/>
        <w:rPr>
          <w:szCs w:val="24"/>
        </w:rPr>
      </w:pPr>
    </w:p>
    <w:p w14:paraId="5AA8D0A9" w14:textId="77777777" w:rsidR="006E76A9" w:rsidRPr="002D1A9C" w:rsidRDefault="006E76A9" w:rsidP="00484654">
      <w:pPr>
        <w:pStyle w:val="ListParagraph"/>
        <w:numPr>
          <w:ilvl w:val="0"/>
          <w:numId w:val="18"/>
        </w:numPr>
        <w:jc w:val="both"/>
        <w:rPr>
          <w:b/>
          <w:bCs/>
          <w:i/>
          <w:iCs/>
          <w:szCs w:val="24"/>
        </w:rPr>
      </w:pPr>
      <w:r w:rsidRPr="002D1A9C">
        <w:rPr>
          <w:b/>
          <w:bCs/>
          <w:i/>
          <w:iCs/>
          <w:szCs w:val="24"/>
        </w:rPr>
        <w:t>Should the price awarded to each FFSSR vary depending on the characteristics of the FFFSR?</w:t>
      </w:r>
    </w:p>
    <w:p w14:paraId="1959DA4F" w14:textId="77777777" w:rsidR="006E76A9" w:rsidRPr="002D1A9C" w:rsidRDefault="006E76A9" w:rsidP="006E76A9">
      <w:pPr>
        <w:pStyle w:val="ListParagraph"/>
        <w:rPr>
          <w:b/>
          <w:bCs/>
          <w:i/>
          <w:iCs/>
          <w:szCs w:val="24"/>
        </w:rPr>
      </w:pPr>
    </w:p>
    <w:p w14:paraId="2718C64B" w14:textId="2D19A718" w:rsidR="006E76A9" w:rsidRPr="002D1A9C" w:rsidRDefault="00FA3DBC" w:rsidP="008D20D0">
      <w:pPr>
        <w:pStyle w:val="ListParagraph"/>
        <w:jc w:val="both"/>
        <w:rPr>
          <w:szCs w:val="24"/>
        </w:rPr>
      </w:pPr>
      <w:r>
        <w:rPr>
          <w:szCs w:val="24"/>
        </w:rPr>
        <w:t>Awarding prices based on individual characteristics of a resource is not ideal</w:t>
      </w:r>
      <w:r w:rsidR="00720DB6">
        <w:rPr>
          <w:szCs w:val="24"/>
        </w:rPr>
        <w:t xml:space="preserve"> and is an inefficient structure. </w:t>
      </w:r>
      <w:r w:rsidR="006E76A9">
        <w:rPr>
          <w:szCs w:val="24"/>
        </w:rPr>
        <w:t xml:space="preserve">If </w:t>
      </w:r>
      <w:r w:rsidR="00720DB6">
        <w:rPr>
          <w:szCs w:val="24"/>
        </w:rPr>
        <w:t xml:space="preserve">such a system is </w:t>
      </w:r>
      <w:r w:rsidR="006E76A9">
        <w:rPr>
          <w:szCs w:val="24"/>
        </w:rPr>
        <w:t xml:space="preserve">required for initial implementation, </w:t>
      </w:r>
      <w:r w:rsidR="006756ED">
        <w:rPr>
          <w:szCs w:val="24"/>
        </w:rPr>
        <w:t>the Commission s</w:t>
      </w:r>
      <w:r w:rsidR="006E76A9">
        <w:rPr>
          <w:szCs w:val="24"/>
        </w:rPr>
        <w:t xml:space="preserve">hould </w:t>
      </w:r>
      <w:r w:rsidR="006756ED">
        <w:rPr>
          <w:szCs w:val="24"/>
        </w:rPr>
        <w:t xml:space="preserve">commit to a timeframe in which </w:t>
      </w:r>
      <w:r w:rsidR="007A495E">
        <w:rPr>
          <w:szCs w:val="24"/>
        </w:rPr>
        <w:t xml:space="preserve">prices awarded will </w:t>
      </w:r>
      <w:r w:rsidR="006E76A9">
        <w:rPr>
          <w:szCs w:val="24"/>
        </w:rPr>
        <w:t>evolve to a single clearing price</w:t>
      </w:r>
      <w:r w:rsidR="00973B17">
        <w:rPr>
          <w:szCs w:val="24"/>
        </w:rPr>
        <w:t>, at least insofar as FFSSRs are comparable</w:t>
      </w:r>
      <w:r w:rsidR="006E76A9">
        <w:rPr>
          <w:szCs w:val="24"/>
        </w:rPr>
        <w:t xml:space="preserve">. </w:t>
      </w:r>
      <w:r w:rsidR="007A495E">
        <w:rPr>
          <w:szCs w:val="24"/>
        </w:rPr>
        <w:t>While the q</w:t>
      </w:r>
      <w:r w:rsidR="006E76A9">
        <w:rPr>
          <w:szCs w:val="24"/>
        </w:rPr>
        <w:t xml:space="preserve">uantities </w:t>
      </w:r>
      <w:r w:rsidR="007A495E">
        <w:rPr>
          <w:szCs w:val="24"/>
        </w:rPr>
        <w:t xml:space="preserve">of resources procured </w:t>
      </w:r>
      <w:r w:rsidR="006E76A9">
        <w:rPr>
          <w:szCs w:val="24"/>
        </w:rPr>
        <w:t>should vary based on performance attributes</w:t>
      </w:r>
      <w:r w:rsidR="008D20D0">
        <w:rPr>
          <w:szCs w:val="24"/>
        </w:rPr>
        <w:t>,</w:t>
      </w:r>
      <w:r w:rsidR="006E76A9">
        <w:rPr>
          <w:szCs w:val="24"/>
        </w:rPr>
        <w:t xml:space="preserve"> </w:t>
      </w:r>
      <w:r w:rsidR="008D20D0">
        <w:rPr>
          <w:szCs w:val="24"/>
        </w:rPr>
        <w:t>TCPA believes the</w:t>
      </w:r>
      <w:r w:rsidR="006E76A9">
        <w:rPr>
          <w:szCs w:val="24"/>
        </w:rPr>
        <w:t xml:space="preserve"> price should be as uniform as possible. </w:t>
      </w:r>
    </w:p>
    <w:p w14:paraId="02C96446" w14:textId="77777777" w:rsidR="006E76A9" w:rsidRDefault="006E76A9" w:rsidP="00275B3F">
      <w:pPr>
        <w:spacing w:line="360" w:lineRule="auto"/>
        <w:ind w:firstLine="720"/>
        <w:jc w:val="both"/>
        <w:rPr>
          <w:szCs w:val="24"/>
        </w:rPr>
      </w:pPr>
    </w:p>
    <w:p w14:paraId="39734129" w14:textId="54BA1581" w:rsidR="00275B3F" w:rsidRPr="00F75B6B" w:rsidRDefault="00275B3F" w:rsidP="00275B3F">
      <w:pPr>
        <w:spacing w:line="360" w:lineRule="auto"/>
        <w:ind w:firstLine="720"/>
        <w:jc w:val="both"/>
        <w:rPr>
          <w:szCs w:val="24"/>
        </w:rPr>
      </w:pPr>
      <w:r w:rsidRPr="00F75B6B">
        <w:rPr>
          <w:szCs w:val="24"/>
        </w:rPr>
        <w:t xml:space="preserve">Dated:  </w:t>
      </w:r>
      <w:r w:rsidR="006E76A9">
        <w:rPr>
          <w:szCs w:val="24"/>
        </w:rPr>
        <w:t>March 21, 2022</w:t>
      </w:r>
    </w:p>
    <w:p w14:paraId="159781D0" w14:textId="77777777" w:rsidR="00275B3F" w:rsidRPr="00F75B6B" w:rsidRDefault="00275B3F" w:rsidP="00275B3F">
      <w:pPr>
        <w:spacing w:after="0" w:line="480" w:lineRule="auto"/>
        <w:ind w:left="3600" w:firstLine="720"/>
        <w:jc w:val="both"/>
        <w:rPr>
          <w:szCs w:val="24"/>
        </w:rPr>
      </w:pPr>
      <w:r w:rsidRPr="00F75B6B">
        <w:rPr>
          <w:szCs w:val="24"/>
        </w:rPr>
        <w:t>Respectfully submitted,</w:t>
      </w:r>
    </w:p>
    <w:p w14:paraId="705BB9B6" w14:textId="77777777" w:rsidR="00275B3F" w:rsidRPr="00F75B6B" w:rsidRDefault="00275B3F" w:rsidP="00275B3F">
      <w:pPr>
        <w:spacing w:after="0" w:line="240" w:lineRule="auto"/>
        <w:ind w:left="3600" w:firstLine="720"/>
        <w:jc w:val="both"/>
        <w:rPr>
          <w:szCs w:val="24"/>
        </w:rPr>
      </w:pPr>
    </w:p>
    <w:p w14:paraId="09F08151" w14:textId="79FC7415" w:rsidR="00275B3F" w:rsidRPr="00F75B6B" w:rsidRDefault="00014B0B" w:rsidP="00275B3F">
      <w:pPr>
        <w:spacing w:after="0" w:line="240" w:lineRule="auto"/>
        <w:ind w:left="3600" w:firstLine="720"/>
        <w:jc w:val="both"/>
        <w:rPr>
          <w:szCs w:val="24"/>
        </w:rPr>
      </w:pPr>
      <w:r>
        <w:rPr>
          <w:noProof/>
          <w:szCs w:val="24"/>
        </w:rPr>
        <w:lastRenderedPageBreak/>
        <w:drawing>
          <wp:inline distT="0" distB="0" distL="0" distR="0" wp14:anchorId="64FE4EB3" wp14:editId="25C271F1">
            <wp:extent cx="2406774" cy="527077"/>
            <wp:effectExtent l="0" t="0" r="0" b="635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06774" cy="527077"/>
                    </a:xfrm>
                    <a:prstGeom prst="rect">
                      <a:avLst/>
                    </a:prstGeom>
                  </pic:spPr>
                </pic:pic>
              </a:graphicData>
            </a:graphic>
          </wp:inline>
        </w:drawing>
      </w:r>
    </w:p>
    <w:p w14:paraId="6A9DC030" w14:textId="5C42ED9D" w:rsidR="00275B3F" w:rsidRPr="00F75B6B" w:rsidRDefault="00275B3F" w:rsidP="00275B3F">
      <w:pPr>
        <w:tabs>
          <w:tab w:val="left" w:pos="4320"/>
        </w:tabs>
        <w:spacing w:after="0" w:line="240" w:lineRule="auto"/>
        <w:ind w:right="-540"/>
        <w:rPr>
          <w:rFonts w:eastAsia="Times New Roman"/>
          <w:szCs w:val="24"/>
        </w:rPr>
      </w:pPr>
      <w:r w:rsidRPr="00F75B6B">
        <w:rPr>
          <w:rFonts w:eastAsia="Times New Roman"/>
          <w:szCs w:val="24"/>
        </w:rPr>
        <w:tab/>
        <w:t>______</w:t>
      </w:r>
      <w:r w:rsidR="009D4461">
        <w:rPr>
          <w:rFonts w:eastAsia="Times New Roman"/>
          <w:szCs w:val="24"/>
        </w:rPr>
        <w:t>_____________</w:t>
      </w:r>
      <w:r w:rsidRPr="00F75B6B">
        <w:rPr>
          <w:rFonts w:eastAsia="Times New Roman"/>
          <w:szCs w:val="24"/>
        </w:rPr>
        <w:t>__________</w:t>
      </w:r>
    </w:p>
    <w:p w14:paraId="40E2E161" w14:textId="77777777" w:rsidR="00275B3F" w:rsidRPr="00F75B6B" w:rsidRDefault="00275B3F" w:rsidP="00275B3F">
      <w:pPr>
        <w:spacing w:after="0" w:line="240" w:lineRule="auto"/>
        <w:ind w:firstLine="720"/>
        <w:outlineLvl w:val="0"/>
        <w:rPr>
          <w:rFonts w:eastAsia="Times New Roman"/>
          <w:szCs w:val="24"/>
        </w:rPr>
      </w:pPr>
      <w:r w:rsidRPr="00F75B6B">
        <w:rPr>
          <w:rFonts w:eastAsia="Times New Roman"/>
          <w:szCs w:val="24"/>
        </w:rPr>
        <w:tab/>
      </w:r>
      <w:r w:rsidRPr="00F75B6B">
        <w:rPr>
          <w:rFonts w:eastAsia="Times New Roman"/>
          <w:szCs w:val="24"/>
        </w:rPr>
        <w:tab/>
      </w:r>
      <w:r w:rsidRPr="00F75B6B">
        <w:rPr>
          <w:rFonts w:eastAsia="Times New Roman"/>
          <w:szCs w:val="24"/>
        </w:rPr>
        <w:tab/>
      </w:r>
      <w:r w:rsidRPr="00F75B6B">
        <w:rPr>
          <w:rFonts w:eastAsia="Times New Roman"/>
          <w:szCs w:val="24"/>
        </w:rPr>
        <w:tab/>
      </w:r>
      <w:r w:rsidRPr="00F75B6B">
        <w:rPr>
          <w:rFonts w:eastAsia="Times New Roman"/>
          <w:szCs w:val="24"/>
        </w:rPr>
        <w:tab/>
        <w:t>Michele Richmond</w:t>
      </w:r>
    </w:p>
    <w:p w14:paraId="5AED2E50" w14:textId="77777777" w:rsidR="00275B3F" w:rsidRPr="00F75B6B" w:rsidRDefault="00275B3F" w:rsidP="00275B3F">
      <w:pPr>
        <w:spacing w:after="0" w:line="240" w:lineRule="auto"/>
        <w:ind w:firstLine="720"/>
        <w:outlineLvl w:val="0"/>
        <w:rPr>
          <w:rFonts w:eastAsia="Times New Roman"/>
          <w:szCs w:val="24"/>
        </w:rPr>
      </w:pPr>
      <w:r w:rsidRPr="00F75B6B">
        <w:rPr>
          <w:rFonts w:eastAsia="Times New Roman"/>
          <w:szCs w:val="24"/>
        </w:rPr>
        <w:tab/>
      </w:r>
      <w:r w:rsidRPr="00F75B6B">
        <w:rPr>
          <w:rFonts w:eastAsia="Times New Roman"/>
          <w:szCs w:val="24"/>
        </w:rPr>
        <w:tab/>
      </w:r>
      <w:r w:rsidRPr="00F75B6B">
        <w:rPr>
          <w:rFonts w:eastAsia="Times New Roman"/>
          <w:szCs w:val="24"/>
        </w:rPr>
        <w:tab/>
      </w:r>
      <w:r w:rsidRPr="00F75B6B">
        <w:rPr>
          <w:rFonts w:eastAsia="Times New Roman"/>
          <w:szCs w:val="24"/>
        </w:rPr>
        <w:tab/>
      </w:r>
      <w:r w:rsidRPr="00F75B6B">
        <w:rPr>
          <w:rFonts w:eastAsia="Times New Roman"/>
          <w:szCs w:val="24"/>
        </w:rPr>
        <w:tab/>
        <w:t>Executive Director</w:t>
      </w:r>
    </w:p>
    <w:p w14:paraId="5816985D" w14:textId="77777777" w:rsidR="00275B3F" w:rsidRPr="00F75B6B" w:rsidRDefault="00275B3F" w:rsidP="00275B3F">
      <w:pPr>
        <w:spacing w:after="0" w:line="240" w:lineRule="auto"/>
        <w:ind w:firstLine="720"/>
        <w:outlineLvl w:val="0"/>
        <w:rPr>
          <w:rFonts w:eastAsia="Times New Roman"/>
          <w:szCs w:val="24"/>
        </w:rPr>
      </w:pPr>
      <w:r w:rsidRPr="00F75B6B">
        <w:rPr>
          <w:rFonts w:eastAsia="Times New Roman"/>
          <w:szCs w:val="24"/>
        </w:rPr>
        <w:tab/>
      </w:r>
      <w:r w:rsidRPr="00F75B6B">
        <w:rPr>
          <w:rFonts w:eastAsia="Times New Roman"/>
          <w:szCs w:val="24"/>
        </w:rPr>
        <w:tab/>
      </w:r>
      <w:r w:rsidRPr="00F75B6B">
        <w:rPr>
          <w:rFonts w:eastAsia="Times New Roman"/>
          <w:szCs w:val="24"/>
        </w:rPr>
        <w:tab/>
      </w:r>
      <w:r w:rsidRPr="00F75B6B">
        <w:rPr>
          <w:rFonts w:eastAsia="Times New Roman"/>
          <w:szCs w:val="24"/>
        </w:rPr>
        <w:tab/>
      </w:r>
      <w:r w:rsidRPr="00F75B6B">
        <w:rPr>
          <w:rFonts w:eastAsia="Times New Roman"/>
          <w:szCs w:val="24"/>
        </w:rPr>
        <w:tab/>
        <w:t>Texas Competitive Power Advocates (TCPA)</w:t>
      </w:r>
    </w:p>
    <w:p w14:paraId="76322E1C" w14:textId="014A47D9" w:rsidR="00F93852" w:rsidRDefault="00275B3F" w:rsidP="00A959D9">
      <w:pPr>
        <w:spacing w:after="0" w:line="240" w:lineRule="auto"/>
        <w:ind w:left="4320"/>
        <w:outlineLvl w:val="0"/>
      </w:pPr>
      <w:r w:rsidRPr="00F75B6B">
        <w:rPr>
          <w:rFonts w:eastAsia="Times New Roman"/>
          <w:szCs w:val="24"/>
        </w:rPr>
        <w:t>(512) 653-7447</w:t>
      </w:r>
      <w:r w:rsidRPr="00F75B6B">
        <w:rPr>
          <w:rFonts w:eastAsia="Times New Roman"/>
          <w:szCs w:val="24"/>
        </w:rPr>
        <w:tab/>
      </w:r>
      <w:r w:rsidRPr="00F75B6B">
        <w:rPr>
          <w:rFonts w:eastAsia="Times New Roman"/>
          <w:szCs w:val="24"/>
        </w:rPr>
        <w:tab/>
      </w:r>
      <w:r w:rsidRPr="00F75B6B">
        <w:rPr>
          <w:rFonts w:eastAsia="Times New Roman"/>
          <w:szCs w:val="24"/>
        </w:rPr>
        <w:tab/>
      </w:r>
      <w:r w:rsidRPr="00F75B6B">
        <w:rPr>
          <w:rFonts w:eastAsia="Times New Roman"/>
          <w:szCs w:val="24"/>
        </w:rPr>
        <w:tab/>
      </w:r>
      <w:r w:rsidRPr="00F75B6B">
        <w:rPr>
          <w:rFonts w:eastAsia="Times New Roman"/>
          <w:szCs w:val="24"/>
        </w:rPr>
        <w:tab/>
        <w:t xml:space="preserve">            </w:t>
      </w:r>
      <w:hyperlink r:id="rId12" w:history="1">
        <w:r w:rsidR="00A959D9" w:rsidRPr="009327C0">
          <w:rPr>
            <w:rStyle w:val="Hyperlink"/>
            <w:rFonts w:eastAsia="Times New Roman"/>
            <w:szCs w:val="24"/>
          </w:rPr>
          <w:t>michele@competitivepower.org</w:t>
        </w:r>
      </w:hyperlink>
    </w:p>
    <w:p w14:paraId="2EECFE87" w14:textId="77777777" w:rsidR="00A959D9" w:rsidRDefault="00A959D9" w:rsidP="00F93852">
      <w:pPr>
        <w:suppressLineNumbers/>
        <w:jc w:val="center"/>
        <w:rPr>
          <w:b/>
          <w:bCs/>
        </w:rPr>
      </w:pPr>
    </w:p>
    <w:p w14:paraId="5BD50A59" w14:textId="77777777" w:rsidR="003241C5" w:rsidRDefault="003241C5" w:rsidP="00F93852">
      <w:pPr>
        <w:suppressLineNumbers/>
        <w:jc w:val="center"/>
        <w:rPr>
          <w:b/>
          <w:bCs/>
        </w:rPr>
      </w:pPr>
    </w:p>
    <w:p w14:paraId="712A7AD3" w14:textId="77777777" w:rsidR="006B596F" w:rsidRDefault="006B596F">
      <w:pPr>
        <w:rPr>
          <w:b/>
          <w:bCs/>
        </w:rPr>
      </w:pPr>
      <w:r>
        <w:rPr>
          <w:b/>
          <w:bCs/>
        </w:rPr>
        <w:br w:type="page"/>
      </w:r>
    </w:p>
    <w:p w14:paraId="5FF66992" w14:textId="26C51104" w:rsidR="008D20D0" w:rsidRPr="00F75B6B" w:rsidRDefault="008D20D0" w:rsidP="008D20D0">
      <w:pPr>
        <w:suppressLineNumbers/>
        <w:jc w:val="center"/>
        <w:rPr>
          <w:b/>
          <w:bCs/>
        </w:rPr>
      </w:pPr>
      <w:r w:rsidRPr="00F75B6B">
        <w:rPr>
          <w:b/>
          <w:bCs/>
        </w:rPr>
        <w:lastRenderedPageBreak/>
        <w:t>PROJECT NO. 5</w:t>
      </w:r>
      <w:r>
        <w:rPr>
          <w:b/>
          <w:bCs/>
        </w:rPr>
        <w:t>3298</w:t>
      </w:r>
    </w:p>
    <w:tbl>
      <w:tblPr>
        <w:tblW w:w="0" w:type="auto"/>
        <w:tblLayout w:type="fixed"/>
        <w:tblLook w:val="0000" w:firstRow="0" w:lastRow="0" w:firstColumn="0" w:lastColumn="0" w:noHBand="0" w:noVBand="0"/>
      </w:tblPr>
      <w:tblGrid>
        <w:gridCol w:w="4518"/>
        <w:gridCol w:w="630"/>
        <w:gridCol w:w="4320"/>
      </w:tblGrid>
      <w:tr w:rsidR="008D20D0" w:rsidRPr="00F75B6B" w14:paraId="6D98757E" w14:textId="77777777" w:rsidTr="002137EC">
        <w:trPr>
          <w:trHeight w:val="1422"/>
        </w:trPr>
        <w:tc>
          <w:tcPr>
            <w:tcW w:w="4518" w:type="dxa"/>
            <w:shd w:val="clear" w:color="auto" w:fill="auto"/>
          </w:tcPr>
          <w:p w14:paraId="0B3CFE27" w14:textId="77777777" w:rsidR="008D20D0" w:rsidRPr="00B47220" w:rsidRDefault="008D20D0" w:rsidP="002137EC">
            <w:pPr>
              <w:pStyle w:val="preamble"/>
              <w:suppressLineNumbers/>
              <w:spacing w:line="240" w:lineRule="auto"/>
              <w:rPr>
                <w:b/>
                <w:sz w:val="16"/>
                <w:szCs w:val="16"/>
              </w:rPr>
            </w:pPr>
          </w:p>
          <w:p w14:paraId="3DEEE606" w14:textId="77777777" w:rsidR="008D20D0" w:rsidRPr="00F75B6B" w:rsidRDefault="008D20D0" w:rsidP="002137EC">
            <w:pPr>
              <w:pStyle w:val="preamble"/>
              <w:suppressLineNumbers/>
              <w:spacing w:line="240" w:lineRule="auto"/>
              <w:rPr>
                <w:b/>
                <w:szCs w:val="22"/>
              </w:rPr>
            </w:pPr>
            <w:r w:rsidRPr="00F75B6B">
              <w:rPr>
                <w:b/>
                <w:szCs w:val="22"/>
              </w:rPr>
              <w:t>WHOLESALE ELECTRIC MARKET DESIGN</w:t>
            </w:r>
            <w:r>
              <w:rPr>
                <w:b/>
                <w:szCs w:val="22"/>
              </w:rPr>
              <w:t xml:space="preserve"> IMPLEMENTATION</w:t>
            </w:r>
          </w:p>
          <w:p w14:paraId="10FB5571" w14:textId="77777777" w:rsidR="008D20D0" w:rsidRPr="00F75B6B" w:rsidRDefault="008D20D0" w:rsidP="002137EC">
            <w:pPr>
              <w:pStyle w:val="preamble"/>
              <w:suppressLineNumbers/>
              <w:spacing w:line="240" w:lineRule="auto"/>
              <w:rPr>
                <w:b/>
                <w:sz w:val="22"/>
              </w:rPr>
            </w:pPr>
          </w:p>
        </w:tc>
        <w:tc>
          <w:tcPr>
            <w:tcW w:w="630" w:type="dxa"/>
            <w:shd w:val="clear" w:color="auto" w:fill="auto"/>
          </w:tcPr>
          <w:p w14:paraId="15097AB0" w14:textId="77777777" w:rsidR="008D20D0" w:rsidRPr="00F75B6B" w:rsidRDefault="008D20D0" w:rsidP="002137EC">
            <w:pPr>
              <w:pStyle w:val="preamble"/>
              <w:suppressLineNumbers/>
              <w:spacing w:line="240" w:lineRule="auto"/>
              <w:jc w:val="center"/>
              <w:rPr>
                <w:b/>
                <w:color w:val="FFFFFF"/>
                <w:szCs w:val="22"/>
              </w:rPr>
            </w:pPr>
            <w:r w:rsidRPr="00F75B6B">
              <w:rPr>
                <w:b/>
                <w:color w:val="FFFFFF"/>
                <w:szCs w:val="22"/>
              </w:rPr>
              <w:t>§</w:t>
            </w:r>
          </w:p>
          <w:p w14:paraId="27B472FA" w14:textId="77777777" w:rsidR="008D20D0" w:rsidRPr="00F75B6B" w:rsidRDefault="008D20D0" w:rsidP="002137EC">
            <w:pPr>
              <w:pStyle w:val="preamble"/>
              <w:suppressLineNumbers/>
              <w:spacing w:line="240" w:lineRule="auto"/>
              <w:jc w:val="center"/>
              <w:rPr>
                <w:b/>
                <w:szCs w:val="22"/>
              </w:rPr>
            </w:pPr>
            <w:r w:rsidRPr="00F75B6B">
              <w:rPr>
                <w:b/>
                <w:szCs w:val="22"/>
              </w:rPr>
              <w:t>§</w:t>
            </w:r>
          </w:p>
          <w:p w14:paraId="50ABADC5" w14:textId="77777777" w:rsidR="008D20D0" w:rsidRPr="00F75B6B" w:rsidRDefault="008D20D0" w:rsidP="002137EC">
            <w:pPr>
              <w:pStyle w:val="preamble"/>
              <w:suppressLineNumbers/>
              <w:spacing w:line="240" w:lineRule="auto"/>
              <w:jc w:val="center"/>
              <w:rPr>
                <w:b/>
                <w:szCs w:val="22"/>
              </w:rPr>
            </w:pPr>
            <w:r w:rsidRPr="00F75B6B">
              <w:rPr>
                <w:b/>
                <w:szCs w:val="22"/>
              </w:rPr>
              <w:t>§</w:t>
            </w:r>
          </w:p>
          <w:p w14:paraId="65364D4F" w14:textId="77777777" w:rsidR="008D20D0" w:rsidRPr="00F75B6B" w:rsidRDefault="008D20D0" w:rsidP="002137EC">
            <w:pPr>
              <w:pStyle w:val="preamble"/>
              <w:suppressLineNumbers/>
              <w:spacing w:line="240" w:lineRule="auto"/>
              <w:jc w:val="center"/>
              <w:rPr>
                <w:b/>
                <w:szCs w:val="22"/>
              </w:rPr>
            </w:pPr>
            <w:r w:rsidRPr="00F75B6B">
              <w:rPr>
                <w:b/>
                <w:szCs w:val="22"/>
              </w:rPr>
              <w:t>§</w:t>
            </w:r>
          </w:p>
          <w:p w14:paraId="6F40BB5E" w14:textId="77777777" w:rsidR="008D20D0" w:rsidRPr="00F75B6B" w:rsidRDefault="008D20D0" w:rsidP="002137EC">
            <w:pPr>
              <w:pStyle w:val="preamble"/>
              <w:suppressLineNumbers/>
              <w:spacing w:line="240" w:lineRule="auto"/>
              <w:jc w:val="center"/>
              <w:rPr>
                <w:b/>
                <w:szCs w:val="22"/>
              </w:rPr>
            </w:pPr>
          </w:p>
          <w:p w14:paraId="21610607" w14:textId="77777777" w:rsidR="008D20D0" w:rsidRPr="00F75B6B" w:rsidRDefault="008D20D0" w:rsidP="002137EC">
            <w:pPr>
              <w:pStyle w:val="preamble"/>
              <w:suppressLineNumbers/>
              <w:spacing w:line="240" w:lineRule="auto"/>
              <w:jc w:val="center"/>
              <w:rPr>
                <w:b/>
                <w:szCs w:val="22"/>
              </w:rPr>
            </w:pPr>
          </w:p>
        </w:tc>
        <w:tc>
          <w:tcPr>
            <w:tcW w:w="4320" w:type="dxa"/>
            <w:shd w:val="clear" w:color="auto" w:fill="auto"/>
          </w:tcPr>
          <w:p w14:paraId="2230FE35" w14:textId="77777777" w:rsidR="008D20D0" w:rsidRPr="00F75B6B" w:rsidRDefault="008D20D0" w:rsidP="002137EC">
            <w:pPr>
              <w:pStyle w:val="preamble"/>
              <w:suppressLineNumbers/>
              <w:spacing w:line="240" w:lineRule="auto"/>
              <w:rPr>
                <w:b/>
                <w:szCs w:val="22"/>
              </w:rPr>
            </w:pPr>
            <w:r w:rsidRPr="00F75B6B">
              <w:rPr>
                <w:b/>
                <w:szCs w:val="22"/>
              </w:rPr>
              <w:br/>
              <w:t xml:space="preserve">       PUBLIC UTILITY COMMISSION</w:t>
            </w:r>
          </w:p>
          <w:p w14:paraId="4C94EB8E" w14:textId="77777777" w:rsidR="008D20D0" w:rsidRPr="00F75B6B" w:rsidRDefault="008D20D0" w:rsidP="002137EC">
            <w:pPr>
              <w:pStyle w:val="preamble"/>
              <w:suppressLineNumbers/>
              <w:spacing w:line="240" w:lineRule="auto"/>
              <w:rPr>
                <w:b/>
                <w:szCs w:val="22"/>
              </w:rPr>
            </w:pPr>
          </w:p>
          <w:p w14:paraId="081D7830" w14:textId="77777777" w:rsidR="008D20D0" w:rsidRPr="00F75B6B" w:rsidRDefault="008D20D0" w:rsidP="002137EC">
            <w:pPr>
              <w:pStyle w:val="preamble"/>
              <w:suppressLineNumbers/>
              <w:spacing w:line="240" w:lineRule="auto"/>
              <w:jc w:val="center"/>
              <w:rPr>
                <w:b/>
                <w:szCs w:val="22"/>
              </w:rPr>
            </w:pPr>
            <w:r w:rsidRPr="00F75B6B">
              <w:rPr>
                <w:b/>
                <w:szCs w:val="22"/>
              </w:rPr>
              <w:t>OF TEXAS</w:t>
            </w:r>
          </w:p>
        </w:tc>
      </w:tr>
    </w:tbl>
    <w:p w14:paraId="61F1C4D1" w14:textId="63B8C4AB" w:rsidR="00F93852" w:rsidRDefault="00F93852" w:rsidP="00F93852">
      <w:pPr>
        <w:spacing w:before="100" w:beforeAutospacing="1" w:after="100" w:afterAutospacing="1"/>
        <w:jc w:val="center"/>
        <w:rPr>
          <w:b/>
          <w:bCs/>
        </w:rPr>
      </w:pPr>
      <w:r w:rsidRPr="00F93852">
        <w:rPr>
          <w:b/>
          <w:bCs/>
        </w:rPr>
        <w:t xml:space="preserve">EXECUTIVE SUMMARY OF TCPA </w:t>
      </w:r>
      <w:r w:rsidR="008D20D0">
        <w:rPr>
          <w:b/>
          <w:bCs/>
        </w:rPr>
        <w:t>RESPONSES TO STAFF FFSS QUESTIONS</w:t>
      </w:r>
    </w:p>
    <w:p w14:paraId="02228D37" w14:textId="77777777" w:rsidR="00D54197" w:rsidRPr="00D54197" w:rsidRDefault="0033758B" w:rsidP="0021324D">
      <w:pPr>
        <w:pStyle w:val="ListParagraph"/>
        <w:numPr>
          <w:ilvl w:val="0"/>
          <w:numId w:val="13"/>
        </w:numPr>
        <w:spacing w:after="0" w:line="360" w:lineRule="auto"/>
        <w:contextualSpacing w:val="0"/>
        <w:rPr>
          <w:rFonts w:eastAsia="Times New Roman"/>
          <w:sz w:val="22"/>
        </w:rPr>
      </w:pPr>
      <w:r>
        <w:rPr>
          <w:szCs w:val="24"/>
        </w:rPr>
        <w:t xml:space="preserve">The Commission should clarify </w:t>
      </w:r>
      <w:r w:rsidR="00D54197">
        <w:rPr>
          <w:szCs w:val="24"/>
        </w:rPr>
        <w:t xml:space="preserve">if the parameters </w:t>
      </w:r>
      <w:r>
        <w:rPr>
          <w:szCs w:val="24"/>
        </w:rPr>
        <w:t xml:space="preserve">in the current implementation apply only to the first round of procurements or if they will be permanent parameters for the duration of the program. </w:t>
      </w:r>
    </w:p>
    <w:p w14:paraId="4008720A" w14:textId="77777777" w:rsidR="00330568" w:rsidRPr="00330568" w:rsidRDefault="00330568" w:rsidP="0021324D">
      <w:pPr>
        <w:pStyle w:val="ListParagraph"/>
        <w:numPr>
          <w:ilvl w:val="0"/>
          <w:numId w:val="13"/>
        </w:numPr>
        <w:spacing w:after="0" w:line="360" w:lineRule="auto"/>
        <w:contextualSpacing w:val="0"/>
        <w:rPr>
          <w:rFonts w:eastAsia="Times New Roman"/>
          <w:sz w:val="22"/>
        </w:rPr>
      </w:pPr>
      <w:r>
        <w:rPr>
          <w:szCs w:val="24"/>
        </w:rPr>
        <w:t>S</w:t>
      </w:r>
      <w:r w:rsidRPr="003167EF">
        <w:rPr>
          <w:szCs w:val="24"/>
        </w:rPr>
        <w:t>urplus coal reserves</w:t>
      </w:r>
      <w:r>
        <w:rPr>
          <w:szCs w:val="24"/>
        </w:rPr>
        <w:t xml:space="preserve"> and</w:t>
      </w:r>
      <w:r w:rsidRPr="003167EF">
        <w:rPr>
          <w:szCs w:val="24"/>
        </w:rPr>
        <w:t xml:space="preserve"> nuclear reserves</w:t>
      </w:r>
      <w:r>
        <w:rPr>
          <w:szCs w:val="24"/>
        </w:rPr>
        <w:t xml:space="preserve"> s</w:t>
      </w:r>
      <w:r w:rsidRPr="003167EF">
        <w:rPr>
          <w:szCs w:val="24"/>
        </w:rPr>
        <w:t xml:space="preserve">hould be considered eligible to participate and the quantities </w:t>
      </w:r>
      <w:r>
        <w:rPr>
          <w:szCs w:val="24"/>
        </w:rPr>
        <w:t xml:space="preserve">of resources </w:t>
      </w:r>
      <w:r w:rsidRPr="003167EF">
        <w:rPr>
          <w:szCs w:val="24"/>
        </w:rPr>
        <w:t>procured may need to vary by fuel type</w:t>
      </w:r>
      <w:r>
        <w:rPr>
          <w:szCs w:val="24"/>
        </w:rPr>
        <w:t>.</w:t>
      </w:r>
    </w:p>
    <w:p w14:paraId="07A0601A" w14:textId="2A0EDF91" w:rsidR="00573C5F" w:rsidRPr="00573C5F" w:rsidRDefault="00573C5F" w:rsidP="00573C5F">
      <w:pPr>
        <w:pStyle w:val="ListParagraph"/>
        <w:numPr>
          <w:ilvl w:val="0"/>
          <w:numId w:val="13"/>
        </w:numPr>
        <w:spacing w:line="360" w:lineRule="auto"/>
        <w:jc w:val="both"/>
        <w:rPr>
          <w:szCs w:val="24"/>
        </w:rPr>
      </w:pPr>
      <w:r>
        <w:rPr>
          <w:szCs w:val="24"/>
        </w:rPr>
        <w:t>C</w:t>
      </w:r>
      <w:r w:rsidRPr="00573C5F">
        <w:rPr>
          <w:szCs w:val="24"/>
        </w:rPr>
        <w:t xml:space="preserve">onsideration should be given to whether concentration of firm fuel in certain geographic areas would free up gas in other areas of the state or if firm fuel procurements need to be geographically diverse to shore up the fleet statewide. </w:t>
      </w:r>
    </w:p>
    <w:p w14:paraId="78E3E150" w14:textId="659B613E" w:rsidR="00D11A57" w:rsidRPr="00D11A57" w:rsidRDefault="00343940" w:rsidP="00343940">
      <w:pPr>
        <w:pStyle w:val="ListParagraph"/>
        <w:numPr>
          <w:ilvl w:val="0"/>
          <w:numId w:val="13"/>
        </w:numPr>
        <w:spacing w:after="0" w:line="360" w:lineRule="auto"/>
        <w:contextualSpacing w:val="0"/>
        <w:rPr>
          <w:rFonts w:eastAsia="Times New Roman"/>
        </w:rPr>
      </w:pPr>
      <w:r w:rsidRPr="003167EF">
        <w:rPr>
          <w:szCs w:val="24"/>
        </w:rPr>
        <w:t xml:space="preserve">Lack of transparency on the intrastate gas system makes </w:t>
      </w:r>
      <w:r w:rsidR="00607F8C">
        <w:rPr>
          <w:szCs w:val="24"/>
        </w:rPr>
        <w:t xml:space="preserve">identifying specific geographic chokepoints that need </w:t>
      </w:r>
      <w:r w:rsidRPr="003167EF">
        <w:rPr>
          <w:szCs w:val="24"/>
        </w:rPr>
        <w:t xml:space="preserve">firm fuel </w:t>
      </w:r>
      <w:r w:rsidR="00607F8C">
        <w:rPr>
          <w:szCs w:val="24"/>
        </w:rPr>
        <w:t xml:space="preserve">to alleviate </w:t>
      </w:r>
      <w:r w:rsidRPr="003167EF">
        <w:rPr>
          <w:szCs w:val="24"/>
        </w:rPr>
        <w:t>difficult to pinpoint</w:t>
      </w:r>
      <w:r>
        <w:rPr>
          <w:szCs w:val="24"/>
        </w:rPr>
        <w:t xml:space="preserve">. </w:t>
      </w:r>
    </w:p>
    <w:p w14:paraId="42F559EE" w14:textId="3B7F4CEA" w:rsidR="00822691" w:rsidRDefault="00553772" w:rsidP="00343940">
      <w:pPr>
        <w:pStyle w:val="ListParagraph"/>
        <w:numPr>
          <w:ilvl w:val="0"/>
          <w:numId w:val="13"/>
        </w:numPr>
        <w:spacing w:after="0" w:line="360" w:lineRule="auto"/>
        <w:contextualSpacing w:val="0"/>
        <w:rPr>
          <w:rFonts w:eastAsia="Times New Roman"/>
        </w:rPr>
      </w:pPr>
      <w:r>
        <w:rPr>
          <w:szCs w:val="24"/>
        </w:rPr>
        <w:t xml:space="preserve">To address this transparency issue, </w:t>
      </w:r>
      <w:r w:rsidR="00D11A57">
        <w:rPr>
          <w:szCs w:val="24"/>
        </w:rPr>
        <w:t xml:space="preserve">TCPA </w:t>
      </w:r>
      <w:r w:rsidR="00607F8C">
        <w:rPr>
          <w:szCs w:val="24"/>
        </w:rPr>
        <w:t xml:space="preserve">supports the RRC </w:t>
      </w:r>
      <w:r>
        <w:rPr>
          <w:szCs w:val="24"/>
        </w:rPr>
        <w:t xml:space="preserve">establishing </w:t>
      </w:r>
      <w:r w:rsidR="00D11A57">
        <w:rPr>
          <w:szCs w:val="24"/>
        </w:rPr>
        <w:t xml:space="preserve">a requirement that all intrastate pipelines be required to utilize </w:t>
      </w:r>
      <w:r w:rsidR="00B32783">
        <w:rPr>
          <w:szCs w:val="24"/>
        </w:rPr>
        <w:t>Electronic Bulletin Boards (</w:t>
      </w:r>
      <w:r w:rsidR="00D11A57">
        <w:rPr>
          <w:szCs w:val="24"/>
        </w:rPr>
        <w:t>EBBs</w:t>
      </w:r>
      <w:r w:rsidR="00B32783">
        <w:rPr>
          <w:szCs w:val="24"/>
        </w:rPr>
        <w:t>)</w:t>
      </w:r>
      <w:r w:rsidR="00D11A57">
        <w:rPr>
          <w:szCs w:val="24"/>
        </w:rPr>
        <w:t xml:space="preserve"> and provide the transparent information needed to ensure both buyers and sellers in Texas have equitable information about flows and pricing in order to level the transactional playing field.</w:t>
      </w:r>
    </w:p>
    <w:p w14:paraId="116B5AFB" w14:textId="25675B73" w:rsidR="00D11A57" w:rsidRPr="00D11A57" w:rsidRDefault="00D11A57" w:rsidP="00D11A57">
      <w:pPr>
        <w:pStyle w:val="ListParagraph"/>
        <w:numPr>
          <w:ilvl w:val="0"/>
          <w:numId w:val="13"/>
        </w:numPr>
        <w:spacing w:after="0" w:line="360" w:lineRule="auto"/>
        <w:contextualSpacing w:val="0"/>
        <w:rPr>
          <w:rFonts w:eastAsia="Times New Roman"/>
        </w:rPr>
      </w:pPr>
      <w:r>
        <w:rPr>
          <w:szCs w:val="24"/>
        </w:rPr>
        <w:t xml:space="preserve">TCPA recommends that </w:t>
      </w:r>
      <w:r w:rsidR="00B32783">
        <w:rPr>
          <w:szCs w:val="24"/>
        </w:rPr>
        <w:t xml:space="preserve">FFSS </w:t>
      </w:r>
      <w:r>
        <w:rPr>
          <w:szCs w:val="24"/>
        </w:rPr>
        <w:t>contracts align with environmental limits to allow resources to better reserve those allowances.</w:t>
      </w:r>
    </w:p>
    <w:p w14:paraId="24876862" w14:textId="46C3F706" w:rsidR="00D11A57" w:rsidRPr="00D11A57" w:rsidRDefault="00D11A57" w:rsidP="0021324D">
      <w:pPr>
        <w:pStyle w:val="ListParagraph"/>
        <w:numPr>
          <w:ilvl w:val="0"/>
          <w:numId w:val="13"/>
        </w:numPr>
        <w:spacing w:after="0" w:line="360" w:lineRule="auto"/>
        <w:contextualSpacing w:val="0"/>
        <w:rPr>
          <w:rFonts w:eastAsia="Times New Roman"/>
          <w:sz w:val="22"/>
        </w:rPr>
      </w:pPr>
      <w:r>
        <w:rPr>
          <w:szCs w:val="24"/>
        </w:rPr>
        <w:t xml:space="preserve">The RFP process should be consistent with the </w:t>
      </w:r>
      <w:r w:rsidR="00B32783">
        <w:rPr>
          <w:szCs w:val="24"/>
        </w:rPr>
        <w:t>P</w:t>
      </w:r>
      <w:r>
        <w:rPr>
          <w:szCs w:val="24"/>
        </w:rPr>
        <w:t xml:space="preserve">rotocols or the </w:t>
      </w:r>
      <w:r w:rsidR="00B32783">
        <w:rPr>
          <w:szCs w:val="24"/>
        </w:rPr>
        <w:t>P</w:t>
      </w:r>
      <w:r>
        <w:rPr>
          <w:szCs w:val="24"/>
        </w:rPr>
        <w:t xml:space="preserve">rotocols should be revised to align with the RFP procurement process. </w:t>
      </w:r>
    </w:p>
    <w:p w14:paraId="73EF9C8F" w14:textId="6AE867DE" w:rsidR="00F80499" w:rsidRDefault="00F80499" w:rsidP="00391A84">
      <w:pPr>
        <w:pStyle w:val="ListParagraph"/>
        <w:numPr>
          <w:ilvl w:val="0"/>
          <w:numId w:val="13"/>
        </w:numPr>
        <w:spacing w:line="360" w:lineRule="auto"/>
        <w:jc w:val="both"/>
        <w:rPr>
          <w:szCs w:val="24"/>
        </w:rPr>
      </w:pPr>
      <w:r>
        <w:rPr>
          <w:szCs w:val="24"/>
        </w:rPr>
        <w:t xml:space="preserve">A sustained duration timeframe between 48 and 72 hours should correlate to a duration expected for a </w:t>
      </w:r>
      <w:r w:rsidR="00CF3A1A">
        <w:rPr>
          <w:szCs w:val="24"/>
        </w:rPr>
        <w:t xml:space="preserve">typical </w:t>
      </w:r>
      <w:r>
        <w:rPr>
          <w:szCs w:val="24"/>
        </w:rPr>
        <w:t>strained natural gas system</w:t>
      </w:r>
      <w:r w:rsidR="00CF3A1A">
        <w:rPr>
          <w:szCs w:val="24"/>
        </w:rPr>
        <w:t>,</w:t>
      </w:r>
      <w:r w:rsidR="00CF3A1A" w:rsidRPr="00CF3A1A">
        <w:rPr>
          <w:szCs w:val="24"/>
        </w:rPr>
        <w:t xml:space="preserve"> </w:t>
      </w:r>
      <w:r w:rsidR="00CF3A1A">
        <w:rPr>
          <w:szCs w:val="24"/>
        </w:rPr>
        <w:t>though might fall short if the intent is to offset more extreme impacts to the natural gas fuel infrastructure, such as those experienced during Winter Storm Uri</w:t>
      </w:r>
      <w:r>
        <w:rPr>
          <w:szCs w:val="24"/>
        </w:rPr>
        <w:t xml:space="preserve">. </w:t>
      </w:r>
    </w:p>
    <w:p w14:paraId="71AFD238" w14:textId="7CA17068" w:rsidR="00F80499" w:rsidRPr="005B1633" w:rsidRDefault="00115E4C" w:rsidP="00391A84">
      <w:pPr>
        <w:pStyle w:val="ListParagraph"/>
        <w:numPr>
          <w:ilvl w:val="0"/>
          <w:numId w:val="13"/>
        </w:numPr>
        <w:spacing w:line="360" w:lineRule="auto"/>
        <w:jc w:val="both"/>
        <w:rPr>
          <w:szCs w:val="24"/>
        </w:rPr>
      </w:pPr>
      <w:r>
        <w:rPr>
          <w:szCs w:val="24"/>
        </w:rPr>
        <w:lastRenderedPageBreak/>
        <w:t>PURA 39.159(c) clearly contemplates multiple types of resources with firm fuel capability as eligible for a firm fuel product and capabilities beyond dual fuel. This program should reward fuel resiliency attributes as opposed to penalizing some attributes and should be expanded to other types of fuel resiliency</w:t>
      </w:r>
      <w:r w:rsidR="005F6682">
        <w:rPr>
          <w:szCs w:val="24"/>
        </w:rPr>
        <w:t xml:space="preserve"> than dual fuel</w:t>
      </w:r>
      <w:r>
        <w:rPr>
          <w:szCs w:val="24"/>
        </w:rPr>
        <w:t>.</w:t>
      </w:r>
    </w:p>
    <w:p w14:paraId="70FF6057" w14:textId="6A470E38" w:rsidR="00B16877" w:rsidRPr="00B16877" w:rsidRDefault="005F6682" w:rsidP="0021324D">
      <w:pPr>
        <w:pStyle w:val="ListParagraph"/>
        <w:numPr>
          <w:ilvl w:val="0"/>
          <w:numId w:val="13"/>
        </w:numPr>
        <w:spacing w:after="0" w:line="360" w:lineRule="auto"/>
        <w:contextualSpacing w:val="0"/>
        <w:rPr>
          <w:rFonts w:eastAsia="Times New Roman"/>
        </w:rPr>
      </w:pPr>
      <w:r>
        <w:rPr>
          <w:szCs w:val="24"/>
        </w:rPr>
        <w:t xml:space="preserve">Weatherization, particularly as Phase II is contemplated, </w:t>
      </w:r>
      <w:r w:rsidR="00B16877">
        <w:rPr>
          <w:szCs w:val="24"/>
        </w:rPr>
        <w:t xml:space="preserve">should </w:t>
      </w:r>
      <w:r>
        <w:rPr>
          <w:szCs w:val="24"/>
        </w:rPr>
        <w:t>be included as a</w:t>
      </w:r>
      <w:r w:rsidR="00CF3A1A">
        <w:rPr>
          <w:szCs w:val="24"/>
        </w:rPr>
        <w:t>n</w:t>
      </w:r>
      <w:r>
        <w:rPr>
          <w:szCs w:val="24"/>
        </w:rPr>
        <w:t xml:space="preserve"> eligibility requirement for this product that would also provide a mechanism to recoup costs for weatherization</w:t>
      </w:r>
      <w:r w:rsidR="00B16877">
        <w:rPr>
          <w:szCs w:val="24"/>
        </w:rPr>
        <w:t>, which to date are uncompensated</w:t>
      </w:r>
      <w:r>
        <w:rPr>
          <w:szCs w:val="24"/>
        </w:rPr>
        <w:t xml:space="preserve">. </w:t>
      </w:r>
    </w:p>
    <w:p w14:paraId="37BAA681" w14:textId="77777777" w:rsidR="00F91F43" w:rsidRPr="00F91F43" w:rsidRDefault="00F91F43" w:rsidP="0021324D">
      <w:pPr>
        <w:pStyle w:val="ListParagraph"/>
        <w:numPr>
          <w:ilvl w:val="0"/>
          <w:numId w:val="13"/>
        </w:numPr>
        <w:spacing w:after="0" w:line="360" w:lineRule="auto"/>
        <w:contextualSpacing w:val="0"/>
        <w:rPr>
          <w:rFonts w:eastAsia="Times New Roman"/>
        </w:rPr>
      </w:pPr>
      <w:r>
        <w:rPr>
          <w:szCs w:val="24"/>
        </w:rPr>
        <w:t xml:space="preserve">A system-wide clearing price would send a transparent price signal to the market, indicating a need for new investment in this product. </w:t>
      </w:r>
    </w:p>
    <w:p w14:paraId="08142C6A" w14:textId="77777777" w:rsidR="00FD2538" w:rsidRPr="00D63BAC" w:rsidRDefault="00FD2538" w:rsidP="00FD2538">
      <w:pPr>
        <w:pStyle w:val="ListParagraph"/>
        <w:numPr>
          <w:ilvl w:val="0"/>
          <w:numId w:val="13"/>
        </w:numPr>
        <w:spacing w:after="0" w:line="360" w:lineRule="auto"/>
        <w:contextualSpacing w:val="0"/>
        <w:rPr>
          <w:b/>
          <w:bCs/>
        </w:rPr>
      </w:pPr>
      <w:r>
        <w:rPr>
          <w:szCs w:val="24"/>
        </w:rPr>
        <w:t>Different fuel types should have different procurement targets to ensure diversity of firm fuel supply is awarded contracts.</w:t>
      </w:r>
    </w:p>
    <w:p w14:paraId="28F4C245" w14:textId="0F4D5D63" w:rsidR="00C04350" w:rsidRPr="00C04350" w:rsidRDefault="00C04350" w:rsidP="00391A84">
      <w:pPr>
        <w:pStyle w:val="ListParagraph"/>
        <w:numPr>
          <w:ilvl w:val="0"/>
          <w:numId w:val="13"/>
        </w:numPr>
        <w:spacing w:line="360" w:lineRule="auto"/>
        <w:jc w:val="both"/>
        <w:rPr>
          <w:szCs w:val="24"/>
        </w:rPr>
      </w:pPr>
      <w:r>
        <w:rPr>
          <w:szCs w:val="24"/>
        </w:rPr>
        <w:t xml:space="preserve">To ensure that </w:t>
      </w:r>
      <w:r w:rsidRPr="00C04350">
        <w:rPr>
          <w:szCs w:val="24"/>
        </w:rPr>
        <w:t xml:space="preserve">cheaper types of firm fuel </w:t>
      </w:r>
      <w:r>
        <w:rPr>
          <w:szCs w:val="24"/>
        </w:rPr>
        <w:t xml:space="preserve">don’t </w:t>
      </w:r>
      <w:r w:rsidRPr="00C04350">
        <w:rPr>
          <w:szCs w:val="24"/>
        </w:rPr>
        <w:t>overwhel</w:t>
      </w:r>
      <w:r>
        <w:rPr>
          <w:szCs w:val="24"/>
        </w:rPr>
        <w:t>m</w:t>
      </w:r>
      <w:r w:rsidRPr="00C04350">
        <w:rPr>
          <w:szCs w:val="24"/>
        </w:rPr>
        <w:t xml:space="preserve"> the market and crowd out more expensive but needed </w:t>
      </w:r>
      <w:r w:rsidR="00CF3A1A">
        <w:rPr>
          <w:szCs w:val="24"/>
        </w:rPr>
        <w:t xml:space="preserve">other </w:t>
      </w:r>
      <w:r w:rsidRPr="00C04350">
        <w:rPr>
          <w:szCs w:val="24"/>
        </w:rPr>
        <w:t>types of firm fuel</w:t>
      </w:r>
      <w:r>
        <w:rPr>
          <w:szCs w:val="24"/>
        </w:rPr>
        <w:t xml:space="preserve">, a system-wide clearing price </w:t>
      </w:r>
      <w:r w:rsidR="00F25676">
        <w:rPr>
          <w:szCs w:val="24"/>
        </w:rPr>
        <w:t xml:space="preserve">for each type of firm fuel may be needed to </w:t>
      </w:r>
      <w:r w:rsidR="00FD2538">
        <w:rPr>
          <w:szCs w:val="24"/>
        </w:rPr>
        <w:t>send price signals to attain the different procurement targets for different fuel types</w:t>
      </w:r>
      <w:r w:rsidRPr="00C04350">
        <w:rPr>
          <w:szCs w:val="24"/>
        </w:rPr>
        <w:t xml:space="preserve">. </w:t>
      </w:r>
    </w:p>
    <w:p w14:paraId="439E62DE" w14:textId="78F71E61" w:rsidR="00D63BAC" w:rsidRPr="004F58D3" w:rsidRDefault="00D63BAC" w:rsidP="00391A84">
      <w:pPr>
        <w:pStyle w:val="ListParagraph"/>
        <w:numPr>
          <w:ilvl w:val="0"/>
          <w:numId w:val="13"/>
        </w:numPr>
        <w:spacing w:after="0" w:line="360" w:lineRule="auto"/>
        <w:contextualSpacing w:val="0"/>
        <w:rPr>
          <w:b/>
          <w:bCs/>
        </w:rPr>
      </w:pPr>
      <w:r>
        <w:rPr>
          <w:szCs w:val="24"/>
        </w:rPr>
        <w:t>The quantities of resources procured should vary based on performance attributes, but the price should be uniform</w:t>
      </w:r>
      <w:r w:rsidR="00CF3A1A">
        <w:rPr>
          <w:szCs w:val="24"/>
        </w:rPr>
        <w:t xml:space="preserve"> across comparable firm fuel types</w:t>
      </w:r>
      <w:r>
        <w:rPr>
          <w:szCs w:val="24"/>
        </w:rPr>
        <w:t>.</w:t>
      </w:r>
    </w:p>
    <w:p w14:paraId="774FD1FF" w14:textId="07E32359" w:rsidR="004F58D3" w:rsidRPr="003241C5" w:rsidRDefault="004F58D3" w:rsidP="00391A84">
      <w:pPr>
        <w:pStyle w:val="ListParagraph"/>
        <w:numPr>
          <w:ilvl w:val="0"/>
          <w:numId w:val="13"/>
        </w:numPr>
        <w:spacing w:after="0" w:line="360" w:lineRule="auto"/>
        <w:contextualSpacing w:val="0"/>
        <w:rPr>
          <w:b/>
          <w:bCs/>
        </w:rPr>
      </w:pPr>
      <w:r>
        <w:rPr>
          <w:szCs w:val="24"/>
        </w:rPr>
        <w:t xml:space="preserve">Procurement </w:t>
      </w:r>
      <w:r w:rsidR="00CF3A1A">
        <w:rPr>
          <w:szCs w:val="24"/>
        </w:rPr>
        <w:t xml:space="preserve">should account for the fact that </w:t>
      </w:r>
      <w:r w:rsidR="00C8687A">
        <w:rPr>
          <w:szCs w:val="24"/>
        </w:rPr>
        <w:t xml:space="preserve">more weatherized generation resources means that in order to prevent another Uri type event, more generation could face fuel supply issues (e.g., one estimate was ~25 GW). </w:t>
      </w:r>
      <w:r w:rsidR="00754031">
        <w:rPr>
          <w:szCs w:val="24"/>
        </w:rPr>
        <w:t>TCPA recommends</w:t>
      </w:r>
      <w:r w:rsidR="00754031" w:rsidRPr="00F71356">
        <w:rPr>
          <w:szCs w:val="24"/>
        </w:rPr>
        <w:t xml:space="preserve"> </w:t>
      </w:r>
      <w:r w:rsidR="00754031">
        <w:rPr>
          <w:szCs w:val="24"/>
        </w:rPr>
        <w:t xml:space="preserve">a gradual increase to the optimal firm fuel procurement MW that is determined </w:t>
      </w:r>
      <w:r w:rsidR="00754031" w:rsidRPr="006B596F">
        <w:rPr>
          <w:szCs w:val="24"/>
        </w:rPr>
        <w:t xml:space="preserve">based on </w:t>
      </w:r>
      <w:r w:rsidR="006B596F">
        <w:rPr>
          <w:szCs w:val="24"/>
        </w:rPr>
        <w:t xml:space="preserve">a </w:t>
      </w:r>
      <w:r w:rsidR="00754031" w:rsidRPr="00CE0AC9">
        <w:t>risk analysis.</w:t>
      </w:r>
      <w:r w:rsidR="00754031">
        <w:rPr>
          <w:szCs w:val="24"/>
        </w:rPr>
        <w:t xml:space="preserve">  </w:t>
      </w:r>
      <w:r>
        <w:rPr>
          <w:szCs w:val="24"/>
        </w:rPr>
        <w:t>10-15</w:t>
      </w:r>
      <w:r w:rsidR="00C8687A">
        <w:rPr>
          <w:szCs w:val="24"/>
        </w:rPr>
        <w:t xml:space="preserve"> </w:t>
      </w:r>
      <w:r>
        <w:rPr>
          <w:szCs w:val="24"/>
        </w:rPr>
        <w:t xml:space="preserve">GW of FFSS </w:t>
      </w:r>
      <w:r w:rsidR="00C8687A">
        <w:rPr>
          <w:szCs w:val="24"/>
        </w:rPr>
        <w:t xml:space="preserve">may be an initial compromise </w:t>
      </w:r>
      <w:r w:rsidR="000901A7">
        <w:rPr>
          <w:szCs w:val="24"/>
        </w:rPr>
        <w:t xml:space="preserve">to balance cost </w:t>
      </w:r>
      <w:r w:rsidR="00C8687A">
        <w:rPr>
          <w:szCs w:val="24"/>
        </w:rPr>
        <w:t>and resiliency</w:t>
      </w:r>
      <w:r w:rsidR="000901A7">
        <w:rPr>
          <w:szCs w:val="24"/>
        </w:rPr>
        <w:t>.</w:t>
      </w:r>
      <w:r w:rsidR="00754031">
        <w:rPr>
          <w:szCs w:val="24"/>
        </w:rPr>
        <w:t xml:space="preserve"> Further discussion is needed to ensure that the annual cost cap or demand curve appropriately values the risk of the specific problem this solution seeks to solve.</w:t>
      </w:r>
    </w:p>
    <w:sectPr w:rsidR="004F58D3" w:rsidRPr="003241C5" w:rsidSect="000165E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EA884" w14:textId="77777777" w:rsidR="00B66FF5" w:rsidRDefault="00B66FF5" w:rsidP="00903366">
      <w:pPr>
        <w:spacing w:after="0" w:line="240" w:lineRule="auto"/>
      </w:pPr>
      <w:r>
        <w:separator/>
      </w:r>
    </w:p>
  </w:endnote>
  <w:endnote w:type="continuationSeparator" w:id="0">
    <w:p w14:paraId="27176259" w14:textId="77777777" w:rsidR="00B66FF5" w:rsidRDefault="00B66FF5" w:rsidP="00903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9DCE7" w14:textId="77777777" w:rsidR="00DA3A60" w:rsidRDefault="00DA3A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144736"/>
      <w:docPartObj>
        <w:docPartGallery w:val="Page Numbers (Bottom of Page)"/>
        <w:docPartUnique/>
      </w:docPartObj>
    </w:sdtPr>
    <w:sdtEndPr>
      <w:rPr>
        <w:noProof/>
      </w:rPr>
    </w:sdtEndPr>
    <w:sdtContent>
      <w:p w14:paraId="187C3121" w14:textId="0AC5C7EF" w:rsidR="000165E9" w:rsidRDefault="000165E9">
        <w:pPr>
          <w:pStyle w:val="Footer"/>
          <w:jc w:val="center"/>
        </w:pPr>
        <w:r>
          <w:fldChar w:fldCharType="begin"/>
        </w:r>
        <w:r>
          <w:instrText xml:space="preserve"> PAGE   \* MERGEFORMAT </w:instrText>
        </w:r>
        <w:r>
          <w:fldChar w:fldCharType="separate"/>
        </w:r>
        <w:r w:rsidR="00791C6A">
          <w:rPr>
            <w:noProof/>
          </w:rPr>
          <w:t>1</w:t>
        </w:r>
        <w:r>
          <w:rPr>
            <w:noProof/>
          </w:rPr>
          <w:fldChar w:fldCharType="end"/>
        </w:r>
      </w:p>
    </w:sdtContent>
  </w:sdt>
  <w:p w14:paraId="75999140" w14:textId="77777777" w:rsidR="00497C9E" w:rsidRDefault="00497C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550559"/>
      <w:docPartObj>
        <w:docPartGallery w:val="Page Numbers (Bottom of Page)"/>
        <w:docPartUnique/>
      </w:docPartObj>
    </w:sdtPr>
    <w:sdtEndPr>
      <w:rPr>
        <w:noProof/>
      </w:rPr>
    </w:sdtEndPr>
    <w:sdtContent>
      <w:p w14:paraId="4B8219EA" w14:textId="1827D443" w:rsidR="000165E9" w:rsidRDefault="000165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56AD54" w14:textId="77777777" w:rsidR="000165E9" w:rsidRDefault="00016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23B7E" w14:textId="77777777" w:rsidR="00B66FF5" w:rsidRDefault="00B66FF5" w:rsidP="00903366">
      <w:pPr>
        <w:spacing w:after="0" w:line="240" w:lineRule="auto"/>
      </w:pPr>
      <w:r>
        <w:separator/>
      </w:r>
    </w:p>
  </w:footnote>
  <w:footnote w:type="continuationSeparator" w:id="0">
    <w:p w14:paraId="27D2FC30" w14:textId="77777777" w:rsidR="00B66FF5" w:rsidRDefault="00B66FF5" w:rsidP="00903366">
      <w:pPr>
        <w:spacing w:after="0" w:line="240" w:lineRule="auto"/>
      </w:pPr>
      <w:r>
        <w:continuationSeparator/>
      </w:r>
    </w:p>
  </w:footnote>
  <w:footnote w:id="1">
    <w:p w14:paraId="03B98EB2" w14:textId="698498C7" w:rsidR="00903366" w:rsidRPr="003168B9" w:rsidRDefault="00903366" w:rsidP="00903366">
      <w:pPr>
        <w:pStyle w:val="FootnoteText"/>
        <w:rPr>
          <w:rFonts w:ascii="Times New Roman" w:hAnsi="Times New Roman" w:cs="Times New Roman"/>
        </w:rPr>
      </w:pPr>
      <w:r>
        <w:rPr>
          <w:rStyle w:val="FootnoteReference"/>
        </w:rPr>
        <w:footnoteRef/>
      </w:r>
      <w:r>
        <w:t xml:space="preserve"> </w:t>
      </w:r>
      <w:r w:rsidRPr="006A290D">
        <w:rPr>
          <w:rFonts w:ascii="Times New Roman" w:hAnsi="Times New Roman" w:cs="Times New Roman"/>
        </w:rPr>
        <w:t>TCPA member companies</w:t>
      </w:r>
      <w:r w:rsidR="00EA65DC">
        <w:rPr>
          <w:rFonts w:ascii="Times New Roman" w:hAnsi="Times New Roman" w:cs="Times New Roman"/>
        </w:rPr>
        <w:t xml:space="preserve"> participating in these comments</w:t>
      </w:r>
      <w:r w:rsidRPr="006A290D">
        <w:rPr>
          <w:rFonts w:ascii="Times New Roman" w:hAnsi="Times New Roman" w:cs="Times New Roman"/>
        </w:rPr>
        <w:t xml:space="preserve"> include: Calpine, </w:t>
      </w:r>
      <w:r w:rsidR="00627712">
        <w:rPr>
          <w:rFonts w:ascii="Times New Roman" w:hAnsi="Times New Roman" w:cs="Times New Roman"/>
        </w:rPr>
        <w:t xml:space="preserve">Cogentrix, </w:t>
      </w:r>
      <w:r w:rsidR="003167EF">
        <w:rPr>
          <w:rFonts w:ascii="Times New Roman" w:hAnsi="Times New Roman" w:cs="Times New Roman"/>
        </w:rPr>
        <w:t xml:space="preserve">Constellation (formerly Exelon), </w:t>
      </w:r>
      <w:r w:rsidRPr="006A290D">
        <w:rPr>
          <w:rFonts w:ascii="Times New Roman" w:hAnsi="Times New Roman" w:cs="Times New Roman"/>
        </w:rPr>
        <w:t xml:space="preserve">EDF Trading North America, </w:t>
      </w:r>
      <w:r w:rsidR="009C3D7D">
        <w:rPr>
          <w:rFonts w:ascii="Times New Roman" w:hAnsi="Times New Roman" w:cs="Times New Roman"/>
        </w:rPr>
        <w:t xml:space="preserve">Luminant, </w:t>
      </w:r>
      <w:r w:rsidRPr="006A290D">
        <w:rPr>
          <w:rFonts w:ascii="Times New Roman" w:hAnsi="Times New Roman" w:cs="Times New Roman"/>
        </w:rPr>
        <w:t>NRG, Shell Energy North America, Talen Energy, Tenaska</w:t>
      </w:r>
      <w:r>
        <w:rPr>
          <w:rFonts w:ascii="Times New Roman" w:hAnsi="Times New Roman" w:cs="Times New Roman"/>
        </w:rPr>
        <w:t>, TexGen Power</w:t>
      </w:r>
      <w:r w:rsidR="00627712">
        <w:rPr>
          <w:rFonts w:ascii="Times New Roman" w:hAnsi="Times New Roman" w:cs="Times New Roman"/>
        </w:rPr>
        <w:t>, and WattBridge</w:t>
      </w:r>
      <w:r w:rsidRPr="006A290D">
        <w:rPr>
          <w:rFonts w:ascii="Times New Roman" w:hAnsi="Times New Roman" w:cs="Times New Roman"/>
        </w:rPr>
        <w:t>.</w:t>
      </w:r>
      <w:r>
        <w:t xml:space="preserve"> </w:t>
      </w:r>
    </w:p>
  </w:footnote>
  <w:footnote w:id="2">
    <w:p w14:paraId="21B06B5E" w14:textId="455B6D68" w:rsidR="00B91054" w:rsidRDefault="00B91054">
      <w:pPr>
        <w:pStyle w:val="FootnoteText"/>
      </w:pPr>
      <w:r>
        <w:rPr>
          <w:rStyle w:val="FootnoteReference"/>
        </w:rPr>
        <w:footnoteRef/>
      </w:r>
      <w:r>
        <w:t xml:space="preserve"> </w:t>
      </w:r>
      <w:hyperlink r:id="rId1" w:history="1">
        <w:r w:rsidR="005D778E" w:rsidRPr="00D34D59">
          <w:rPr>
            <w:rStyle w:val="Hyperlink"/>
            <w:rFonts w:ascii="Times New Roman" w:hAnsi="Times New Roman" w:cs="Times New Roman"/>
          </w:rPr>
          <w:t>The February 2021 Cold Weather Outages in Texas and the South Central United States | FERC, NERC and Regional Entity Staff Report | Federal Energy Regulatory Commission</w:t>
        </w:r>
      </w:hyperlink>
      <w:r w:rsidR="005D778E" w:rsidRPr="00D34D59">
        <w:rPr>
          <w:rFonts w:ascii="Times New Roman" w:hAnsi="Times New Roman" w:cs="Times New Roman"/>
        </w:rPr>
        <w:t xml:space="preserve"> and </w:t>
      </w:r>
      <w:hyperlink r:id="rId2" w:history="1">
        <w:r w:rsidR="007D18C0" w:rsidRPr="00D34D59">
          <w:rPr>
            <w:rStyle w:val="Hyperlink"/>
            <w:rFonts w:ascii="Times New Roman" w:hAnsi="Times New Roman" w:cs="Times New Roman"/>
          </w:rPr>
          <w:t>ERCOT Blackout 2021 | Energy Institute | The University of Texas at Austin (utexas.edu)</w:t>
        </w:r>
      </w:hyperlink>
    </w:p>
  </w:footnote>
  <w:footnote w:id="3">
    <w:p w14:paraId="78AA1521" w14:textId="72FC5BB2" w:rsidR="00DE13EC" w:rsidRPr="00D34D59" w:rsidRDefault="00DE13EC">
      <w:pPr>
        <w:pStyle w:val="FootnoteText"/>
        <w:rPr>
          <w:rFonts w:ascii="Times New Roman" w:hAnsi="Times New Roman" w:cs="Times New Roman"/>
        </w:rPr>
      </w:pPr>
      <w:r>
        <w:rPr>
          <w:rStyle w:val="FootnoteReference"/>
        </w:rPr>
        <w:footnoteRef/>
      </w:r>
      <w:r>
        <w:t xml:space="preserve"> </w:t>
      </w:r>
      <w:r w:rsidRPr="00D34D59">
        <w:rPr>
          <w:rFonts w:ascii="Times New Roman" w:hAnsi="Times New Roman" w:cs="Times New Roman"/>
        </w:rPr>
        <w:t>PUCT Work Session, November 19, 2021, Brattle presentation at approximately 31 minutes.</w:t>
      </w:r>
    </w:p>
  </w:footnote>
  <w:footnote w:id="4">
    <w:p w14:paraId="15C0552F" w14:textId="0948478E" w:rsidR="00AB13E8" w:rsidRPr="00D34D59" w:rsidRDefault="00AB13E8">
      <w:pPr>
        <w:pStyle w:val="FootnoteText"/>
        <w:rPr>
          <w:rFonts w:ascii="Times New Roman" w:hAnsi="Times New Roman" w:cs="Times New Roman"/>
        </w:rPr>
      </w:pPr>
      <w:r>
        <w:rPr>
          <w:rStyle w:val="FootnoteReference"/>
        </w:rPr>
        <w:footnoteRef/>
      </w:r>
      <w:r>
        <w:t xml:space="preserve"> </w:t>
      </w:r>
      <w:r w:rsidR="00976204" w:rsidRPr="00D34D59">
        <w:rPr>
          <w:rFonts w:ascii="Times New Roman" w:hAnsi="Times New Roman" w:cs="Times New Roman"/>
        </w:rPr>
        <w:t>PURA §39.159(c)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CF91F" w14:textId="77777777" w:rsidR="00DA3A60" w:rsidRDefault="00DA3A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7902" w14:textId="77777777" w:rsidR="00DA3A60" w:rsidRDefault="00DA3A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44AFF" w14:textId="77777777" w:rsidR="00DA3A60" w:rsidRDefault="00DA3A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63D41"/>
    <w:multiLevelType w:val="hybridMultilevel"/>
    <w:tmpl w:val="E6C2539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46591"/>
    <w:multiLevelType w:val="hybridMultilevel"/>
    <w:tmpl w:val="DD8E2902"/>
    <w:lvl w:ilvl="0" w:tplc="660A207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10B25"/>
    <w:multiLevelType w:val="hybridMultilevel"/>
    <w:tmpl w:val="B7CC9F40"/>
    <w:lvl w:ilvl="0" w:tplc="510CAFD2">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B92850"/>
    <w:multiLevelType w:val="hybridMultilevel"/>
    <w:tmpl w:val="4EEAF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78163C"/>
    <w:multiLevelType w:val="hybridMultilevel"/>
    <w:tmpl w:val="961AF412"/>
    <w:lvl w:ilvl="0" w:tplc="54781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0B2975"/>
    <w:multiLevelType w:val="hybridMultilevel"/>
    <w:tmpl w:val="37FE84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5C11E1"/>
    <w:multiLevelType w:val="hybridMultilevel"/>
    <w:tmpl w:val="ABD2055A"/>
    <w:lvl w:ilvl="0" w:tplc="B6521E24">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E16E43"/>
    <w:multiLevelType w:val="hybridMultilevel"/>
    <w:tmpl w:val="8282316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6E05172"/>
    <w:multiLevelType w:val="hybridMultilevel"/>
    <w:tmpl w:val="9A100706"/>
    <w:lvl w:ilvl="0" w:tplc="0B96C96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107A75"/>
    <w:multiLevelType w:val="hybridMultilevel"/>
    <w:tmpl w:val="8708E1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14D3F5A"/>
    <w:multiLevelType w:val="hybridMultilevel"/>
    <w:tmpl w:val="A24A97E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450F32"/>
    <w:multiLevelType w:val="hybridMultilevel"/>
    <w:tmpl w:val="9ED49F1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611827BA"/>
    <w:multiLevelType w:val="hybridMultilevel"/>
    <w:tmpl w:val="638084F4"/>
    <w:lvl w:ilvl="0" w:tplc="C930F25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7018BB"/>
    <w:multiLevelType w:val="hybridMultilevel"/>
    <w:tmpl w:val="9512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2B0C6A"/>
    <w:multiLevelType w:val="hybridMultilevel"/>
    <w:tmpl w:val="F962E9C4"/>
    <w:lvl w:ilvl="0" w:tplc="DEDE6F9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0430F4"/>
    <w:multiLevelType w:val="hybridMultilevel"/>
    <w:tmpl w:val="A5E6FF74"/>
    <w:lvl w:ilvl="0" w:tplc="F15878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534DFC"/>
    <w:multiLevelType w:val="hybridMultilevel"/>
    <w:tmpl w:val="176497A8"/>
    <w:lvl w:ilvl="0" w:tplc="FC502B0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14"/>
  </w:num>
  <w:num w:numId="4">
    <w:abstractNumId w:val="8"/>
  </w:num>
  <w:num w:numId="5">
    <w:abstractNumId w:val="12"/>
  </w:num>
  <w:num w:numId="6">
    <w:abstractNumId w:val="16"/>
  </w:num>
  <w:num w:numId="7">
    <w:abstractNumId w:val="1"/>
  </w:num>
  <w:num w:numId="8">
    <w:abstractNumId w:val="10"/>
  </w:num>
  <w:num w:numId="9">
    <w:abstractNumId w:val="4"/>
  </w:num>
  <w:num w:numId="10">
    <w:abstractNumId w:val="2"/>
  </w:num>
  <w:num w:numId="11">
    <w:abstractNumId w:val="9"/>
  </w:num>
  <w:num w:numId="12">
    <w:abstractNumId w:val="0"/>
  </w:num>
  <w:num w:numId="13">
    <w:abstractNumId w:val="6"/>
  </w:num>
  <w:num w:numId="14">
    <w:abstractNumId w:val="7"/>
  </w:num>
  <w:num w:numId="15">
    <w:abstractNumId w:val="1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Q0tzCyNDOyNLEwMTVT0lEKTi0uzszPAykwrgUAN5l8rCwAAAA="/>
  </w:docVars>
  <w:rsids>
    <w:rsidRoot w:val="00903366"/>
    <w:rsid w:val="00001F39"/>
    <w:rsid w:val="0000253C"/>
    <w:rsid w:val="000037C3"/>
    <w:rsid w:val="00003BAC"/>
    <w:rsid w:val="00005C8C"/>
    <w:rsid w:val="00005CA8"/>
    <w:rsid w:val="00006F54"/>
    <w:rsid w:val="000072C9"/>
    <w:rsid w:val="0000761F"/>
    <w:rsid w:val="000124DB"/>
    <w:rsid w:val="00014B0B"/>
    <w:rsid w:val="00014D65"/>
    <w:rsid w:val="000165E9"/>
    <w:rsid w:val="00016937"/>
    <w:rsid w:val="000175CA"/>
    <w:rsid w:val="00017B94"/>
    <w:rsid w:val="00017F83"/>
    <w:rsid w:val="00020A7D"/>
    <w:rsid w:val="000212A0"/>
    <w:rsid w:val="0002231C"/>
    <w:rsid w:val="00022A8B"/>
    <w:rsid w:val="00025575"/>
    <w:rsid w:val="000260FE"/>
    <w:rsid w:val="000279DA"/>
    <w:rsid w:val="00030170"/>
    <w:rsid w:val="00031214"/>
    <w:rsid w:val="00032FF2"/>
    <w:rsid w:val="00033AB4"/>
    <w:rsid w:val="000359C5"/>
    <w:rsid w:val="000369CF"/>
    <w:rsid w:val="00040FD8"/>
    <w:rsid w:val="00041EE3"/>
    <w:rsid w:val="00044C72"/>
    <w:rsid w:val="000463F0"/>
    <w:rsid w:val="00047C6D"/>
    <w:rsid w:val="00050673"/>
    <w:rsid w:val="000537C6"/>
    <w:rsid w:val="000546D5"/>
    <w:rsid w:val="00054863"/>
    <w:rsid w:val="0005516B"/>
    <w:rsid w:val="000553A2"/>
    <w:rsid w:val="00057A52"/>
    <w:rsid w:val="000617BC"/>
    <w:rsid w:val="000623BE"/>
    <w:rsid w:val="00070E5C"/>
    <w:rsid w:val="00074045"/>
    <w:rsid w:val="00077431"/>
    <w:rsid w:val="00080918"/>
    <w:rsid w:val="00080D3B"/>
    <w:rsid w:val="000814F9"/>
    <w:rsid w:val="00082D7B"/>
    <w:rsid w:val="00084A46"/>
    <w:rsid w:val="000856F0"/>
    <w:rsid w:val="000856FB"/>
    <w:rsid w:val="000901A7"/>
    <w:rsid w:val="00090F60"/>
    <w:rsid w:val="00091463"/>
    <w:rsid w:val="00093D7B"/>
    <w:rsid w:val="000946F5"/>
    <w:rsid w:val="000956D3"/>
    <w:rsid w:val="000959B7"/>
    <w:rsid w:val="0009616B"/>
    <w:rsid w:val="0009658F"/>
    <w:rsid w:val="00096EEC"/>
    <w:rsid w:val="000A0590"/>
    <w:rsid w:val="000A2363"/>
    <w:rsid w:val="000A29AC"/>
    <w:rsid w:val="000A402D"/>
    <w:rsid w:val="000A460B"/>
    <w:rsid w:val="000A66C7"/>
    <w:rsid w:val="000B0A3F"/>
    <w:rsid w:val="000B0ADA"/>
    <w:rsid w:val="000B1569"/>
    <w:rsid w:val="000B20F4"/>
    <w:rsid w:val="000B3426"/>
    <w:rsid w:val="000B6FE3"/>
    <w:rsid w:val="000C08A4"/>
    <w:rsid w:val="000C1A64"/>
    <w:rsid w:val="000C261C"/>
    <w:rsid w:val="000C26BC"/>
    <w:rsid w:val="000C50A7"/>
    <w:rsid w:val="000D01FF"/>
    <w:rsid w:val="000D2936"/>
    <w:rsid w:val="000D34F4"/>
    <w:rsid w:val="000D3D36"/>
    <w:rsid w:val="000D4D36"/>
    <w:rsid w:val="000D5184"/>
    <w:rsid w:val="000D5314"/>
    <w:rsid w:val="000E13EE"/>
    <w:rsid w:val="000E3DC0"/>
    <w:rsid w:val="000E67FD"/>
    <w:rsid w:val="000F0262"/>
    <w:rsid w:val="000F1661"/>
    <w:rsid w:val="000F2836"/>
    <w:rsid w:val="000F57E1"/>
    <w:rsid w:val="000F5DFA"/>
    <w:rsid w:val="000F5F68"/>
    <w:rsid w:val="000F62F4"/>
    <w:rsid w:val="000F6CA7"/>
    <w:rsid w:val="00100326"/>
    <w:rsid w:val="001018A7"/>
    <w:rsid w:val="00101F1D"/>
    <w:rsid w:val="0010214E"/>
    <w:rsid w:val="00102C40"/>
    <w:rsid w:val="00107845"/>
    <w:rsid w:val="00110B07"/>
    <w:rsid w:val="00112513"/>
    <w:rsid w:val="00112B72"/>
    <w:rsid w:val="00113061"/>
    <w:rsid w:val="00113228"/>
    <w:rsid w:val="00113AB8"/>
    <w:rsid w:val="00115E4C"/>
    <w:rsid w:val="00117BE1"/>
    <w:rsid w:val="00117CEE"/>
    <w:rsid w:val="001204BF"/>
    <w:rsid w:val="0012082F"/>
    <w:rsid w:val="0012199F"/>
    <w:rsid w:val="001219C4"/>
    <w:rsid w:val="00122212"/>
    <w:rsid w:val="001225D0"/>
    <w:rsid w:val="00122A65"/>
    <w:rsid w:val="00122E77"/>
    <w:rsid w:val="00123986"/>
    <w:rsid w:val="00125DF3"/>
    <w:rsid w:val="00126D6F"/>
    <w:rsid w:val="00130A6A"/>
    <w:rsid w:val="00130B89"/>
    <w:rsid w:val="00131BFC"/>
    <w:rsid w:val="00131D34"/>
    <w:rsid w:val="00133D2B"/>
    <w:rsid w:val="00134021"/>
    <w:rsid w:val="00134620"/>
    <w:rsid w:val="00135330"/>
    <w:rsid w:val="0013648E"/>
    <w:rsid w:val="00137E43"/>
    <w:rsid w:val="001405E6"/>
    <w:rsid w:val="00141DF9"/>
    <w:rsid w:val="00143B1F"/>
    <w:rsid w:val="00144EF5"/>
    <w:rsid w:val="00146B44"/>
    <w:rsid w:val="00151347"/>
    <w:rsid w:val="00152B5E"/>
    <w:rsid w:val="001530B0"/>
    <w:rsid w:val="001547DC"/>
    <w:rsid w:val="0015798E"/>
    <w:rsid w:val="00157DA4"/>
    <w:rsid w:val="00157F10"/>
    <w:rsid w:val="0016082F"/>
    <w:rsid w:val="00162229"/>
    <w:rsid w:val="00162A5B"/>
    <w:rsid w:val="001638B9"/>
    <w:rsid w:val="00164FB5"/>
    <w:rsid w:val="00165159"/>
    <w:rsid w:val="0016709A"/>
    <w:rsid w:val="00167D5B"/>
    <w:rsid w:val="00172373"/>
    <w:rsid w:val="001726D3"/>
    <w:rsid w:val="001746F7"/>
    <w:rsid w:val="0017483C"/>
    <w:rsid w:val="001776A8"/>
    <w:rsid w:val="00180238"/>
    <w:rsid w:val="00180846"/>
    <w:rsid w:val="00182542"/>
    <w:rsid w:val="00183DB6"/>
    <w:rsid w:val="001850E7"/>
    <w:rsid w:val="001851EF"/>
    <w:rsid w:val="0018672F"/>
    <w:rsid w:val="00186EFB"/>
    <w:rsid w:val="00190CCF"/>
    <w:rsid w:val="00193570"/>
    <w:rsid w:val="00194438"/>
    <w:rsid w:val="00194746"/>
    <w:rsid w:val="00194799"/>
    <w:rsid w:val="001956BF"/>
    <w:rsid w:val="001A1212"/>
    <w:rsid w:val="001A1AF1"/>
    <w:rsid w:val="001A2197"/>
    <w:rsid w:val="001A278E"/>
    <w:rsid w:val="001A3CA4"/>
    <w:rsid w:val="001A4943"/>
    <w:rsid w:val="001A728D"/>
    <w:rsid w:val="001A7B3A"/>
    <w:rsid w:val="001B221C"/>
    <w:rsid w:val="001B2EC5"/>
    <w:rsid w:val="001B44B0"/>
    <w:rsid w:val="001B53EC"/>
    <w:rsid w:val="001B588B"/>
    <w:rsid w:val="001B6A30"/>
    <w:rsid w:val="001B7162"/>
    <w:rsid w:val="001B717D"/>
    <w:rsid w:val="001B7876"/>
    <w:rsid w:val="001C0E9E"/>
    <w:rsid w:val="001C24F0"/>
    <w:rsid w:val="001C2673"/>
    <w:rsid w:val="001C3665"/>
    <w:rsid w:val="001C4D34"/>
    <w:rsid w:val="001C56C9"/>
    <w:rsid w:val="001C5765"/>
    <w:rsid w:val="001C7B56"/>
    <w:rsid w:val="001E0FFF"/>
    <w:rsid w:val="001E4499"/>
    <w:rsid w:val="001E5C81"/>
    <w:rsid w:val="001E68B3"/>
    <w:rsid w:val="001E7977"/>
    <w:rsid w:val="001F1363"/>
    <w:rsid w:val="001F1F21"/>
    <w:rsid w:val="001F2B3C"/>
    <w:rsid w:val="001F2CF3"/>
    <w:rsid w:val="001F41AA"/>
    <w:rsid w:val="001F5B1B"/>
    <w:rsid w:val="001F7077"/>
    <w:rsid w:val="00200125"/>
    <w:rsid w:val="00200732"/>
    <w:rsid w:val="002025CF"/>
    <w:rsid w:val="002033AC"/>
    <w:rsid w:val="00203570"/>
    <w:rsid w:val="002049CF"/>
    <w:rsid w:val="002054D1"/>
    <w:rsid w:val="0020621E"/>
    <w:rsid w:val="0020696B"/>
    <w:rsid w:val="00206CF1"/>
    <w:rsid w:val="00206EAC"/>
    <w:rsid w:val="0020704A"/>
    <w:rsid w:val="002105B4"/>
    <w:rsid w:val="0021255C"/>
    <w:rsid w:val="0021324D"/>
    <w:rsid w:val="00213848"/>
    <w:rsid w:val="00214266"/>
    <w:rsid w:val="002157D3"/>
    <w:rsid w:val="00223DD4"/>
    <w:rsid w:val="00224FF4"/>
    <w:rsid w:val="00226757"/>
    <w:rsid w:val="002270D7"/>
    <w:rsid w:val="0023089C"/>
    <w:rsid w:val="00232A36"/>
    <w:rsid w:val="00234E33"/>
    <w:rsid w:val="002403D8"/>
    <w:rsid w:val="00241231"/>
    <w:rsid w:val="00241810"/>
    <w:rsid w:val="002430B8"/>
    <w:rsid w:val="00244797"/>
    <w:rsid w:val="002450AA"/>
    <w:rsid w:val="0024535D"/>
    <w:rsid w:val="00246545"/>
    <w:rsid w:val="00246F26"/>
    <w:rsid w:val="00250A13"/>
    <w:rsid w:val="00251E0D"/>
    <w:rsid w:val="00252D00"/>
    <w:rsid w:val="00253B92"/>
    <w:rsid w:val="00254CCF"/>
    <w:rsid w:val="0025677F"/>
    <w:rsid w:val="00257986"/>
    <w:rsid w:val="002616F9"/>
    <w:rsid w:val="00261B41"/>
    <w:rsid w:val="00262CF1"/>
    <w:rsid w:val="002662ED"/>
    <w:rsid w:val="0027278A"/>
    <w:rsid w:val="0027418E"/>
    <w:rsid w:val="0027496C"/>
    <w:rsid w:val="0027525F"/>
    <w:rsid w:val="002756CC"/>
    <w:rsid w:val="00275B3F"/>
    <w:rsid w:val="002762E9"/>
    <w:rsid w:val="00277575"/>
    <w:rsid w:val="002815CD"/>
    <w:rsid w:val="00283627"/>
    <w:rsid w:val="00283F17"/>
    <w:rsid w:val="00285B29"/>
    <w:rsid w:val="002867B1"/>
    <w:rsid w:val="00290BDC"/>
    <w:rsid w:val="00293F2E"/>
    <w:rsid w:val="00294460"/>
    <w:rsid w:val="002945BC"/>
    <w:rsid w:val="00294CF4"/>
    <w:rsid w:val="00294F6D"/>
    <w:rsid w:val="00296D26"/>
    <w:rsid w:val="00297EB2"/>
    <w:rsid w:val="002A19D1"/>
    <w:rsid w:val="002A2118"/>
    <w:rsid w:val="002A2C7C"/>
    <w:rsid w:val="002A547F"/>
    <w:rsid w:val="002B0537"/>
    <w:rsid w:val="002B15B7"/>
    <w:rsid w:val="002B22BC"/>
    <w:rsid w:val="002B3CF3"/>
    <w:rsid w:val="002B4614"/>
    <w:rsid w:val="002B6E0F"/>
    <w:rsid w:val="002C091E"/>
    <w:rsid w:val="002C0969"/>
    <w:rsid w:val="002C13FA"/>
    <w:rsid w:val="002C14D1"/>
    <w:rsid w:val="002C1F3F"/>
    <w:rsid w:val="002C372C"/>
    <w:rsid w:val="002C45FA"/>
    <w:rsid w:val="002C6E30"/>
    <w:rsid w:val="002C7F38"/>
    <w:rsid w:val="002D0E22"/>
    <w:rsid w:val="002D183B"/>
    <w:rsid w:val="002D19E6"/>
    <w:rsid w:val="002D44C6"/>
    <w:rsid w:val="002E03A2"/>
    <w:rsid w:val="002E1FA5"/>
    <w:rsid w:val="002E2ED4"/>
    <w:rsid w:val="002E46AA"/>
    <w:rsid w:val="002E4BD6"/>
    <w:rsid w:val="002E4C75"/>
    <w:rsid w:val="002E56CC"/>
    <w:rsid w:val="002E59A4"/>
    <w:rsid w:val="002E62DC"/>
    <w:rsid w:val="002F1A52"/>
    <w:rsid w:val="002F21A0"/>
    <w:rsid w:val="002F3E49"/>
    <w:rsid w:val="002F6811"/>
    <w:rsid w:val="002F74E4"/>
    <w:rsid w:val="003002AD"/>
    <w:rsid w:val="0030075C"/>
    <w:rsid w:val="0030566C"/>
    <w:rsid w:val="003063A2"/>
    <w:rsid w:val="003072C5"/>
    <w:rsid w:val="00307D11"/>
    <w:rsid w:val="003117E4"/>
    <w:rsid w:val="003154BA"/>
    <w:rsid w:val="003156BD"/>
    <w:rsid w:val="0031674D"/>
    <w:rsid w:val="003167EF"/>
    <w:rsid w:val="003168B9"/>
    <w:rsid w:val="003177CE"/>
    <w:rsid w:val="00320A7F"/>
    <w:rsid w:val="003211EC"/>
    <w:rsid w:val="00321653"/>
    <w:rsid w:val="00322312"/>
    <w:rsid w:val="00322800"/>
    <w:rsid w:val="003229F1"/>
    <w:rsid w:val="00323A8C"/>
    <w:rsid w:val="003241C5"/>
    <w:rsid w:val="003250B7"/>
    <w:rsid w:val="003266E3"/>
    <w:rsid w:val="00326FB5"/>
    <w:rsid w:val="00327376"/>
    <w:rsid w:val="00327699"/>
    <w:rsid w:val="0032771F"/>
    <w:rsid w:val="00327E54"/>
    <w:rsid w:val="00330568"/>
    <w:rsid w:val="00331630"/>
    <w:rsid w:val="00332202"/>
    <w:rsid w:val="00333196"/>
    <w:rsid w:val="0033572A"/>
    <w:rsid w:val="00335D03"/>
    <w:rsid w:val="0033758B"/>
    <w:rsid w:val="0033773C"/>
    <w:rsid w:val="00337A73"/>
    <w:rsid w:val="00342054"/>
    <w:rsid w:val="003436CD"/>
    <w:rsid w:val="00343940"/>
    <w:rsid w:val="0034580C"/>
    <w:rsid w:val="003458ED"/>
    <w:rsid w:val="00345D64"/>
    <w:rsid w:val="003472F1"/>
    <w:rsid w:val="0034767B"/>
    <w:rsid w:val="00350F87"/>
    <w:rsid w:val="0035146B"/>
    <w:rsid w:val="003524AE"/>
    <w:rsid w:val="00352EDC"/>
    <w:rsid w:val="003536A1"/>
    <w:rsid w:val="00355B79"/>
    <w:rsid w:val="00361AD7"/>
    <w:rsid w:val="00362B13"/>
    <w:rsid w:val="003635E4"/>
    <w:rsid w:val="003641F1"/>
    <w:rsid w:val="00365283"/>
    <w:rsid w:val="00365FFB"/>
    <w:rsid w:val="0036787C"/>
    <w:rsid w:val="00370E4A"/>
    <w:rsid w:val="00371764"/>
    <w:rsid w:val="00372BF4"/>
    <w:rsid w:val="003733BC"/>
    <w:rsid w:val="003736B5"/>
    <w:rsid w:val="0037447F"/>
    <w:rsid w:val="0037574A"/>
    <w:rsid w:val="00375F26"/>
    <w:rsid w:val="00376FEA"/>
    <w:rsid w:val="00377C0C"/>
    <w:rsid w:val="00380EA4"/>
    <w:rsid w:val="003828BA"/>
    <w:rsid w:val="00385AF5"/>
    <w:rsid w:val="0038683E"/>
    <w:rsid w:val="00386D91"/>
    <w:rsid w:val="00386F3B"/>
    <w:rsid w:val="003877B0"/>
    <w:rsid w:val="00387870"/>
    <w:rsid w:val="00391056"/>
    <w:rsid w:val="00391A84"/>
    <w:rsid w:val="003921B0"/>
    <w:rsid w:val="00392384"/>
    <w:rsid w:val="00392C68"/>
    <w:rsid w:val="0039458E"/>
    <w:rsid w:val="00395915"/>
    <w:rsid w:val="00396ECC"/>
    <w:rsid w:val="003A04FE"/>
    <w:rsid w:val="003A14F0"/>
    <w:rsid w:val="003A294F"/>
    <w:rsid w:val="003A2C3C"/>
    <w:rsid w:val="003A45C0"/>
    <w:rsid w:val="003A5ED6"/>
    <w:rsid w:val="003A602E"/>
    <w:rsid w:val="003B0D44"/>
    <w:rsid w:val="003B2796"/>
    <w:rsid w:val="003B5001"/>
    <w:rsid w:val="003B72C5"/>
    <w:rsid w:val="003C07BA"/>
    <w:rsid w:val="003C0A98"/>
    <w:rsid w:val="003C0CCE"/>
    <w:rsid w:val="003C2579"/>
    <w:rsid w:val="003C307B"/>
    <w:rsid w:val="003C3564"/>
    <w:rsid w:val="003C422D"/>
    <w:rsid w:val="003C69A2"/>
    <w:rsid w:val="003C6AAD"/>
    <w:rsid w:val="003C6E05"/>
    <w:rsid w:val="003D3349"/>
    <w:rsid w:val="003D4124"/>
    <w:rsid w:val="003D6249"/>
    <w:rsid w:val="003E0078"/>
    <w:rsid w:val="003E0966"/>
    <w:rsid w:val="003E0B3F"/>
    <w:rsid w:val="003E1484"/>
    <w:rsid w:val="003E19BB"/>
    <w:rsid w:val="003E3F6E"/>
    <w:rsid w:val="003E4901"/>
    <w:rsid w:val="003E63FC"/>
    <w:rsid w:val="003E75EF"/>
    <w:rsid w:val="003F16AC"/>
    <w:rsid w:val="003F379E"/>
    <w:rsid w:val="003F4752"/>
    <w:rsid w:val="003F50E8"/>
    <w:rsid w:val="003F57E6"/>
    <w:rsid w:val="003F649A"/>
    <w:rsid w:val="004011A2"/>
    <w:rsid w:val="004015B8"/>
    <w:rsid w:val="00402342"/>
    <w:rsid w:val="00402407"/>
    <w:rsid w:val="00410B5E"/>
    <w:rsid w:val="00410CA2"/>
    <w:rsid w:val="004120EE"/>
    <w:rsid w:val="00412630"/>
    <w:rsid w:val="00413C41"/>
    <w:rsid w:val="00414182"/>
    <w:rsid w:val="00415366"/>
    <w:rsid w:val="00415ABD"/>
    <w:rsid w:val="00416CE2"/>
    <w:rsid w:val="004211CD"/>
    <w:rsid w:val="00422C52"/>
    <w:rsid w:val="004239CD"/>
    <w:rsid w:val="0042440E"/>
    <w:rsid w:val="00424974"/>
    <w:rsid w:val="00424C9C"/>
    <w:rsid w:val="00425250"/>
    <w:rsid w:val="0042581F"/>
    <w:rsid w:val="00425D8D"/>
    <w:rsid w:val="0042621E"/>
    <w:rsid w:val="0042626A"/>
    <w:rsid w:val="004300B1"/>
    <w:rsid w:val="00433E80"/>
    <w:rsid w:val="004357AA"/>
    <w:rsid w:val="0043653D"/>
    <w:rsid w:val="00436611"/>
    <w:rsid w:val="00441593"/>
    <w:rsid w:val="00443005"/>
    <w:rsid w:val="0044492B"/>
    <w:rsid w:val="0044583E"/>
    <w:rsid w:val="00445A50"/>
    <w:rsid w:val="004463B0"/>
    <w:rsid w:val="004504C1"/>
    <w:rsid w:val="004513BD"/>
    <w:rsid w:val="00453789"/>
    <w:rsid w:val="0045387F"/>
    <w:rsid w:val="004539B4"/>
    <w:rsid w:val="00453A4E"/>
    <w:rsid w:val="00453FEE"/>
    <w:rsid w:val="00455568"/>
    <w:rsid w:val="00455773"/>
    <w:rsid w:val="00456243"/>
    <w:rsid w:val="00457A57"/>
    <w:rsid w:val="00460305"/>
    <w:rsid w:val="0046092F"/>
    <w:rsid w:val="00462034"/>
    <w:rsid w:val="00462323"/>
    <w:rsid w:val="0046304B"/>
    <w:rsid w:val="0046487D"/>
    <w:rsid w:val="0046493E"/>
    <w:rsid w:val="00466199"/>
    <w:rsid w:val="00466591"/>
    <w:rsid w:val="00471A1D"/>
    <w:rsid w:val="00472792"/>
    <w:rsid w:val="004746BD"/>
    <w:rsid w:val="00474850"/>
    <w:rsid w:val="0047486D"/>
    <w:rsid w:val="00475312"/>
    <w:rsid w:val="004754F8"/>
    <w:rsid w:val="00477C2C"/>
    <w:rsid w:val="00477FA9"/>
    <w:rsid w:val="00481D2D"/>
    <w:rsid w:val="0048202E"/>
    <w:rsid w:val="00482704"/>
    <w:rsid w:val="00484654"/>
    <w:rsid w:val="00490007"/>
    <w:rsid w:val="00492AA9"/>
    <w:rsid w:val="004930F2"/>
    <w:rsid w:val="004938D0"/>
    <w:rsid w:val="00494524"/>
    <w:rsid w:val="00494C70"/>
    <w:rsid w:val="0049532E"/>
    <w:rsid w:val="00496540"/>
    <w:rsid w:val="004979A5"/>
    <w:rsid w:val="00497C9E"/>
    <w:rsid w:val="00497EE1"/>
    <w:rsid w:val="004A2300"/>
    <w:rsid w:val="004A3A36"/>
    <w:rsid w:val="004A4BC0"/>
    <w:rsid w:val="004A5B8C"/>
    <w:rsid w:val="004A64AD"/>
    <w:rsid w:val="004A65E1"/>
    <w:rsid w:val="004A77BB"/>
    <w:rsid w:val="004A7F97"/>
    <w:rsid w:val="004B4840"/>
    <w:rsid w:val="004B745E"/>
    <w:rsid w:val="004C1059"/>
    <w:rsid w:val="004C4DAE"/>
    <w:rsid w:val="004C4EC3"/>
    <w:rsid w:val="004C612C"/>
    <w:rsid w:val="004C6D91"/>
    <w:rsid w:val="004C741B"/>
    <w:rsid w:val="004D1D11"/>
    <w:rsid w:val="004D254D"/>
    <w:rsid w:val="004D2CAF"/>
    <w:rsid w:val="004D3013"/>
    <w:rsid w:val="004D662F"/>
    <w:rsid w:val="004D6C6D"/>
    <w:rsid w:val="004D7E1E"/>
    <w:rsid w:val="004E19A1"/>
    <w:rsid w:val="004E2A5E"/>
    <w:rsid w:val="004E3406"/>
    <w:rsid w:val="004E384D"/>
    <w:rsid w:val="004E3B86"/>
    <w:rsid w:val="004E49CF"/>
    <w:rsid w:val="004E4C4B"/>
    <w:rsid w:val="004E65C7"/>
    <w:rsid w:val="004E6C10"/>
    <w:rsid w:val="004E6F48"/>
    <w:rsid w:val="004F01A7"/>
    <w:rsid w:val="004F0545"/>
    <w:rsid w:val="004F2B00"/>
    <w:rsid w:val="004F4AA0"/>
    <w:rsid w:val="004F58D3"/>
    <w:rsid w:val="004F5DF0"/>
    <w:rsid w:val="00501569"/>
    <w:rsid w:val="00502A04"/>
    <w:rsid w:val="005033D7"/>
    <w:rsid w:val="0050419B"/>
    <w:rsid w:val="00507E7D"/>
    <w:rsid w:val="0051122E"/>
    <w:rsid w:val="00511E6D"/>
    <w:rsid w:val="00512D41"/>
    <w:rsid w:val="00515590"/>
    <w:rsid w:val="00515E60"/>
    <w:rsid w:val="00516318"/>
    <w:rsid w:val="00517064"/>
    <w:rsid w:val="00517635"/>
    <w:rsid w:val="00517C71"/>
    <w:rsid w:val="00520194"/>
    <w:rsid w:val="005208AE"/>
    <w:rsid w:val="00522061"/>
    <w:rsid w:val="00523344"/>
    <w:rsid w:val="005256CF"/>
    <w:rsid w:val="00525744"/>
    <w:rsid w:val="00525A39"/>
    <w:rsid w:val="005266AC"/>
    <w:rsid w:val="00527DD1"/>
    <w:rsid w:val="00530DD7"/>
    <w:rsid w:val="00531A93"/>
    <w:rsid w:val="005321F8"/>
    <w:rsid w:val="0053259A"/>
    <w:rsid w:val="0053453C"/>
    <w:rsid w:val="00534984"/>
    <w:rsid w:val="00536432"/>
    <w:rsid w:val="00536A81"/>
    <w:rsid w:val="005418D0"/>
    <w:rsid w:val="0054336E"/>
    <w:rsid w:val="005462E0"/>
    <w:rsid w:val="00547A79"/>
    <w:rsid w:val="00551A59"/>
    <w:rsid w:val="00551CAF"/>
    <w:rsid w:val="005528CA"/>
    <w:rsid w:val="00553772"/>
    <w:rsid w:val="0055447B"/>
    <w:rsid w:val="005604C9"/>
    <w:rsid w:val="0056164F"/>
    <w:rsid w:val="00562020"/>
    <w:rsid w:val="005627D4"/>
    <w:rsid w:val="00562885"/>
    <w:rsid w:val="0056307D"/>
    <w:rsid w:val="00563F35"/>
    <w:rsid w:val="00564FF0"/>
    <w:rsid w:val="00567339"/>
    <w:rsid w:val="00567B52"/>
    <w:rsid w:val="005706BE"/>
    <w:rsid w:val="00570D0E"/>
    <w:rsid w:val="00570DF6"/>
    <w:rsid w:val="00570F5F"/>
    <w:rsid w:val="00571486"/>
    <w:rsid w:val="00571751"/>
    <w:rsid w:val="00572F6C"/>
    <w:rsid w:val="00573C5F"/>
    <w:rsid w:val="00575BCB"/>
    <w:rsid w:val="00576E2C"/>
    <w:rsid w:val="00577C3D"/>
    <w:rsid w:val="00580236"/>
    <w:rsid w:val="0058076B"/>
    <w:rsid w:val="005824C1"/>
    <w:rsid w:val="005856CC"/>
    <w:rsid w:val="00585D47"/>
    <w:rsid w:val="005876FB"/>
    <w:rsid w:val="00587BB3"/>
    <w:rsid w:val="0059134F"/>
    <w:rsid w:val="00591A48"/>
    <w:rsid w:val="00594776"/>
    <w:rsid w:val="00594C23"/>
    <w:rsid w:val="005954C2"/>
    <w:rsid w:val="005954E6"/>
    <w:rsid w:val="00595D78"/>
    <w:rsid w:val="00597485"/>
    <w:rsid w:val="005A0024"/>
    <w:rsid w:val="005A05E0"/>
    <w:rsid w:val="005A1745"/>
    <w:rsid w:val="005A1E71"/>
    <w:rsid w:val="005A21CA"/>
    <w:rsid w:val="005A2FD0"/>
    <w:rsid w:val="005A5F6F"/>
    <w:rsid w:val="005A761C"/>
    <w:rsid w:val="005B713C"/>
    <w:rsid w:val="005B7665"/>
    <w:rsid w:val="005B7F85"/>
    <w:rsid w:val="005C0815"/>
    <w:rsid w:val="005C0D79"/>
    <w:rsid w:val="005C0E85"/>
    <w:rsid w:val="005C11E6"/>
    <w:rsid w:val="005C15D1"/>
    <w:rsid w:val="005C6B71"/>
    <w:rsid w:val="005C78BC"/>
    <w:rsid w:val="005D1351"/>
    <w:rsid w:val="005D65E2"/>
    <w:rsid w:val="005D778E"/>
    <w:rsid w:val="005E044E"/>
    <w:rsid w:val="005E08F4"/>
    <w:rsid w:val="005E3964"/>
    <w:rsid w:val="005E4D76"/>
    <w:rsid w:val="005E5737"/>
    <w:rsid w:val="005E7679"/>
    <w:rsid w:val="005F01F0"/>
    <w:rsid w:val="005F066E"/>
    <w:rsid w:val="005F17A7"/>
    <w:rsid w:val="005F50BE"/>
    <w:rsid w:val="005F6682"/>
    <w:rsid w:val="00602162"/>
    <w:rsid w:val="00602826"/>
    <w:rsid w:val="00602A79"/>
    <w:rsid w:val="006034E5"/>
    <w:rsid w:val="0060396D"/>
    <w:rsid w:val="00604101"/>
    <w:rsid w:val="00604918"/>
    <w:rsid w:val="00606C6A"/>
    <w:rsid w:val="006074FD"/>
    <w:rsid w:val="00607A4A"/>
    <w:rsid w:val="00607F8C"/>
    <w:rsid w:val="00610F9E"/>
    <w:rsid w:val="00611944"/>
    <w:rsid w:val="0061205E"/>
    <w:rsid w:val="00613468"/>
    <w:rsid w:val="00613A6F"/>
    <w:rsid w:val="0061531D"/>
    <w:rsid w:val="0061532A"/>
    <w:rsid w:val="00616077"/>
    <w:rsid w:val="00616239"/>
    <w:rsid w:val="00617737"/>
    <w:rsid w:val="00620651"/>
    <w:rsid w:val="006212F4"/>
    <w:rsid w:val="006217B8"/>
    <w:rsid w:val="00623215"/>
    <w:rsid w:val="00623A9A"/>
    <w:rsid w:val="0062622D"/>
    <w:rsid w:val="00627712"/>
    <w:rsid w:val="0063103B"/>
    <w:rsid w:val="00631B47"/>
    <w:rsid w:val="00633975"/>
    <w:rsid w:val="00633D33"/>
    <w:rsid w:val="006368D3"/>
    <w:rsid w:val="00636D44"/>
    <w:rsid w:val="00640007"/>
    <w:rsid w:val="006418DF"/>
    <w:rsid w:val="0064198B"/>
    <w:rsid w:val="006422EA"/>
    <w:rsid w:val="006424FE"/>
    <w:rsid w:val="0064349A"/>
    <w:rsid w:val="0064447E"/>
    <w:rsid w:val="00644BAB"/>
    <w:rsid w:val="00650FC5"/>
    <w:rsid w:val="0065234E"/>
    <w:rsid w:val="00652ACD"/>
    <w:rsid w:val="00652E6B"/>
    <w:rsid w:val="00655088"/>
    <w:rsid w:val="0066048B"/>
    <w:rsid w:val="00663156"/>
    <w:rsid w:val="00667465"/>
    <w:rsid w:val="006679FD"/>
    <w:rsid w:val="00667B83"/>
    <w:rsid w:val="00670C59"/>
    <w:rsid w:val="00670CB6"/>
    <w:rsid w:val="006756ED"/>
    <w:rsid w:val="006757D8"/>
    <w:rsid w:val="00681AB0"/>
    <w:rsid w:val="00682527"/>
    <w:rsid w:val="006828B7"/>
    <w:rsid w:val="00684F5D"/>
    <w:rsid w:val="0068510F"/>
    <w:rsid w:val="006854A8"/>
    <w:rsid w:val="006872F4"/>
    <w:rsid w:val="00690C92"/>
    <w:rsid w:val="00691191"/>
    <w:rsid w:val="006922AC"/>
    <w:rsid w:val="00692B4F"/>
    <w:rsid w:val="00693620"/>
    <w:rsid w:val="00695102"/>
    <w:rsid w:val="006975C6"/>
    <w:rsid w:val="0069760D"/>
    <w:rsid w:val="006A0467"/>
    <w:rsid w:val="006A0E14"/>
    <w:rsid w:val="006A40A0"/>
    <w:rsid w:val="006A44D0"/>
    <w:rsid w:val="006A4F60"/>
    <w:rsid w:val="006A57A1"/>
    <w:rsid w:val="006B0B9D"/>
    <w:rsid w:val="006B260B"/>
    <w:rsid w:val="006B278C"/>
    <w:rsid w:val="006B2824"/>
    <w:rsid w:val="006B32AC"/>
    <w:rsid w:val="006B34C8"/>
    <w:rsid w:val="006B3F49"/>
    <w:rsid w:val="006B5798"/>
    <w:rsid w:val="006B596F"/>
    <w:rsid w:val="006B5D12"/>
    <w:rsid w:val="006B5FEF"/>
    <w:rsid w:val="006B62B0"/>
    <w:rsid w:val="006C2466"/>
    <w:rsid w:val="006C475B"/>
    <w:rsid w:val="006C4CB5"/>
    <w:rsid w:val="006C4CD5"/>
    <w:rsid w:val="006C6D43"/>
    <w:rsid w:val="006C6DD2"/>
    <w:rsid w:val="006C7CF5"/>
    <w:rsid w:val="006D30D0"/>
    <w:rsid w:val="006D3525"/>
    <w:rsid w:val="006D571D"/>
    <w:rsid w:val="006D66F3"/>
    <w:rsid w:val="006E2C4D"/>
    <w:rsid w:val="006E4DF0"/>
    <w:rsid w:val="006E573E"/>
    <w:rsid w:val="006E590D"/>
    <w:rsid w:val="006E5EDE"/>
    <w:rsid w:val="006E76A9"/>
    <w:rsid w:val="006F084C"/>
    <w:rsid w:val="006F176E"/>
    <w:rsid w:val="006F18D2"/>
    <w:rsid w:val="006F21D8"/>
    <w:rsid w:val="006F3B7F"/>
    <w:rsid w:val="006F4107"/>
    <w:rsid w:val="006F7A04"/>
    <w:rsid w:val="00700F05"/>
    <w:rsid w:val="00701323"/>
    <w:rsid w:val="00701557"/>
    <w:rsid w:val="0070297E"/>
    <w:rsid w:val="00702B65"/>
    <w:rsid w:val="00703D30"/>
    <w:rsid w:val="00705CF5"/>
    <w:rsid w:val="0070697A"/>
    <w:rsid w:val="007071FF"/>
    <w:rsid w:val="00712446"/>
    <w:rsid w:val="00713A30"/>
    <w:rsid w:val="00713CCE"/>
    <w:rsid w:val="0071465E"/>
    <w:rsid w:val="007154D7"/>
    <w:rsid w:val="0071571E"/>
    <w:rsid w:val="00717FAE"/>
    <w:rsid w:val="00720315"/>
    <w:rsid w:val="00720DB6"/>
    <w:rsid w:val="007215B6"/>
    <w:rsid w:val="00722444"/>
    <w:rsid w:val="00723D87"/>
    <w:rsid w:val="00724690"/>
    <w:rsid w:val="0072469A"/>
    <w:rsid w:val="00725DFC"/>
    <w:rsid w:val="00726B36"/>
    <w:rsid w:val="007274D3"/>
    <w:rsid w:val="0072787B"/>
    <w:rsid w:val="00731D7B"/>
    <w:rsid w:val="00733C05"/>
    <w:rsid w:val="00734873"/>
    <w:rsid w:val="0073624B"/>
    <w:rsid w:val="00736AB0"/>
    <w:rsid w:val="00736EAB"/>
    <w:rsid w:val="0074366F"/>
    <w:rsid w:val="00746B82"/>
    <w:rsid w:val="00747E09"/>
    <w:rsid w:val="007504C3"/>
    <w:rsid w:val="00750911"/>
    <w:rsid w:val="00751A60"/>
    <w:rsid w:val="00753B2F"/>
    <w:rsid w:val="00754031"/>
    <w:rsid w:val="00754792"/>
    <w:rsid w:val="00754BAD"/>
    <w:rsid w:val="0075531F"/>
    <w:rsid w:val="00756B87"/>
    <w:rsid w:val="00757E44"/>
    <w:rsid w:val="00760974"/>
    <w:rsid w:val="00761AEB"/>
    <w:rsid w:val="00763798"/>
    <w:rsid w:val="007645AE"/>
    <w:rsid w:val="00764734"/>
    <w:rsid w:val="00765319"/>
    <w:rsid w:val="00765DA7"/>
    <w:rsid w:val="00770FFF"/>
    <w:rsid w:val="00771EB8"/>
    <w:rsid w:val="00772C1B"/>
    <w:rsid w:val="00776147"/>
    <w:rsid w:val="007802B6"/>
    <w:rsid w:val="00780612"/>
    <w:rsid w:val="00782E0F"/>
    <w:rsid w:val="007833E5"/>
    <w:rsid w:val="00783ACE"/>
    <w:rsid w:val="00784677"/>
    <w:rsid w:val="00785C22"/>
    <w:rsid w:val="00785E9E"/>
    <w:rsid w:val="00785F6B"/>
    <w:rsid w:val="007866DC"/>
    <w:rsid w:val="00786867"/>
    <w:rsid w:val="007903FF"/>
    <w:rsid w:val="00791C6A"/>
    <w:rsid w:val="00791DDD"/>
    <w:rsid w:val="0079247F"/>
    <w:rsid w:val="00792650"/>
    <w:rsid w:val="00792704"/>
    <w:rsid w:val="00792EA7"/>
    <w:rsid w:val="00793B14"/>
    <w:rsid w:val="0079443E"/>
    <w:rsid w:val="007952DA"/>
    <w:rsid w:val="0079612E"/>
    <w:rsid w:val="00797C21"/>
    <w:rsid w:val="00797E65"/>
    <w:rsid w:val="007A3587"/>
    <w:rsid w:val="007A38DC"/>
    <w:rsid w:val="007A4946"/>
    <w:rsid w:val="007A495E"/>
    <w:rsid w:val="007A705D"/>
    <w:rsid w:val="007A7131"/>
    <w:rsid w:val="007B153C"/>
    <w:rsid w:val="007B4803"/>
    <w:rsid w:val="007B66E4"/>
    <w:rsid w:val="007B6A1B"/>
    <w:rsid w:val="007B73DF"/>
    <w:rsid w:val="007B7D90"/>
    <w:rsid w:val="007C01EF"/>
    <w:rsid w:val="007C0D56"/>
    <w:rsid w:val="007C140E"/>
    <w:rsid w:val="007C2551"/>
    <w:rsid w:val="007C5B1E"/>
    <w:rsid w:val="007C5B99"/>
    <w:rsid w:val="007D18C0"/>
    <w:rsid w:val="007D2DC3"/>
    <w:rsid w:val="007D2E89"/>
    <w:rsid w:val="007D4BCA"/>
    <w:rsid w:val="007D6B42"/>
    <w:rsid w:val="007D7DA5"/>
    <w:rsid w:val="007E0C09"/>
    <w:rsid w:val="007E1B83"/>
    <w:rsid w:val="007E1B8C"/>
    <w:rsid w:val="007E2991"/>
    <w:rsid w:val="007E2B5C"/>
    <w:rsid w:val="007E3FAA"/>
    <w:rsid w:val="007E6234"/>
    <w:rsid w:val="007E645F"/>
    <w:rsid w:val="007E6C27"/>
    <w:rsid w:val="007F1BAA"/>
    <w:rsid w:val="007F331C"/>
    <w:rsid w:val="007F5382"/>
    <w:rsid w:val="007F56BD"/>
    <w:rsid w:val="007F6443"/>
    <w:rsid w:val="007F65E3"/>
    <w:rsid w:val="00800F65"/>
    <w:rsid w:val="00801002"/>
    <w:rsid w:val="00802106"/>
    <w:rsid w:val="00803502"/>
    <w:rsid w:val="00805651"/>
    <w:rsid w:val="00805669"/>
    <w:rsid w:val="00814999"/>
    <w:rsid w:val="00816D7B"/>
    <w:rsid w:val="00817A91"/>
    <w:rsid w:val="0082127F"/>
    <w:rsid w:val="00821A2F"/>
    <w:rsid w:val="00822210"/>
    <w:rsid w:val="00822691"/>
    <w:rsid w:val="00822FF4"/>
    <w:rsid w:val="00825301"/>
    <w:rsid w:val="00825CC2"/>
    <w:rsid w:val="00826247"/>
    <w:rsid w:val="00826ED7"/>
    <w:rsid w:val="008309E7"/>
    <w:rsid w:val="00830E0E"/>
    <w:rsid w:val="00834060"/>
    <w:rsid w:val="008346F5"/>
    <w:rsid w:val="008348BE"/>
    <w:rsid w:val="00835661"/>
    <w:rsid w:val="00835B35"/>
    <w:rsid w:val="0083709E"/>
    <w:rsid w:val="00842581"/>
    <w:rsid w:val="00843DA9"/>
    <w:rsid w:val="008459B0"/>
    <w:rsid w:val="00847EB0"/>
    <w:rsid w:val="00850DB8"/>
    <w:rsid w:val="008526E4"/>
    <w:rsid w:val="00852AA5"/>
    <w:rsid w:val="008531A6"/>
    <w:rsid w:val="008547D4"/>
    <w:rsid w:val="0085594B"/>
    <w:rsid w:val="00857FE4"/>
    <w:rsid w:val="00860613"/>
    <w:rsid w:val="00860990"/>
    <w:rsid w:val="00861129"/>
    <w:rsid w:val="00862141"/>
    <w:rsid w:val="00862C6B"/>
    <w:rsid w:val="008650A6"/>
    <w:rsid w:val="0087002D"/>
    <w:rsid w:val="00870B24"/>
    <w:rsid w:val="00871213"/>
    <w:rsid w:val="008726D1"/>
    <w:rsid w:val="00874185"/>
    <w:rsid w:val="00874A6C"/>
    <w:rsid w:val="00875AFA"/>
    <w:rsid w:val="00882905"/>
    <w:rsid w:val="00885328"/>
    <w:rsid w:val="00885881"/>
    <w:rsid w:val="008901FD"/>
    <w:rsid w:val="00893067"/>
    <w:rsid w:val="008949C3"/>
    <w:rsid w:val="00894F42"/>
    <w:rsid w:val="008966C9"/>
    <w:rsid w:val="008A0B2B"/>
    <w:rsid w:val="008A1362"/>
    <w:rsid w:val="008A381C"/>
    <w:rsid w:val="008A51F1"/>
    <w:rsid w:val="008A5EEB"/>
    <w:rsid w:val="008A6697"/>
    <w:rsid w:val="008B03A4"/>
    <w:rsid w:val="008B1865"/>
    <w:rsid w:val="008B2386"/>
    <w:rsid w:val="008B33BF"/>
    <w:rsid w:val="008B3A79"/>
    <w:rsid w:val="008B4879"/>
    <w:rsid w:val="008B6210"/>
    <w:rsid w:val="008B7A81"/>
    <w:rsid w:val="008C0AF1"/>
    <w:rsid w:val="008C1224"/>
    <w:rsid w:val="008C64A6"/>
    <w:rsid w:val="008C75FC"/>
    <w:rsid w:val="008C7A64"/>
    <w:rsid w:val="008D20D0"/>
    <w:rsid w:val="008D2516"/>
    <w:rsid w:val="008D3419"/>
    <w:rsid w:val="008D3AD3"/>
    <w:rsid w:val="008D3E90"/>
    <w:rsid w:val="008D49D4"/>
    <w:rsid w:val="008D78D2"/>
    <w:rsid w:val="008D79B8"/>
    <w:rsid w:val="008E11C1"/>
    <w:rsid w:val="008E4AA6"/>
    <w:rsid w:val="008E5667"/>
    <w:rsid w:val="008E705D"/>
    <w:rsid w:val="008E743A"/>
    <w:rsid w:val="008F0646"/>
    <w:rsid w:val="008F271A"/>
    <w:rsid w:val="009010E4"/>
    <w:rsid w:val="00902CAE"/>
    <w:rsid w:val="00903366"/>
    <w:rsid w:val="00903B60"/>
    <w:rsid w:val="0090491B"/>
    <w:rsid w:val="00905004"/>
    <w:rsid w:val="00905DC3"/>
    <w:rsid w:val="00907CFC"/>
    <w:rsid w:val="0091035D"/>
    <w:rsid w:val="00910822"/>
    <w:rsid w:val="009138D6"/>
    <w:rsid w:val="00913BFB"/>
    <w:rsid w:val="00913DE2"/>
    <w:rsid w:val="00914D98"/>
    <w:rsid w:val="00916916"/>
    <w:rsid w:val="00916A22"/>
    <w:rsid w:val="00916A4E"/>
    <w:rsid w:val="009178FB"/>
    <w:rsid w:val="00917FC4"/>
    <w:rsid w:val="009201CE"/>
    <w:rsid w:val="00921D2A"/>
    <w:rsid w:val="00922DAC"/>
    <w:rsid w:val="00923BF8"/>
    <w:rsid w:val="00926339"/>
    <w:rsid w:val="009267E0"/>
    <w:rsid w:val="009305BA"/>
    <w:rsid w:val="0093075E"/>
    <w:rsid w:val="0093101F"/>
    <w:rsid w:val="00931269"/>
    <w:rsid w:val="00931282"/>
    <w:rsid w:val="009319A5"/>
    <w:rsid w:val="00934402"/>
    <w:rsid w:val="00935651"/>
    <w:rsid w:val="00937125"/>
    <w:rsid w:val="00937ACA"/>
    <w:rsid w:val="00940662"/>
    <w:rsid w:val="00941534"/>
    <w:rsid w:val="00941AC8"/>
    <w:rsid w:val="00942AAD"/>
    <w:rsid w:val="00943029"/>
    <w:rsid w:val="00945281"/>
    <w:rsid w:val="00945CE5"/>
    <w:rsid w:val="00945EFF"/>
    <w:rsid w:val="00947394"/>
    <w:rsid w:val="009500FC"/>
    <w:rsid w:val="00952E25"/>
    <w:rsid w:val="00955508"/>
    <w:rsid w:val="0095673B"/>
    <w:rsid w:val="00957DE5"/>
    <w:rsid w:val="00962F0A"/>
    <w:rsid w:val="00963127"/>
    <w:rsid w:val="009631CD"/>
    <w:rsid w:val="0096355D"/>
    <w:rsid w:val="00965663"/>
    <w:rsid w:val="0096681B"/>
    <w:rsid w:val="00966F4B"/>
    <w:rsid w:val="009677B2"/>
    <w:rsid w:val="00967C1F"/>
    <w:rsid w:val="00967C4E"/>
    <w:rsid w:val="00967E6F"/>
    <w:rsid w:val="00970352"/>
    <w:rsid w:val="00970BE7"/>
    <w:rsid w:val="009712A6"/>
    <w:rsid w:val="009737E7"/>
    <w:rsid w:val="00973B17"/>
    <w:rsid w:val="00973CD4"/>
    <w:rsid w:val="00974BFD"/>
    <w:rsid w:val="00976204"/>
    <w:rsid w:val="00976B41"/>
    <w:rsid w:val="00976D7B"/>
    <w:rsid w:val="009810B0"/>
    <w:rsid w:val="009824AF"/>
    <w:rsid w:val="00983C60"/>
    <w:rsid w:val="00984DDB"/>
    <w:rsid w:val="009859F7"/>
    <w:rsid w:val="00985A42"/>
    <w:rsid w:val="0099049B"/>
    <w:rsid w:val="00991444"/>
    <w:rsid w:val="009915EA"/>
    <w:rsid w:val="00994659"/>
    <w:rsid w:val="009956AF"/>
    <w:rsid w:val="00995AE5"/>
    <w:rsid w:val="009A01D1"/>
    <w:rsid w:val="009A0F85"/>
    <w:rsid w:val="009A0F9A"/>
    <w:rsid w:val="009A1A13"/>
    <w:rsid w:val="009A2915"/>
    <w:rsid w:val="009A4519"/>
    <w:rsid w:val="009A4BCA"/>
    <w:rsid w:val="009A722E"/>
    <w:rsid w:val="009A7802"/>
    <w:rsid w:val="009B0541"/>
    <w:rsid w:val="009B1515"/>
    <w:rsid w:val="009B7A6C"/>
    <w:rsid w:val="009C1F96"/>
    <w:rsid w:val="009C2FD4"/>
    <w:rsid w:val="009C2FE7"/>
    <w:rsid w:val="009C33C3"/>
    <w:rsid w:val="009C366A"/>
    <w:rsid w:val="009C3D7D"/>
    <w:rsid w:val="009C4428"/>
    <w:rsid w:val="009C4CC4"/>
    <w:rsid w:val="009C6060"/>
    <w:rsid w:val="009C6AB9"/>
    <w:rsid w:val="009C7ED4"/>
    <w:rsid w:val="009D1F8E"/>
    <w:rsid w:val="009D20E4"/>
    <w:rsid w:val="009D291F"/>
    <w:rsid w:val="009D4051"/>
    <w:rsid w:val="009D4461"/>
    <w:rsid w:val="009D60D4"/>
    <w:rsid w:val="009D6C59"/>
    <w:rsid w:val="009D6C72"/>
    <w:rsid w:val="009D70A3"/>
    <w:rsid w:val="009D7234"/>
    <w:rsid w:val="009D7287"/>
    <w:rsid w:val="009D7706"/>
    <w:rsid w:val="009D7C2A"/>
    <w:rsid w:val="009E0E19"/>
    <w:rsid w:val="009E3FE7"/>
    <w:rsid w:val="009E466C"/>
    <w:rsid w:val="009E5AED"/>
    <w:rsid w:val="009E5EBB"/>
    <w:rsid w:val="009E6C13"/>
    <w:rsid w:val="009E7087"/>
    <w:rsid w:val="009F0F07"/>
    <w:rsid w:val="009F288E"/>
    <w:rsid w:val="009F4C12"/>
    <w:rsid w:val="009F4DBA"/>
    <w:rsid w:val="009F67C2"/>
    <w:rsid w:val="00A038E6"/>
    <w:rsid w:val="00A050B2"/>
    <w:rsid w:val="00A06474"/>
    <w:rsid w:val="00A06C8E"/>
    <w:rsid w:val="00A11E4E"/>
    <w:rsid w:val="00A12693"/>
    <w:rsid w:val="00A1473A"/>
    <w:rsid w:val="00A155E8"/>
    <w:rsid w:val="00A16D1D"/>
    <w:rsid w:val="00A176E8"/>
    <w:rsid w:val="00A17E83"/>
    <w:rsid w:val="00A21C06"/>
    <w:rsid w:val="00A2312D"/>
    <w:rsid w:val="00A23520"/>
    <w:rsid w:val="00A23B5C"/>
    <w:rsid w:val="00A26954"/>
    <w:rsid w:val="00A2697B"/>
    <w:rsid w:val="00A27A82"/>
    <w:rsid w:val="00A35102"/>
    <w:rsid w:val="00A37061"/>
    <w:rsid w:val="00A374AE"/>
    <w:rsid w:val="00A407CB"/>
    <w:rsid w:val="00A44EC2"/>
    <w:rsid w:val="00A451FE"/>
    <w:rsid w:val="00A466BF"/>
    <w:rsid w:val="00A47258"/>
    <w:rsid w:val="00A5212B"/>
    <w:rsid w:val="00A54DFB"/>
    <w:rsid w:val="00A5550E"/>
    <w:rsid w:val="00A55FF7"/>
    <w:rsid w:val="00A6035F"/>
    <w:rsid w:val="00A611D2"/>
    <w:rsid w:val="00A61771"/>
    <w:rsid w:val="00A64640"/>
    <w:rsid w:val="00A64D3D"/>
    <w:rsid w:val="00A65F08"/>
    <w:rsid w:val="00A65F53"/>
    <w:rsid w:val="00A671EB"/>
    <w:rsid w:val="00A7123E"/>
    <w:rsid w:val="00A746F0"/>
    <w:rsid w:val="00A814CD"/>
    <w:rsid w:val="00A82148"/>
    <w:rsid w:val="00A82292"/>
    <w:rsid w:val="00A82C3E"/>
    <w:rsid w:val="00A83D43"/>
    <w:rsid w:val="00A83D9B"/>
    <w:rsid w:val="00A83FC7"/>
    <w:rsid w:val="00A879B6"/>
    <w:rsid w:val="00A87C86"/>
    <w:rsid w:val="00A911AB"/>
    <w:rsid w:val="00A91BF8"/>
    <w:rsid w:val="00A91C0F"/>
    <w:rsid w:val="00A92C30"/>
    <w:rsid w:val="00A9326E"/>
    <w:rsid w:val="00A93908"/>
    <w:rsid w:val="00A944F1"/>
    <w:rsid w:val="00A959D9"/>
    <w:rsid w:val="00A962FC"/>
    <w:rsid w:val="00A97194"/>
    <w:rsid w:val="00A97D66"/>
    <w:rsid w:val="00AA0CB1"/>
    <w:rsid w:val="00AA0E3E"/>
    <w:rsid w:val="00AA4C45"/>
    <w:rsid w:val="00AA4F38"/>
    <w:rsid w:val="00AA55EF"/>
    <w:rsid w:val="00AA64AA"/>
    <w:rsid w:val="00AA6810"/>
    <w:rsid w:val="00AA6BA6"/>
    <w:rsid w:val="00AA71A6"/>
    <w:rsid w:val="00AB06FE"/>
    <w:rsid w:val="00AB0ABE"/>
    <w:rsid w:val="00AB13E8"/>
    <w:rsid w:val="00AB17E0"/>
    <w:rsid w:val="00AB3517"/>
    <w:rsid w:val="00AB3850"/>
    <w:rsid w:val="00AB38C5"/>
    <w:rsid w:val="00AB3D94"/>
    <w:rsid w:val="00AB4E3A"/>
    <w:rsid w:val="00AB6864"/>
    <w:rsid w:val="00AB795B"/>
    <w:rsid w:val="00AC11C3"/>
    <w:rsid w:val="00AC3302"/>
    <w:rsid w:val="00AC44CE"/>
    <w:rsid w:val="00AC578E"/>
    <w:rsid w:val="00AC5890"/>
    <w:rsid w:val="00AC5B29"/>
    <w:rsid w:val="00AC5BBA"/>
    <w:rsid w:val="00AC67CB"/>
    <w:rsid w:val="00AC73A1"/>
    <w:rsid w:val="00AD0E16"/>
    <w:rsid w:val="00AD119F"/>
    <w:rsid w:val="00AD1684"/>
    <w:rsid w:val="00AD1C7B"/>
    <w:rsid w:val="00AD4D57"/>
    <w:rsid w:val="00AD58D0"/>
    <w:rsid w:val="00AD61AB"/>
    <w:rsid w:val="00AD6EFA"/>
    <w:rsid w:val="00AE10F9"/>
    <w:rsid w:val="00AE1671"/>
    <w:rsid w:val="00AE1A02"/>
    <w:rsid w:val="00AE5BD6"/>
    <w:rsid w:val="00AF04CE"/>
    <w:rsid w:val="00AF05E1"/>
    <w:rsid w:val="00AF0AFC"/>
    <w:rsid w:val="00AF2823"/>
    <w:rsid w:val="00AF37B4"/>
    <w:rsid w:val="00AF5898"/>
    <w:rsid w:val="00B0007F"/>
    <w:rsid w:val="00B0016F"/>
    <w:rsid w:val="00B0040E"/>
    <w:rsid w:val="00B00895"/>
    <w:rsid w:val="00B01580"/>
    <w:rsid w:val="00B07550"/>
    <w:rsid w:val="00B0797B"/>
    <w:rsid w:val="00B1031F"/>
    <w:rsid w:val="00B111DC"/>
    <w:rsid w:val="00B1121F"/>
    <w:rsid w:val="00B11345"/>
    <w:rsid w:val="00B11D70"/>
    <w:rsid w:val="00B13881"/>
    <w:rsid w:val="00B148D1"/>
    <w:rsid w:val="00B14D59"/>
    <w:rsid w:val="00B151A8"/>
    <w:rsid w:val="00B16877"/>
    <w:rsid w:val="00B16E0F"/>
    <w:rsid w:val="00B20DF3"/>
    <w:rsid w:val="00B2113A"/>
    <w:rsid w:val="00B21EF9"/>
    <w:rsid w:val="00B2258D"/>
    <w:rsid w:val="00B22AC6"/>
    <w:rsid w:val="00B232E8"/>
    <w:rsid w:val="00B235DB"/>
    <w:rsid w:val="00B2496E"/>
    <w:rsid w:val="00B2769D"/>
    <w:rsid w:val="00B31CDD"/>
    <w:rsid w:val="00B3254B"/>
    <w:rsid w:val="00B32783"/>
    <w:rsid w:val="00B34AD4"/>
    <w:rsid w:val="00B41CAB"/>
    <w:rsid w:val="00B42669"/>
    <w:rsid w:val="00B43832"/>
    <w:rsid w:val="00B445B9"/>
    <w:rsid w:val="00B47220"/>
    <w:rsid w:val="00B508A2"/>
    <w:rsid w:val="00B51052"/>
    <w:rsid w:val="00B51B1D"/>
    <w:rsid w:val="00B51CF9"/>
    <w:rsid w:val="00B53CB7"/>
    <w:rsid w:val="00B542BB"/>
    <w:rsid w:val="00B54E57"/>
    <w:rsid w:val="00B5591D"/>
    <w:rsid w:val="00B572A9"/>
    <w:rsid w:val="00B61C7B"/>
    <w:rsid w:val="00B62BBC"/>
    <w:rsid w:val="00B66FF5"/>
    <w:rsid w:val="00B67DD8"/>
    <w:rsid w:val="00B74237"/>
    <w:rsid w:val="00B80297"/>
    <w:rsid w:val="00B81713"/>
    <w:rsid w:val="00B83055"/>
    <w:rsid w:val="00B841E9"/>
    <w:rsid w:val="00B91054"/>
    <w:rsid w:val="00B92B69"/>
    <w:rsid w:val="00B9306A"/>
    <w:rsid w:val="00B933C1"/>
    <w:rsid w:val="00B94467"/>
    <w:rsid w:val="00B94B9F"/>
    <w:rsid w:val="00B953EB"/>
    <w:rsid w:val="00B96F6C"/>
    <w:rsid w:val="00B979EC"/>
    <w:rsid w:val="00BA0181"/>
    <w:rsid w:val="00BA02BD"/>
    <w:rsid w:val="00BA0DBF"/>
    <w:rsid w:val="00BA0DFA"/>
    <w:rsid w:val="00BA1670"/>
    <w:rsid w:val="00BA284D"/>
    <w:rsid w:val="00BA5A03"/>
    <w:rsid w:val="00BB096B"/>
    <w:rsid w:val="00BB0EB8"/>
    <w:rsid w:val="00BB218A"/>
    <w:rsid w:val="00BB22BD"/>
    <w:rsid w:val="00BB57C9"/>
    <w:rsid w:val="00BB6DE9"/>
    <w:rsid w:val="00BC02A4"/>
    <w:rsid w:val="00BC2F2A"/>
    <w:rsid w:val="00BC2F54"/>
    <w:rsid w:val="00BC54DC"/>
    <w:rsid w:val="00BC72B9"/>
    <w:rsid w:val="00BC7F2E"/>
    <w:rsid w:val="00BD0726"/>
    <w:rsid w:val="00BD09AE"/>
    <w:rsid w:val="00BD2F55"/>
    <w:rsid w:val="00BD40A6"/>
    <w:rsid w:val="00BD7694"/>
    <w:rsid w:val="00BE11CA"/>
    <w:rsid w:val="00BE26A6"/>
    <w:rsid w:val="00BE33EE"/>
    <w:rsid w:val="00BE3CB8"/>
    <w:rsid w:val="00BE43F0"/>
    <w:rsid w:val="00BE45AF"/>
    <w:rsid w:val="00BE73B7"/>
    <w:rsid w:val="00BE782B"/>
    <w:rsid w:val="00BE7BBC"/>
    <w:rsid w:val="00BF0F21"/>
    <w:rsid w:val="00BF1196"/>
    <w:rsid w:val="00BF1258"/>
    <w:rsid w:val="00BF30BC"/>
    <w:rsid w:val="00BF454D"/>
    <w:rsid w:val="00BF5B6D"/>
    <w:rsid w:val="00C00A29"/>
    <w:rsid w:val="00C00A49"/>
    <w:rsid w:val="00C01ADE"/>
    <w:rsid w:val="00C0200E"/>
    <w:rsid w:val="00C02288"/>
    <w:rsid w:val="00C02377"/>
    <w:rsid w:val="00C024E9"/>
    <w:rsid w:val="00C04350"/>
    <w:rsid w:val="00C04631"/>
    <w:rsid w:val="00C05C31"/>
    <w:rsid w:val="00C06903"/>
    <w:rsid w:val="00C106C9"/>
    <w:rsid w:val="00C11073"/>
    <w:rsid w:val="00C11BA9"/>
    <w:rsid w:val="00C1370C"/>
    <w:rsid w:val="00C17F79"/>
    <w:rsid w:val="00C20219"/>
    <w:rsid w:val="00C2345B"/>
    <w:rsid w:val="00C2429E"/>
    <w:rsid w:val="00C24ECD"/>
    <w:rsid w:val="00C253A7"/>
    <w:rsid w:val="00C261ED"/>
    <w:rsid w:val="00C27134"/>
    <w:rsid w:val="00C273D6"/>
    <w:rsid w:val="00C278F2"/>
    <w:rsid w:val="00C30606"/>
    <w:rsid w:val="00C314AE"/>
    <w:rsid w:val="00C319C5"/>
    <w:rsid w:val="00C34422"/>
    <w:rsid w:val="00C35211"/>
    <w:rsid w:val="00C37602"/>
    <w:rsid w:val="00C4004F"/>
    <w:rsid w:val="00C41D2C"/>
    <w:rsid w:val="00C423AD"/>
    <w:rsid w:val="00C44676"/>
    <w:rsid w:val="00C45A09"/>
    <w:rsid w:val="00C472A6"/>
    <w:rsid w:val="00C6021C"/>
    <w:rsid w:val="00C6188D"/>
    <w:rsid w:val="00C66BBE"/>
    <w:rsid w:val="00C67B10"/>
    <w:rsid w:val="00C7016A"/>
    <w:rsid w:val="00C70D15"/>
    <w:rsid w:val="00C7336E"/>
    <w:rsid w:val="00C73BB1"/>
    <w:rsid w:val="00C751DE"/>
    <w:rsid w:val="00C765AE"/>
    <w:rsid w:val="00C768C0"/>
    <w:rsid w:val="00C8081D"/>
    <w:rsid w:val="00C80A50"/>
    <w:rsid w:val="00C80E01"/>
    <w:rsid w:val="00C817D4"/>
    <w:rsid w:val="00C82473"/>
    <w:rsid w:val="00C8511A"/>
    <w:rsid w:val="00C8687A"/>
    <w:rsid w:val="00C87339"/>
    <w:rsid w:val="00C8792D"/>
    <w:rsid w:val="00C87E59"/>
    <w:rsid w:val="00C902E9"/>
    <w:rsid w:val="00C909F1"/>
    <w:rsid w:val="00C91043"/>
    <w:rsid w:val="00C9156A"/>
    <w:rsid w:val="00C92AF2"/>
    <w:rsid w:val="00C9358E"/>
    <w:rsid w:val="00C95E77"/>
    <w:rsid w:val="00C96597"/>
    <w:rsid w:val="00C97A2C"/>
    <w:rsid w:val="00CA09D6"/>
    <w:rsid w:val="00CA15E2"/>
    <w:rsid w:val="00CA2A5E"/>
    <w:rsid w:val="00CA3448"/>
    <w:rsid w:val="00CA34F1"/>
    <w:rsid w:val="00CA4266"/>
    <w:rsid w:val="00CA4E3C"/>
    <w:rsid w:val="00CA5EF3"/>
    <w:rsid w:val="00CB03BD"/>
    <w:rsid w:val="00CB0708"/>
    <w:rsid w:val="00CB23D7"/>
    <w:rsid w:val="00CB2749"/>
    <w:rsid w:val="00CB4D64"/>
    <w:rsid w:val="00CB52B1"/>
    <w:rsid w:val="00CB6E79"/>
    <w:rsid w:val="00CB726C"/>
    <w:rsid w:val="00CB7361"/>
    <w:rsid w:val="00CB7FB5"/>
    <w:rsid w:val="00CC0D70"/>
    <w:rsid w:val="00CC0FA2"/>
    <w:rsid w:val="00CC4812"/>
    <w:rsid w:val="00CC4D8E"/>
    <w:rsid w:val="00CC4D9D"/>
    <w:rsid w:val="00CC593D"/>
    <w:rsid w:val="00CD068D"/>
    <w:rsid w:val="00CD2767"/>
    <w:rsid w:val="00CD6597"/>
    <w:rsid w:val="00CD66A0"/>
    <w:rsid w:val="00CD7C58"/>
    <w:rsid w:val="00CD7F22"/>
    <w:rsid w:val="00CE010C"/>
    <w:rsid w:val="00CE055F"/>
    <w:rsid w:val="00CE0AC9"/>
    <w:rsid w:val="00CE546A"/>
    <w:rsid w:val="00CE5B48"/>
    <w:rsid w:val="00CE6ED6"/>
    <w:rsid w:val="00CF085E"/>
    <w:rsid w:val="00CF12A0"/>
    <w:rsid w:val="00CF1DD9"/>
    <w:rsid w:val="00CF2799"/>
    <w:rsid w:val="00CF2B44"/>
    <w:rsid w:val="00CF3A1A"/>
    <w:rsid w:val="00CF4F2A"/>
    <w:rsid w:val="00CF500D"/>
    <w:rsid w:val="00CF6485"/>
    <w:rsid w:val="00CF7E92"/>
    <w:rsid w:val="00D00352"/>
    <w:rsid w:val="00D01498"/>
    <w:rsid w:val="00D04ED7"/>
    <w:rsid w:val="00D0681D"/>
    <w:rsid w:val="00D07E82"/>
    <w:rsid w:val="00D11A57"/>
    <w:rsid w:val="00D134A1"/>
    <w:rsid w:val="00D169C3"/>
    <w:rsid w:val="00D1740C"/>
    <w:rsid w:val="00D17C2E"/>
    <w:rsid w:val="00D17CA1"/>
    <w:rsid w:val="00D204C9"/>
    <w:rsid w:val="00D21F4E"/>
    <w:rsid w:val="00D232DB"/>
    <w:rsid w:val="00D266AA"/>
    <w:rsid w:val="00D26798"/>
    <w:rsid w:val="00D30395"/>
    <w:rsid w:val="00D3095E"/>
    <w:rsid w:val="00D332B7"/>
    <w:rsid w:val="00D34D59"/>
    <w:rsid w:val="00D368E9"/>
    <w:rsid w:val="00D41CA8"/>
    <w:rsid w:val="00D41F5C"/>
    <w:rsid w:val="00D42A3A"/>
    <w:rsid w:val="00D46F34"/>
    <w:rsid w:val="00D47AB9"/>
    <w:rsid w:val="00D507E3"/>
    <w:rsid w:val="00D515D0"/>
    <w:rsid w:val="00D53E18"/>
    <w:rsid w:val="00D53F4F"/>
    <w:rsid w:val="00D54197"/>
    <w:rsid w:val="00D55752"/>
    <w:rsid w:val="00D56915"/>
    <w:rsid w:val="00D604DC"/>
    <w:rsid w:val="00D60677"/>
    <w:rsid w:val="00D61F52"/>
    <w:rsid w:val="00D62028"/>
    <w:rsid w:val="00D623DF"/>
    <w:rsid w:val="00D62FC3"/>
    <w:rsid w:val="00D630DB"/>
    <w:rsid w:val="00D63565"/>
    <w:rsid w:val="00D63851"/>
    <w:rsid w:val="00D63BAC"/>
    <w:rsid w:val="00D646FE"/>
    <w:rsid w:val="00D65939"/>
    <w:rsid w:val="00D65ADB"/>
    <w:rsid w:val="00D65D28"/>
    <w:rsid w:val="00D701EC"/>
    <w:rsid w:val="00D707AC"/>
    <w:rsid w:val="00D708CA"/>
    <w:rsid w:val="00D714CE"/>
    <w:rsid w:val="00D72A7C"/>
    <w:rsid w:val="00D732EC"/>
    <w:rsid w:val="00D737D1"/>
    <w:rsid w:val="00D74714"/>
    <w:rsid w:val="00D7671F"/>
    <w:rsid w:val="00D8139F"/>
    <w:rsid w:val="00D85809"/>
    <w:rsid w:val="00D8758E"/>
    <w:rsid w:val="00D8777A"/>
    <w:rsid w:val="00D87CD3"/>
    <w:rsid w:val="00D92CFA"/>
    <w:rsid w:val="00D92DE8"/>
    <w:rsid w:val="00D934CF"/>
    <w:rsid w:val="00D94BA0"/>
    <w:rsid w:val="00D958EF"/>
    <w:rsid w:val="00D97F3A"/>
    <w:rsid w:val="00DA001A"/>
    <w:rsid w:val="00DA0FFA"/>
    <w:rsid w:val="00DA3A60"/>
    <w:rsid w:val="00DA4154"/>
    <w:rsid w:val="00DA4DF4"/>
    <w:rsid w:val="00DA5DB4"/>
    <w:rsid w:val="00DA6E0A"/>
    <w:rsid w:val="00DA7733"/>
    <w:rsid w:val="00DA79EB"/>
    <w:rsid w:val="00DA7AAB"/>
    <w:rsid w:val="00DB0442"/>
    <w:rsid w:val="00DB235A"/>
    <w:rsid w:val="00DB27D7"/>
    <w:rsid w:val="00DB2919"/>
    <w:rsid w:val="00DB642C"/>
    <w:rsid w:val="00DB650A"/>
    <w:rsid w:val="00DB7525"/>
    <w:rsid w:val="00DC133B"/>
    <w:rsid w:val="00DC3D63"/>
    <w:rsid w:val="00DC494A"/>
    <w:rsid w:val="00DC6638"/>
    <w:rsid w:val="00DC74A1"/>
    <w:rsid w:val="00DC7D87"/>
    <w:rsid w:val="00DC7E7C"/>
    <w:rsid w:val="00DD025A"/>
    <w:rsid w:val="00DD12CC"/>
    <w:rsid w:val="00DD1E84"/>
    <w:rsid w:val="00DD35E7"/>
    <w:rsid w:val="00DD3DA4"/>
    <w:rsid w:val="00DD417B"/>
    <w:rsid w:val="00DD6AC1"/>
    <w:rsid w:val="00DE041A"/>
    <w:rsid w:val="00DE13EC"/>
    <w:rsid w:val="00DE2201"/>
    <w:rsid w:val="00DE6858"/>
    <w:rsid w:val="00DE72F8"/>
    <w:rsid w:val="00DF0A16"/>
    <w:rsid w:val="00DF0B8F"/>
    <w:rsid w:val="00DF129C"/>
    <w:rsid w:val="00DF1947"/>
    <w:rsid w:val="00DF23D7"/>
    <w:rsid w:val="00DF2FD4"/>
    <w:rsid w:val="00DF34D6"/>
    <w:rsid w:val="00DF3691"/>
    <w:rsid w:val="00DF5B4B"/>
    <w:rsid w:val="00DF7333"/>
    <w:rsid w:val="00E00A4D"/>
    <w:rsid w:val="00E03397"/>
    <w:rsid w:val="00E03C0B"/>
    <w:rsid w:val="00E03C6C"/>
    <w:rsid w:val="00E03C7E"/>
    <w:rsid w:val="00E05C6D"/>
    <w:rsid w:val="00E07ED3"/>
    <w:rsid w:val="00E10023"/>
    <w:rsid w:val="00E10958"/>
    <w:rsid w:val="00E122C4"/>
    <w:rsid w:val="00E130D5"/>
    <w:rsid w:val="00E13FD2"/>
    <w:rsid w:val="00E170E0"/>
    <w:rsid w:val="00E17344"/>
    <w:rsid w:val="00E20719"/>
    <w:rsid w:val="00E209CE"/>
    <w:rsid w:val="00E21EE4"/>
    <w:rsid w:val="00E227E9"/>
    <w:rsid w:val="00E277CA"/>
    <w:rsid w:val="00E30952"/>
    <w:rsid w:val="00E333F4"/>
    <w:rsid w:val="00E33714"/>
    <w:rsid w:val="00E33CF5"/>
    <w:rsid w:val="00E34680"/>
    <w:rsid w:val="00E36644"/>
    <w:rsid w:val="00E37B2E"/>
    <w:rsid w:val="00E439F9"/>
    <w:rsid w:val="00E43C60"/>
    <w:rsid w:val="00E44A00"/>
    <w:rsid w:val="00E44DDB"/>
    <w:rsid w:val="00E45690"/>
    <w:rsid w:val="00E4600A"/>
    <w:rsid w:val="00E46BA0"/>
    <w:rsid w:val="00E50DD7"/>
    <w:rsid w:val="00E5319B"/>
    <w:rsid w:val="00E548A9"/>
    <w:rsid w:val="00E567AB"/>
    <w:rsid w:val="00E6071E"/>
    <w:rsid w:val="00E60EA9"/>
    <w:rsid w:val="00E614BB"/>
    <w:rsid w:val="00E614D8"/>
    <w:rsid w:val="00E66B3E"/>
    <w:rsid w:val="00E7150C"/>
    <w:rsid w:val="00E71BDD"/>
    <w:rsid w:val="00E74BDD"/>
    <w:rsid w:val="00E7548F"/>
    <w:rsid w:val="00E75982"/>
    <w:rsid w:val="00E775D4"/>
    <w:rsid w:val="00E80118"/>
    <w:rsid w:val="00E807A9"/>
    <w:rsid w:val="00E820A5"/>
    <w:rsid w:val="00E842E5"/>
    <w:rsid w:val="00E90584"/>
    <w:rsid w:val="00E90961"/>
    <w:rsid w:val="00E90BC6"/>
    <w:rsid w:val="00E910A7"/>
    <w:rsid w:val="00E916CF"/>
    <w:rsid w:val="00E91C09"/>
    <w:rsid w:val="00E91CAF"/>
    <w:rsid w:val="00E9213E"/>
    <w:rsid w:val="00E95704"/>
    <w:rsid w:val="00EA09B6"/>
    <w:rsid w:val="00EA0F79"/>
    <w:rsid w:val="00EA1D1E"/>
    <w:rsid w:val="00EA30B8"/>
    <w:rsid w:val="00EA3CBA"/>
    <w:rsid w:val="00EA3DFA"/>
    <w:rsid w:val="00EA65DC"/>
    <w:rsid w:val="00EB0E68"/>
    <w:rsid w:val="00EB2022"/>
    <w:rsid w:val="00EB3702"/>
    <w:rsid w:val="00EB4A1D"/>
    <w:rsid w:val="00EB6F9F"/>
    <w:rsid w:val="00EB7BDA"/>
    <w:rsid w:val="00EB7DE3"/>
    <w:rsid w:val="00EC026D"/>
    <w:rsid w:val="00EC0FFB"/>
    <w:rsid w:val="00EC1198"/>
    <w:rsid w:val="00EC2E51"/>
    <w:rsid w:val="00EC50E5"/>
    <w:rsid w:val="00EC53EC"/>
    <w:rsid w:val="00EC5525"/>
    <w:rsid w:val="00EC5964"/>
    <w:rsid w:val="00EC7DFB"/>
    <w:rsid w:val="00ED1EE1"/>
    <w:rsid w:val="00ED277D"/>
    <w:rsid w:val="00ED2DF6"/>
    <w:rsid w:val="00ED3D82"/>
    <w:rsid w:val="00ED490A"/>
    <w:rsid w:val="00ED60D1"/>
    <w:rsid w:val="00ED6175"/>
    <w:rsid w:val="00ED7B8D"/>
    <w:rsid w:val="00ED7E78"/>
    <w:rsid w:val="00EE13E0"/>
    <w:rsid w:val="00EE1979"/>
    <w:rsid w:val="00EE4A48"/>
    <w:rsid w:val="00EE5818"/>
    <w:rsid w:val="00EE6A86"/>
    <w:rsid w:val="00EE7201"/>
    <w:rsid w:val="00EE753D"/>
    <w:rsid w:val="00EF2535"/>
    <w:rsid w:val="00EF4C4E"/>
    <w:rsid w:val="00EF5293"/>
    <w:rsid w:val="00EF5511"/>
    <w:rsid w:val="00EF7F25"/>
    <w:rsid w:val="00F005B4"/>
    <w:rsid w:val="00F0122B"/>
    <w:rsid w:val="00F01CA8"/>
    <w:rsid w:val="00F04F43"/>
    <w:rsid w:val="00F051DC"/>
    <w:rsid w:val="00F06091"/>
    <w:rsid w:val="00F10C42"/>
    <w:rsid w:val="00F114BC"/>
    <w:rsid w:val="00F14BCD"/>
    <w:rsid w:val="00F15089"/>
    <w:rsid w:val="00F16AD6"/>
    <w:rsid w:val="00F208CF"/>
    <w:rsid w:val="00F20BC8"/>
    <w:rsid w:val="00F2143E"/>
    <w:rsid w:val="00F22E12"/>
    <w:rsid w:val="00F2460B"/>
    <w:rsid w:val="00F2462F"/>
    <w:rsid w:val="00F25676"/>
    <w:rsid w:val="00F25B03"/>
    <w:rsid w:val="00F2701E"/>
    <w:rsid w:val="00F27434"/>
    <w:rsid w:val="00F31924"/>
    <w:rsid w:val="00F32DB4"/>
    <w:rsid w:val="00F333B9"/>
    <w:rsid w:val="00F33C99"/>
    <w:rsid w:val="00F33EEF"/>
    <w:rsid w:val="00F33F9F"/>
    <w:rsid w:val="00F34628"/>
    <w:rsid w:val="00F370F4"/>
    <w:rsid w:val="00F3715E"/>
    <w:rsid w:val="00F3725B"/>
    <w:rsid w:val="00F41917"/>
    <w:rsid w:val="00F43017"/>
    <w:rsid w:val="00F430D7"/>
    <w:rsid w:val="00F43674"/>
    <w:rsid w:val="00F43FEC"/>
    <w:rsid w:val="00F444F1"/>
    <w:rsid w:val="00F44954"/>
    <w:rsid w:val="00F44CB5"/>
    <w:rsid w:val="00F46B60"/>
    <w:rsid w:val="00F4729F"/>
    <w:rsid w:val="00F47900"/>
    <w:rsid w:val="00F50299"/>
    <w:rsid w:val="00F517BB"/>
    <w:rsid w:val="00F53462"/>
    <w:rsid w:val="00F53F2B"/>
    <w:rsid w:val="00F54755"/>
    <w:rsid w:val="00F54F6A"/>
    <w:rsid w:val="00F555E6"/>
    <w:rsid w:val="00F5679B"/>
    <w:rsid w:val="00F56C10"/>
    <w:rsid w:val="00F60B67"/>
    <w:rsid w:val="00F60F2D"/>
    <w:rsid w:val="00F64B60"/>
    <w:rsid w:val="00F64F1E"/>
    <w:rsid w:val="00F6573C"/>
    <w:rsid w:val="00F70EC9"/>
    <w:rsid w:val="00F71356"/>
    <w:rsid w:val="00F75268"/>
    <w:rsid w:val="00F75B6B"/>
    <w:rsid w:val="00F75BE2"/>
    <w:rsid w:val="00F7749E"/>
    <w:rsid w:val="00F774BB"/>
    <w:rsid w:val="00F80499"/>
    <w:rsid w:val="00F81230"/>
    <w:rsid w:val="00F840CE"/>
    <w:rsid w:val="00F858EE"/>
    <w:rsid w:val="00F85997"/>
    <w:rsid w:val="00F91F43"/>
    <w:rsid w:val="00F93852"/>
    <w:rsid w:val="00F94735"/>
    <w:rsid w:val="00F94AE0"/>
    <w:rsid w:val="00F9599C"/>
    <w:rsid w:val="00F961F6"/>
    <w:rsid w:val="00F979DC"/>
    <w:rsid w:val="00FA03F4"/>
    <w:rsid w:val="00FA2736"/>
    <w:rsid w:val="00FA38EB"/>
    <w:rsid w:val="00FA3DBC"/>
    <w:rsid w:val="00FA4340"/>
    <w:rsid w:val="00FA4387"/>
    <w:rsid w:val="00FA67A8"/>
    <w:rsid w:val="00FB0F2E"/>
    <w:rsid w:val="00FB512A"/>
    <w:rsid w:val="00FB7164"/>
    <w:rsid w:val="00FC04E1"/>
    <w:rsid w:val="00FC0E4A"/>
    <w:rsid w:val="00FC1E5A"/>
    <w:rsid w:val="00FC2821"/>
    <w:rsid w:val="00FC35E4"/>
    <w:rsid w:val="00FC3D52"/>
    <w:rsid w:val="00FC4876"/>
    <w:rsid w:val="00FC6DE3"/>
    <w:rsid w:val="00FD2538"/>
    <w:rsid w:val="00FD3033"/>
    <w:rsid w:val="00FD5916"/>
    <w:rsid w:val="00FD6068"/>
    <w:rsid w:val="00FD684F"/>
    <w:rsid w:val="00FD7015"/>
    <w:rsid w:val="00FD761E"/>
    <w:rsid w:val="00FD7F2E"/>
    <w:rsid w:val="00FE1948"/>
    <w:rsid w:val="00FE2D40"/>
    <w:rsid w:val="00FE3DD0"/>
    <w:rsid w:val="00FE4663"/>
    <w:rsid w:val="00FE54B2"/>
    <w:rsid w:val="00FE7146"/>
    <w:rsid w:val="00FE7FD9"/>
    <w:rsid w:val="00FF0C31"/>
    <w:rsid w:val="00FF1A6F"/>
    <w:rsid w:val="00FF2A26"/>
    <w:rsid w:val="00FF4B88"/>
    <w:rsid w:val="00FF6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2E0A8"/>
  <w15:chartTrackingRefBased/>
  <w15:docId w15:val="{7924D451-89B1-4494-9176-386EDBB7B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366"/>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amble">
    <w:name w:val="preamble"/>
    <w:basedOn w:val="Normal"/>
    <w:link w:val="preambleChar"/>
    <w:rsid w:val="00903366"/>
    <w:pPr>
      <w:spacing w:after="0" w:line="480" w:lineRule="auto"/>
    </w:pPr>
    <w:rPr>
      <w:rFonts w:eastAsia="Times New Roman"/>
      <w:szCs w:val="20"/>
    </w:rPr>
  </w:style>
  <w:style w:type="character" w:customStyle="1" w:styleId="preambleChar">
    <w:name w:val="preamble Char"/>
    <w:link w:val="preamble"/>
    <w:rsid w:val="00903366"/>
    <w:rPr>
      <w:rFonts w:ascii="Times New Roman" w:eastAsia="Times New Roman" w:hAnsi="Times New Roman" w:cs="Times New Roman"/>
      <w:sz w:val="24"/>
      <w:szCs w:val="20"/>
    </w:rPr>
  </w:style>
  <w:style w:type="paragraph" w:styleId="FootnoteText">
    <w:name w:val="footnote text"/>
    <w:basedOn w:val="Normal"/>
    <w:link w:val="FootnoteTextChar"/>
    <w:uiPriority w:val="99"/>
    <w:unhideWhenUsed/>
    <w:rsid w:val="0090336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903366"/>
    <w:rPr>
      <w:sz w:val="20"/>
      <w:szCs w:val="20"/>
    </w:rPr>
  </w:style>
  <w:style w:type="character" w:styleId="FootnoteReference">
    <w:name w:val="footnote reference"/>
    <w:basedOn w:val="DefaultParagraphFont"/>
    <w:uiPriority w:val="99"/>
    <w:unhideWhenUsed/>
    <w:rsid w:val="00903366"/>
    <w:rPr>
      <w:vertAlign w:val="superscript"/>
    </w:rPr>
  </w:style>
  <w:style w:type="paragraph" w:styleId="ListParagraph">
    <w:name w:val="List Paragraph"/>
    <w:basedOn w:val="Normal"/>
    <w:uiPriority w:val="34"/>
    <w:qFormat/>
    <w:rsid w:val="00BD2F55"/>
    <w:pPr>
      <w:ind w:left="720"/>
      <w:contextualSpacing/>
    </w:pPr>
  </w:style>
  <w:style w:type="table" w:styleId="LightList">
    <w:name w:val="Light List"/>
    <w:basedOn w:val="TableNormal"/>
    <w:uiPriority w:val="61"/>
    <w:rsid w:val="00BD2F55"/>
    <w:pPr>
      <w:spacing w:after="0" w:line="240" w:lineRule="auto"/>
    </w:pPr>
    <w:rPr>
      <w:rFonts w:ascii="Calibri" w:eastAsia="Calibri" w:hAnsi="Calibri" w:cs="Times New Roman"/>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Hyperlink">
    <w:name w:val="Hyperlink"/>
    <w:uiPriority w:val="99"/>
    <w:unhideWhenUsed/>
    <w:rsid w:val="00BD2F55"/>
    <w:rPr>
      <w:color w:val="0563C1"/>
      <w:u w:val="single"/>
    </w:rPr>
  </w:style>
  <w:style w:type="character" w:customStyle="1" w:styleId="UnresolvedMention1">
    <w:name w:val="Unresolved Mention1"/>
    <w:uiPriority w:val="99"/>
    <w:semiHidden/>
    <w:unhideWhenUsed/>
    <w:rsid w:val="00BD2F55"/>
    <w:rPr>
      <w:color w:val="605E5C"/>
      <w:shd w:val="clear" w:color="auto" w:fill="E1DFDD"/>
    </w:rPr>
  </w:style>
  <w:style w:type="character" w:styleId="CommentReference">
    <w:name w:val="annotation reference"/>
    <w:uiPriority w:val="99"/>
    <w:semiHidden/>
    <w:unhideWhenUsed/>
    <w:rsid w:val="00BD2F55"/>
    <w:rPr>
      <w:sz w:val="16"/>
      <w:szCs w:val="16"/>
    </w:rPr>
  </w:style>
  <w:style w:type="paragraph" w:styleId="CommentText">
    <w:name w:val="annotation text"/>
    <w:basedOn w:val="Normal"/>
    <w:link w:val="CommentTextChar"/>
    <w:uiPriority w:val="99"/>
    <w:unhideWhenUsed/>
    <w:rsid w:val="00BD2F55"/>
    <w:pPr>
      <w:spacing w:line="240" w:lineRule="auto"/>
    </w:pPr>
    <w:rPr>
      <w:sz w:val="20"/>
      <w:szCs w:val="20"/>
    </w:rPr>
  </w:style>
  <w:style w:type="character" w:customStyle="1" w:styleId="CommentTextChar">
    <w:name w:val="Comment Text Char"/>
    <w:basedOn w:val="DefaultParagraphFont"/>
    <w:link w:val="CommentText"/>
    <w:uiPriority w:val="99"/>
    <w:rsid w:val="00BD2F55"/>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2F55"/>
    <w:rPr>
      <w:b/>
      <w:bCs/>
    </w:rPr>
  </w:style>
  <w:style w:type="character" w:customStyle="1" w:styleId="CommentSubjectChar">
    <w:name w:val="Comment Subject Char"/>
    <w:basedOn w:val="CommentTextChar"/>
    <w:link w:val="CommentSubject"/>
    <w:uiPriority w:val="99"/>
    <w:semiHidden/>
    <w:rsid w:val="00BD2F55"/>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BD2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F55"/>
    <w:rPr>
      <w:rFonts w:ascii="Segoe UI" w:eastAsia="Calibri" w:hAnsi="Segoe UI" w:cs="Segoe UI"/>
      <w:sz w:val="18"/>
      <w:szCs w:val="18"/>
    </w:rPr>
  </w:style>
  <w:style w:type="character" w:styleId="LineNumber">
    <w:name w:val="line number"/>
    <w:basedOn w:val="DefaultParagraphFont"/>
    <w:uiPriority w:val="99"/>
    <w:semiHidden/>
    <w:unhideWhenUsed/>
    <w:rsid w:val="00BD2F55"/>
  </w:style>
  <w:style w:type="paragraph" w:styleId="Header">
    <w:name w:val="header"/>
    <w:basedOn w:val="Normal"/>
    <w:link w:val="HeaderChar"/>
    <w:uiPriority w:val="99"/>
    <w:unhideWhenUsed/>
    <w:rsid w:val="00BD2F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F55"/>
    <w:rPr>
      <w:rFonts w:ascii="Times New Roman" w:eastAsia="Calibri" w:hAnsi="Times New Roman" w:cs="Times New Roman"/>
      <w:sz w:val="24"/>
    </w:rPr>
  </w:style>
  <w:style w:type="paragraph" w:styleId="Footer">
    <w:name w:val="footer"/>
    <w:basedOn w:val="Normal"/>
    <w:link w:val="FooterChar"/>
    <w:uiPriority w:val="99"/>
    <w:unhideWhenUsed/>
    <w:rsid w:val="00BD2F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F55"/>
    <w:rPr>
      <w:rFonts w:ascii="Times New Roman" w:eastAsia="Calibri" w:hAnsi="Times New Roman" w:cs="Times New Roman"/>
      <w:sz w:val="24"/>
    </w:rPr>
  </w:style>
  <w:style w:type="paragraph" w:styleId="Revision">
    <w:name w:val="Revision"/>
    <w:hidden/>
    <w:uiPriority w:val="99"/>
    <w:semiHidden/>
    <w:rsid w:val="00BD2F55"/>
    <w:pPr>
      <w:spacing w:after="0" w:line="240" w:lineRule="auto"/>
    </w:pPr>
    <w:rPr>
      <w:rFonts w:ascii="Times New Roman" w:eastAsia="Calibri" w:hAnsi="Times New Roman" w:cs="Times New Roman"/>
      <w:sz w:val="24"/>
    </w:rPr>
  </w:style>
  <w:style w:type="paragraph" w:customStyle="1" w:styleId="m-1309523911136981992m2698844154571555761msolistparagraph">
    <w:name w:val="m_-1309523911136981992m2698844154571555761msolistparagraph"/>
    <w:basedOn w:val="Normal"/>
    <w:rsid w:val="00BF454D"/>
    <w:pPr>
      <w:spacing w:before="100" w:beforeAutospacing="1" w:after="100" w:afterAutospacing="1" w:line="240" w:lineRule="auto"/>
    </w:pPr>
    <w:rPr>
      <w:rFonts w:ascii="Calibri" w:eastAsiaTheme="minorHAnsi" w:hAnsi="Calibri" w:cs="Calibri"/>
      <w:sz w:val="22"/>
    </w:rPr>
  </w:style>
  <w:style w:type="paragraph" w:styleId="EndnoteText">
    <w:name w:val="endnote text"/>
    <w:basedOn w:val="Normal"/>
    <w:link w:val="EndnoteTextChar"/>
    <w:uiPriority w:val="99"/>
    <w:semiHidden/>
    <w:unhideWhenUsed/>
    <w:rsid w:val="002741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418E"/>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27418E"/>
    <w:rPr>
      <w:vertAlign w:val="superscript"/>
    </w:rPr>
  </w:style>
  <w:style w:type="paragraph" w:styleId="Title">
    <w:name w:val="Title"/>
    <w:basedOn w:val="Normal"/>
    <w:next w:val="Normal"/>
    <w:link w:val="TitleChar"/>
    <w:uiPriority w:val="10"/>
    <w:qFormat/>
    <w:rsid w:val="008E11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11C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semiHidden/>
    <w:unhideWhenUsed/>
    <w:rsid w:val="00A95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41156">
      <w:bodyDiv w:val="1"/>
      <w:marLeft w:val="0"/>
      <w:marRight w:val="0"/>
      <w:marTop w:val="0"/>
      <w:marBottom w:val="0"/>
      <w:divBdr>
        <w:top w:val="none" w:sz="0" w:space="0" w:color="auto"/>
        <w:left w:val="none" w:sz="0" w:space="0" w:color="auto"/>
        <w:bottom w:val="none" w:sz="0" w:space="0" w:color="auto"/>
        <w:right w:val="none" w:sz="0" w:space="0" w:color="auto"/>
      </w:divBdr>
    </w:div>
    <w:div w:id="439302636">
      <w:bodyDiv w:val="1"/>
      <w:marLeft w:val="0"/>
      <w:marRight w:val="0"/>
      <w:marTop w:val="0"/>
      <w:marBottom w:val="0"/>
      <w:divBdr>
        <w:top w:val="none" w:sz="0" w:space="0" w:color="auto"/>
        <w:left w:val="none" w:sz="0" w:space="0" w:color="auto"/>
        <w:bottom w:val="none" w:sz="0" w:space="0" w:color="auto"/>
        <w:right w:val="none" w:sz="0" w:space="0" w:color="auto"/>
      </w:divBdr>
    </w:div>
    <w:div w:id="490751082">
      <w:bodyDiv w:val="1"/>
      <w:marLeft w:val="0"/>
      <w:marRight w:val="0"/>
      <w:marTop w:val="0"/>
      <w:marBottom w:val="0"/>
      <w:divBdr>
        <w:top w:val="none" w:sz="0" w:space="0" w:color="auto"/>
        <w:left w:val="none" w:sz="0" w:space="0" w:color="auto"/>
        <w:bottom w:val="none" w:sz="0" w:space="0" w:color="auto"/>
        <w:right w:val="none" w:sz="0" w:space="0" w:color="auto"/>
      </w:divBdr>
    </w:div>
    <w:div w:id="1175343495">
      <w:bodyDiv w:val="1"/>
      <w:marLeft w:val="0"/>
      <w:marRight w:val="0"/>
      <w:marTop w:val="0"/>
      <w:marBottom w:val="0"/>
      <w:divBdr>
        <w:top w:val="none" w:sz="0" w:space="0" w:color="auto"/>
        <w:left w:val="none" w:sz="0" w:space="0" w:color="auto"/>
        <w:bottom w:val="none" w:sz="0" w:space="0" w:color="auto"/>
        <w:right w:val="none" w:sz="0" w:space="0" w:color="auto"/>
      </w:divBdr>
    </w:div>
    <w:div w:id="1444424903">
      <w:bodyDiv w:val="1"/>
      <w:marLeft w:val="0"/>
      <w:marRight w:val="0"/>
      <w:marTop w:val="0"/>
      <w:marBottom w:val="0"/>
      <w:divBdr>
        <w:top w:val="none" w:sz="0" w:space="0" w:color="auto"/>
        <w:left w:val="none" w:sz="0" w:space="0" w:color="auto"/>
        <w:bottom w:val="none" w:sz="0" w:space="0" w:color="auto"/>
        <w:right w:val="none" w:sz="0" w:space="0" w:color="auto"/>
      </w:divBdr>
    </w:div>
    <w:div w:id="1510944110">
      <w:bodyDiv w:val="1"/>
      <w:marLeft w:val="0"/>
      <w:marRight w:val="0"/>
      <w:marTop w:val="0"/>
      <w:marBottom w:val="0"/>
      <w:divBdr>
        <w:top w:val="none" w:sz="0" w:space="0" w:color="auto"/>
        <w:left w:val="none" w:sz="0" w:space="0" w:color="auto"/>
        <w:bottom w:val="none" w:sz="0" w:space="0" w:color="auto"/>
        <w:right w:val="none" w:sz="0" w:space="0" w:color="auto"/>
      </w:divBdr>
    </w:div>
    <w:div w:id="1529752703">
      <w:bodyDiv w:val="1"/>
      <w:marLeft w:val="0"/>
      <w:marRight w:val="0"/>
      <w:marTop w:val="0"/>
      <w:marBottom w:val="0"/>
      <w:divBdr>
        <w:top w:val="none" w:sz="0" w:space="0" w:color="auto"/>
        <w:left w:val="none" w:sz="0" w:space="0" w:color="auto"/>
        <w:bottom w:val="none" w:sz="0" w:space="0" w:color="auto"/>
        <w:right w:val="none" w:sz="0" w:space="0" w:color="auto"/>
      </w:divBdr>
    </w:div>
    <w:div w:id="1777603797">
      <w:bodyDiv w:val="1"/>
      <w:marLeft w:val="0"/>
      <w:marRight w:val="0"/>
      <w:marTop w:val="0"/>
      <w:marBottom w:val="0"/>
      <w:divBdr>
        <w:top w:val="none" w:sz="0" w:space="0" w:color="auto"/>
        <w:left w:val="none" w:sz="0" w:space="0" w:color="auto"/>
        <w:bottom w:val="none" w:sz="0" w:space="0" w:color="auto"/>
        <w:right w:val="none" w:sz="0" w:space="0" w:color="auto"/>
      </w:divBdr>
    </w:div>
    <w:div w:id="1863743242">
      <w:bodyDiv w:val="1"/>
      <w:marLeft w:val="0"/>
      <w:marRight w:val="0"/>
      <w:marTop w:val="0"/>
      <w:marBottom w:val="0"/>
      <w:divBdr>
        <w:top w:val="none" w:sz="0" w:space="0" w:color="auto"/>
        <w:left w:val="none" w:sz="0" w:space="0" w:color="auto"/>
        <w:bottom w:val="none" w:sz="0" w:space="0" w:color="auto"/>
        <w:right w:val="none" w:sz="0" w:space="0" w:color="auto"/>
      </w:divBdr>
    </w:div>
    <w:div w:id="2102674288">
      <w:bodyDiv w:val="1"/>
      <w:marLeft w:val="0"/>
      <w:marRight w:val="0"/>
      <w:marTop w:val="0"/>
      <w:marBottom w:val="0"/>
      <w:divBdr>
        <w:top w:val="none" w:sz="0" w:space="0" w:color="auto"/>
        <w:left w:val="none" w:sz="0" w:space="0" w:color="auto"/>
        <w:bottom w:val="none" w:sz="0" w:space="0" w:color="auto"/>
        <w:right w:val="none" w:sz="0" w:space="0" w:color="auto"/>
      </w:divBdr>
    </w:div>
    <w:div w:id="214666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chele@competitivepower.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energy.utexas.edu/ercot-blackout-2021" TargetMode="External"/><Relationship Id="rId1" Type="http://schemas.openxmlformats.org/officeDocument/2006/relationships/hyperlink" Target="https://www.ferc.gov/media/february-2021-cold-weather-outages-texas-and-south-central-united-states-ferc-nerc-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550AB4A1B11D40BA93648E453A38A9" ma:contentTypeVersion="10" ma:contentTypeDescription="Create a new document." ma:contentTypeScope="" ma:versionID="a23f2b49f195ed5706c0043339cf2995">
  <xsd:schema xmlns:xsd="http://www.w3.org/2001/XMLSchema" xmlns:xs="http://www.w3.org/2001/XMLSchema" xmlns:p="http://schemas.microsoft.com/office/2006/metadata/properties" xmlns:ns3="60b3afc9-a72a-4286-a1f6-3c61aad5d6c4" targetNamespace="http://schemas.microsoft.com/office/2006/metadata/properties" ma:root="true" ma:fieldsID="25f05895d88c426d0858f9f4f1a8fcf0" ns3:_="">
    <xsd:import namespace="60b3afc9-a72a-4286-a1f6-3c61aad5d6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3afc9-a72a-4286-a1f6-3c61aad5d6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4FBA4-78EB-473C-A1A7-D2C63F091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3afc9-a72a-4286-a1f6-3c61aad5d6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BEBECB-AFB0-4741-8D54-A51F78D048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B7E663-3A3F-4FA0-9500-D88C4DDEDE5E}">
  <ds:schemaRefs>
    <ds:schemaRef ds:uri="http://schemas.microsoft.com/sharepoint/v3/contenttype/forms"/>
  </ds:schemaRefs>
</ds:datastoreItem>
</file>

<file path=customXml/itemProps4.xml><?xml version="1.0" encoding="utf-8"?>
<ds:datastoreItem xmlns:ds="http://schemas.openxmlformats.org/officeDocument/2006/customXml" ds:itemID="{5053A11E-7184-4469-AC5A-665DBEFC8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2407</Words>
  <Characters>13722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TCPA</dc:creator>
  <cp:keywords/>
  <dc:description/>
  <cp:lastModifiedBy>Michele Richmond</cp:lastModifiedBy>
  <cp:revision>3</cp:revision>
  <cp:lastPrinted>2021-08-16T18:42:00Z</cp:lastPrinted>
  <dcterms:created xsi:type="dcterms:W3CDTF">2022-03-21T15:44:00Z</dcterms:created>
  <dcterms:modified xsi:type="dcterms:W3CDTF">2022-03-21T16:40:00Z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0x0101000E550AB4A1B11D40BA93648E453A38A9</vt:lpwstr>
  </property>
  <property fmtid="{D5CDD505-2E9C-101B-9397-08002B2CF9AE}" pid="3" name="MSIP_Label_c968b3d1-e05f-4796-9c23-acaf26d588cb_Enabled">
    <vt:lpwstr>true</vt:lpwstr>
  </property>
  <property fmtid="{D5CDD505-2E9C-101B-9397-08002B2CF9AE}" pid="4" name="MSIP_Label_c968b3d1-e05f-4796-9c23-acaf26d588cb_SetDate">
    <vt:lpwstr>2022-03-18T21:38:43Z</vt:lpwstr>
  </property>
  <property fmtid="{D5CDD505-2E9C-101B-9397-08002B2CF9AE}" pid="5" name="MSIP_Label_c968b3d1-e05f-4796-9c23-acaf26d588cb_Method">
    <vt:lpwstr>Standard</vt:lpwstr>
  </property>
  <property fmtid="{D5CDD505-2E9C-101B-9397-08002B2CF9AE}" pid="6" name="MSIP_Label_c968b3d1-e05f-4796-9c23-acaf26d588cb_Name">
    <vt:lpwstr>Company Confidential Information</vt:lpwstr>
  </property>
  <property fmtid="{D5CDD505-2E9C-101B-9397-08002B2CF9AE}" pid="7" name="MSIP_Label_c968b3d1-e05f-4796-9c23-acaf26d588cb_SiteId">
    <vt:lpwstr>600d01fc-055f-49c6-868f-3ecfcc791773</vt:lpwstr>
  </property>
  <property fmtid="{D5CDD505-2E9C-101B-9397-08002B2CF9AE}" pid="8" name="MSIP_Label_c968b3d1-e05f-4796-9c23-acaf26d588cb_ActionId">
    <vt:lpwstr>fcd4f40b-56e4-432f-b20e-9e5a4407c9bf</vt:lpwstr>
  </property>
  <property fmtid="{D5CDD505-2E9C-101B-9397-08002B2CF9AE}" pid="9" name="MSIP_Label_c968b3d1-e05f-4796-9c23-acaf26d588cb_ContentBits">
    <vt:lpwstr>0</vt:lpwstr>
  </property>
</Properties>
</file>