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0C2F" w14:textId="4900C34D" w:rsidR="009A62BF" w:rsidRPr="00C36738" w:rsidRDefault="000A46BE" w:rsidP="00E47D33">
      <w:pPr>
        <w:jc w:val="center"/>
        <w:rPr>
          <w:rFonts w:ascii="Times New Roman" w:hAnsi="Times New Roman" w:cs="Times New Roman"/>
        </w:rPr>
      </w:pPr>
      <w:r w:rsidRPr="00C36738">
        <w:rPr>
          <w:rFonts w:ascii="Times New Roman" w:hAnsi="Times New Roman" w:cs="Times New Roman"/>
          <w:b/>
          <w:bCs/>
        </w:rPr>
        <w:t xml:space="preserve">PROJECT NO. </w:t>
      </w:r>
      <w:r w:rsidR="001A666C">
        <w:rPr>
          <w:rFonts w:ascii="Times New Roman" w:hAnsi="Times New Roman" w:cs="Times New Roman"/>
          <w:b/>
          <w:bCs/>
        </w:rPr>
        <w:t>53</w:t>
      </w:r>
      <w:r w:rsidR="009C2257">
        <w:rPr>
          <w:rFonts w:ascii="Times New Roman" w:hAnsi="Times New Roman" w:cs="Times New Roman"/>
          <w:b/>
          <w:bCs/>
        </w:rPr>
        <w:t>493</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0A46BE" w:rsidRPr="00C36738" w14:paraId="2DA35ED6" w14:textId="77777777" w:rsidTr="001C5A5D">
        <w:trPr>
          <w:trHeight w:val="1341"/>
        </w:trPr>
        <w:tc>
          <w:tcPr>
            <w:tcW w:w="4230" w:type="dxa"/>
            <w:vAlign w:val="center"/>
          </w:tcPr>
          <w:p w14:paraId="65985F7B" w14:textId="32E201A6" w:rsidR="000A46BE" w:rsidRPr="00C36738" w:rsidRDefault="009C2257" w:rsidP="009C2257">
            <w:pPr>
              <w:jc w:val="center"/>
              <w:rPr>
                <w:rFonts w:ascii="Times New Roman" w:hAnsi="Times New Roman" w:cs="Times New Roman"/>
                <w:b/>
                <w:bCs/>
              </w:rPr>
            </w:pPr>
            <w:r>
              <w:rPr>
                <w:rFonts w:ascii="Times New Roman" w:hAnsi="Times New Roman" w:cs="Times New Roman"/>
                <w:b/>
                <w:bCs/>
              </w:rPr>
              <w:t>EMERGENCY RESPONSE SERVICE</w:t>
            </w:r>
          </w:p>
        </w:tc>
        <w:tc>
          <w:tcPr>
            <w:tcW w:w="720" w:type="dxa"/>
            <w:vAlign w:val="center"/>
          </w:tcPr>
          <w:p w14:paraId="6C106138" w14:textId="77777777" w:rsidR="000A46BE"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5F1E91B9" w14:textId="77777777"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0D33AC7C" w14:textId="32C95AB9"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431DE9DD" w14:textId="1D45B606"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BEFORE THE</w:t>
            </w:r>
          </w:p>
          <w:p w14:paraId="6DA18CCA"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PUBLIC UTILITY COMMISSION</w:t>
            </w:r>
          </w:p>
          <w:p w14:paraId="69A3027D"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OF TEXAS</w:t>
            </w:r>
          </w:p>
        </w:tc>
      </w:tr>
    </w:tbl>
    <w:p w14:paraId="12A61059" w14:textId="13C18144" w:rsidR="003D4730" w:rsidRPr="00C36738" w:rsidRDefault="009A62BF" w:rsidP="008877F3">
      <w:pPr>
        <w:ind w:hanging="450"/>
        <w:rPr>
          <w:rFonts w:ascii="Times New Roman" w:hAnsi="Times New Roman" w:cs="Times New Roman"/>
          <w:u w:val="single"/>
        </w:rPr>
      </w:pPr>
      <w:r w:rsidRPr="00C36738">
        <w:rPr>
          <w:rFonts w:ascii="Times New Roman" w:hAnsi="Times New Roman" w:cs="Times New Roman"/>
          <w:b/>
          <w:bCs/>
        </w:rPr>
        <w:tab/>
      </w:r>
    </w:p>
    <w:p w14:paraId="36860F62" w14:textId="6C8F4777" w:rsidR="00AF1446" w:rsidRPr="00C36738" w:rsidRDefault="00DF5762" w:rsidP="00AF1446">
      <w:pPr>
        <w:jc w:val="center"/>
        <w:rPr>
          <w:rFonts w:ascii="Times New Roman" w:hAnsi="Times New Roman" w:cs="Times New Roman"/>
          <w:b/>
          <w:bCs/>
          <w:u w:val="single"/>
        </w:rPr>
      </w:pPr>
      <w:r w:rsidRPr="00C36738">
        <w:rPr>
          <w:rFonts w:ascii="Times New Roman" w:hAnsi="Times New Roman" w:cs="Times New Roman"/>
          <w:b/>
          <w:bCs/>
          <w:u w:val="single"/>
        </w:rPr>
        <w:t xml:space="preserve">COMMENTS OF </w:t>
      </w:r>
      <w:r w:rsidR="006141FF">
        <w:rPr>
          <w:rFonts w:ascii="Times New Roman" w:hAnsi="Times New Roman" w:cs="Times New Roman"/>
          <w:b/>
          <w:bCs/>
          <w:u w:val="single"/>
        </w:rPr>
        <w:t>T</w:t>
      </w:r>
      <w:r w:rsidR="00792B92">
        <w:rPr>
          <w:rFonts w:ascii="Times New Roman" w:hAnsi="Times New Roman" w:cs="Times New Roman"/>
          <w:b/>
          <w:bCs/>
          <w:u w:val="single"/>
        </w:rPr>
        <w:t>EXAS</w:t>
      </w:r>
      <w:r w:rsidR="00EB3AC7">
        <w:rPr>
          <w:rFonts w:ascii="Times New Roman" w:hAnsi="Times New Roman" w:cs="Times New Roman"/>
          <w:b/>
          <w:bCs/>
          <w:u w:val="single"/>
        </w:rPr>
        <w:t xml:space="preserve"> </w:t>
      </w:r>
      <w:r w:rsidR="006141FF">
        <w:rPr>
          <w:rFonts w:ascii="Times New Roman" w:hAnsi="Times New Roman" w:cs="Times New Roman"/>
          <w:b/>
          <w:bCs/>
          <w:u w:val="single"/>
        </w:rPr>
        <w:t>C</w:t>
      </w:r>
      <w:r w:rsidR="00792B92">
        <w:rPr>
          <w:rFonts w:ascii="Times New Roman" w:hAnsi="Times New Roman" w:cs="Times New Roman"/>
          <w:b/>
          <w:bCs/>
          <w:u w:val="single"/>
        </w:rPr>
        <w:t>OMPETITIVE</w:t>
      </w:r>
      <w:r w:rsidR="00EB3AC7">
        <w:rPr>
          <w:rFonts w:ascii="Times New Roman" w:hAnsi="Times New Roman" w:cs="Times New Roman"/>
          <w:b/>
          <w:bCs/>
          <w:u w:val="single"/>
        </w:rPr>
        <w:t xml:space="preserve"> </w:t>
      </w:r>
      <w:r w:rsidR="006141FF">
        <w:rPr>
          <w:rFonts w:ascii="Times New Roman" w:hAnsi="Times New Roman" w:cs="Times New Roman"/>
          <w:b/>
          <w:bCs/>
          <w:u w:val="single"/>
        </w:rPr>
        <w:t>P</w:t>
      </w:r>
      <w:r w:rsidR="00792B92">
        <w:rPr>
          <w:rFonts w:ascii="Times New Roman" w:hAnsi="Times New Roman" w:cs="Times New Roman"/>
          <w:b/>
          <w:bCs/>
          <w:u w:val="single"/>
        </w:rPr>
        <w:t>OWER</w:t>
      </w:r>
      <w:r w:rsidR="00EB3AC7">
        <w:rPr>
          <w:rFonts w:ascii="Times New Roman" w:hAnsi="Times New Roman" w:cs="Times New Roman"/>
          <w:b/>
          <w:bCs/>
          <w:u w:val="single"/>
        </w:rPr>
        <w:t xml:space="preserve"> </w:t>
      </w:r>
      <w:r w:rsidR="006141FF">
        <w:rPr>
          <w:rFonts w:ascii="Times New Roman" w:hAnsi="Times New Roman" w:cs="Times New Roman"/>
          <w:b/>
          <w:bCs/>
          <w:u w:val="single"/>
        </w:rPr>
        <w:t>A</w:t>
      </w:r>
      <w:r w:rsidR="00792B92">
        <w:rPr>
          <w:rFonts w:ascii="Times New Roman" w:hAnsi="Times New Roman" w:cs="Times New Roman"/>
          <w:b/>
          <w:bCs/>
          <w:u w:val="single"/>
        </w:rPr>
        <w:t>DVOCATES</w:t>
      </w:r>
      <w:r w:rsidR="009C2257">
        <w:rPr>
          <w:rFonts w:ascii="Times New Roman" w:hAnsi="Times New Roman" w:cs="Times New Roman"/>
          <w:b/>
          <w:bCs/>
          <w:u w:val="single"/>
        </w:rPr>
        <w:t xml:space="preserve"> ON DISCUSSION DRAFT RULE</w:t>
      </w:r>
    </w:p>
    <w:p w14:paraId="6F8CE8E1" w14:textId="77777777" w:rsidR="00460079" w:rsidRPr="00C36738" w:rsidRDefault="00460079" w:rsidP="00AF1446">
      <w:pPr>
        <w:jc w:val="center"/>
        <w:rPr>
          <w:rFonts w:ascii="Times New Roman" w:hAnsi="Times New Roman" w:cs="Times New Roman"/>
          <w:u w:val="single"/>
        </w:rPr>
      </w:pPr>
    </w:p>
    <w:p w14:paraId="5008F21A" w14:textId="0BCEF754" w:rsidR="00AF1446" w:rsidRPr="00C36738" w:rsidRDefault="00AF1446" w:rsidP="00AF1446">
      <w:pPr>
        <w:jc w:val="both"/>
        <w:rPr>
          <w:rFonts w:ascii="Times New Roman" w:hAnsi="Times New Roman" w:cs="Times New Roman"/>
        </w:rPr>
      </w:pPr>
      <w:r w:rsidRPr="00C36738">
        <w:rPr>
          <w:rFonts w:ascii="Times New Roman" w:hAnsi="Times New Roman" w:cs="Times New Roman"/>
        </w:rPr>
        <w:t>TO THE PUBLIC UTILITY COMMISSION OF TEXAS:</w:t>
      </w:r>
    </w:p>
    <w:p w14:paraId="1DF30119" w14:textId="77777777" w:rsidR="00460079" w:rsidRPr="00C36738" w:rsidRDefault="00460079" w:rsidP="00AF1446">
      <w:pPr>
        <w:jc w:val="both"/>
        <w:rPr>
          <w:rFonts w:ascii="Times New Roman" w:hAnsi="Times New Roman" w:cs="Times New Roman"/>
        </w:rPr>
      </w:pPr>
    </w:p>
    <w:p w14:paraId="023C9E93" w14:textId="421D03C4" w:rsidR="00AF1446" w:rsidRDefault="00AF1446" w:rsidP="00E51397">
      <w:pPr>
        <w:spacing w:line="480" w:lineRule="auto"/>
        <w:jc w:val="both"/>
        <w:rPr>
          <w:rFonts w:ascii="Times New Roman" w:hAnsi="Times New Roman" w:cs="Times New Roman"/>
        </w:rPr>
      </w:pPr>
      <w:r w:rsidRPr="00C36738">
        <w:rPr>
          <w:rFonts w:ascii="Times New Roman" w:hAnsi="Times New Roman" w:cs="Times New Roman"/>
        </w:rPr>
        <w:tab/>
      </w:r>
      <w:r w:rsidR="006141FF">
        <w:rPr>
          <w:rFonts w:ascii="Times New Roman" w:hAnsi="Times New Roman" w:cs="Times New Roman"/>
        </w:rPr>
        <w:t>Texas Competitive Power Advocates</w:t>
      </w:r>
      <w:r w:rsidR="00D30ED9">
        <w:rPr>
          <w:rFonts w:ascii="Times New Roman" w:hAnsi="Times New Roman" w:cs="Times New Roman"/>
        </w:rPr>
        <w:t xml:space="preserve"> (</w:t>
      </w:r>
      <w:r w:rsidR="009C2257">
        <w:rPr>
          <w:rFonts w:ascii="Times New Roman" w:hAnsi="Times New Roman" w:cs="Times New Roman"/>
        </w:rPr>
        <w:t>“</w:t>
      </w:r>
      <w:r w:rsidR="006141FF">
        <w:rPr>
          <w:rFonts w:ascii="Times New Roman" w:hAnsi="Times New Roman" w:cs="Times New Roman"/>
        </w:rPr>
        <w:t>TCPA</w:t>
      </w:r>
      <w:r w:rsidR="009C2257">
        <w:rPr>
          <w:rFonts w:ascii="Times New Roman" w:hAnsi="Times New Roman" w:cs="Times New Roman"/>
        </w:rPr>
        <w:t>”</w:t>
      </w:r>
      <w:r w:rsidR="00D30ED9">
        <w:rPr>
          <w:rFonts w:ascii="Times New Roman" w:hAnsi="Times New Roman" w:cs="Times New Roman"/>
        </w:rPr>
        <w:t>)</w:t>
      </w:r>
      <w:r w:rsidR="0011418A">
        <w:rPr>
          <w:rStyle w:val="FootnoteReference"/>
          <w:rFonts w:ascii="Times New Roman" w:hAnsi="Times New Roman" w:cs="Times New Roman"/>
        </w:rPr>
        <w:footnoteReference w:id="2"/>
      </w:r>
      <w:r w:rsidRPr="00C36738">
        <w:rPr>
          <w:rFonts w:ascii="Times New Roman" w:hAnsi="Times New Roman" w:cs="Times New Roman"/>
        </w:rPr>
        <w:t xml:space="preserve"> </w:t>
      </w:r>
      <w:r w:rsidR="00E353EF">
        <w:rPr>
          <w:rFonts w:ascii="Times New Roman" w:hAnsi="Times New Roman" w:cs="Times New Roman"/>
        </w:rPr>
        <w:t xml:space="preserve">respectfully </w:t>
      </w:r>
      <w:r w:rsidR="00F30BE0" w:rsidRPr="00C36738">
        <w:rPr>
          <w:rFonts w:ascii="Times New Roman" w:hAnsi="Times New Roman" w:cs="Times New Roman"/>
        </w:rPr>
        <w:t xml:space="preserve">submits </w:t>
      </w:r>
      <w:r w:rsidRPr="00C36738">
        <w:rPr>
          <w:rFonts w:ascii="Times New Roman" w:hAnsi="Times New Roman" w:cs="Times New Roman"/>
        </w:rPr>
        <w:t xml:space="preserve">the following comments concerning </w:t>
      </w:r>
      <w:r w:rsidR="001A666C">
        <w:rPr>
          <w:rFonts w:ascii="Times New Roman" w:hAnsi="Times New Roman" w:cs="Times New Roman"/>
        </w:rPr>
        <w:t xml:space="preserve">the </w:t>
      </w:r>
      <w:r w:rsidR="00816A5A">
        <w:rPr>
          <w:rFonts w:ascii="Times New Roman" w:hAnsi="Times New Roman" w:cs="Times New Roman"/>
        </w:rPr>
        <w:t>D</w:t>
      </w:r>
      <w:r w:rsidR="009C2257">
        <w:rPr>
          <w:rFonts w:ascii="Times New Roman" w:hAnsi="Times New Roman" w:cs="Times New Roman"/>
        </w:rPr>
        <w:t xml:space="preserve">iscussion </w:t>
      </w:r>
      <w:r w:rsidR="00816A5A">
        <w:rPr>
          <w:rFonts w:ascii="Times New Roman" w:hAnsi="Times New Roman" w:cs="Times New Roman"/>
        </w:rPr>
        <w:t>D</w:t>
      </w:r>
      <w:r w:rsidR="009C2257">
        <w:rPr>
          <w:rFonts w:ascii="Times New Roman" w:hAnsi="Times New Roman" w:cs="Times New Roman"/>
        </w:rPr>
        <w:t xml:space="preserve">raft rule revision to </w:t>
      </w:r>
      <w:r w:rsidRPr="00C36738">
        <w:rPr>
          <w:rFonts w:ascii="Times New Roman" w:hAnsi="Times New Roman" w:cs="Times New Roman"/>
        </w:rPr>
        <w:t xml:space="preserve">16 </w:t>
      </w:r>
      <w:r w:rsidR="00DF5762" w:rsidRPr="00C36738">
        <w:rPr>
          <w:rFonts w:ascii="Times New Roman" w:hAnsi="Times New Roman" w:cs="Times New Roman"/>
        </w:rPr>
        <w:t>Tex</w:t>
      </w:r>
      <w:r w:rsidR="00923F22" w:rsidRPr="00C36738">
        <w:rPr>
          <w:rFonts w:ascii="Times New Roman" w:hAnsi="Times New Roman" w:cs="Times New Roman"/>
        </w:rPr>
        <w:t>.</w:t>
      </w:r>
      <w:r w:rsidR="00DF5762" w:rsidRPr="00C36738">
        <w:rPr>
          <w:rFonts w:ascii="Times New Roman" w:hAnsi="Times New Roman" w:cs="Times New Roman"/>
        </w:rPr>
        <w:t xml:space="preserve"> Admin</w:t>
      </w:r>
      <w:r w:rsidR="00923F22" w:rsidRPr="00C36738">
        <w:rPr>
          <w:rFonts w:ascii="Times New Roman" w:hAnsi="Times New Roman" w:cs="Times New Roman"/>
        </w:rPr>
        <w:t>.</w:t>
      </w:r>
      <w:r w:rsidR="00DF5762" w:rsidRPr="00C36738">
        <w:rPr>
          <w:rFonts w:ascii="Times New Roman" w:hAnsi="Times New Roman" w:cs="Times New Roman"/>
        </w:rPr>
        <w:t xml:space="preserve"> Code (</w:t>
      </w:r>
      <w:r w:rsidRPr="00C36738">
        <w:rPr>
          <w:rFonts w:ascii="Times New Roman" w:hAnsi="Times New Roman" w:cs="Times New Roman"/>
        </w:rPr>
        <w:t>TAC</w:t>
      </w:r>
      <w:r w:rsidR="00DF5762" w:rsidRPr="00C36738">
        <w:rPr>
          <w:rFonts w:ascii="Times New Roman" w:hAnsi="Times New Roman" w:cs="Times New Roman"/>
        </w:rPr>
        <w:t>)</w:t>
      </w:r>
      <w:r w:rsidRPr="00C36738">
        <w:rPr>
          <w:rFonts w:ascii="Times New Roman" w:hAnsi="Times New Roman" w:cs="Times New Roman"/>
        </w:rPr>
        <w:t xml:space="preserve"> § 25</w:t>
      </w:r>
      <w:r w:rsidR="00DF5762" w:rsidRPr="00C36738">
        <w:rPr>
          <w:rFonts w:ascii="Times New Roman" w:hAnsi="Times New Roman" w:cs="Times New Roman"/>
        </w:rPr>
        <w:t>.5</w:t>
      </w:r>
      <w:r w:rsidR="001A666C">
        <w:rPr>
          <w:rFonts w:ascii="Times New Roman" w:hAnsi="Times New Roman" w:cs="Times New Roman"/>
        </w:rPr>
        <w:t>0</w:t>
      </w:r>
      <w:r w:rsidR="009C2257">
        <w:rPr>
          <w:rFonts w:ascii="Times New Roman" w:hAnsi="Times New Roman" w:cs="Times New Roman"/>
        </w:rPr>
        <w:t>7 (“</w:t>
      </w:r>
      <w:r w:rsidR="00816A5A">
        <w:rPr>
          <w:rFonts w:ascii="Times New Roman" w:hAnsi="Times New Roman" w:cs="Times New Roman"/>
        </w:rPr>
        <w:t>D</w:t>
      </w:r>
      <w:r w:rsidR="009C2257">
        <w:rPr>
          <w:rFonts w:ascii="Times New Roman" w:hAnsi="Times New Roman" w:cs="Times New Roman"/>
        </w:rPr>
        <w:t xml:space="preserve">iscussion </w:t>
      </w:r>
      <w:r w:rsidR="00816A5A">
        <w:rPr>
          <w:rFonts w:ascii="Times New Roman" w:hAnsi="Times New Roman" w:cs="Times New Roman"/>
        </w:rPr>
        <w:t>D</w:t>
      </w:r>
      <w:r w:rsidR="009C2257">
        <w:rPr>
          <w:rFonts w:ascii="Times New Roman" w:hAnsi="Times New Roman" w:cs="Times New Roman"/>
        </w:rPr>
        <w:t>raft”)</w:t>
      </w:r>
      <w:r w:rsidR="0047439E">
        <w:rPr>
          <w:rFonts w:ascii="Times New Roman" w:hAnsi="Times New Roman" w:cs="Times New Roman"/>
        </w:rPr>
        <w:t xml:space="preserve"> regarding Emergency Response Service (“ERS”)</w:t>
      </w:r>
      <w:r w:rsidR="00DF5762" w:rsidRPr="00C36738">
        <w:rPr>
          <w:rFonts w:ascii="Times New Roman" w:hAnsi="Times New Roman" w:cs="Times New Roman"/>
        </w:rPr>
        <w:t xml:space="preserve">, </w:t>
      </w:r>
      <w:r w:rsidR="009C2257">
        <w:rPr>
          <w:rFonts w:ascii="Times New Roman" w:hAnsi="Times New Roman" w:cs="Times New Roman"/>
        </w:rPr>
        <w:t xml:space="preserve">filed in this project </w:t>
      </w:r>
      <w:r w:rsidR="00DF5762" w:rsidRPr="00C36738">
        <w:rPr>
          <w:rFonts w:ascii="Times New Roman" w:hAnsi="Times New Roman" w:cs="Times New Roman"/>
        </w:rPr>
        <w:t xml:space="preserve">on </w:t>
      </w:r>
      <w:r w:rsidR="009C2257">
        <w:rPr>
          <w:rFonts w:ascii="Times New Roman" w:hAnsi="Times New Roman" w:cs="Times New Roman"/>
        </w:rPr>
        <w:t>April 28</w:t>
      </w:r>
      <w:r w:rsidR="00DF5762" w:rsidRPr="00C36738">
        <w:rPr>
          <w:rFonts w:ascii="Times New Roman" w:hAnsi="Times New Roman" w:cs="Times New Roman"/>
        </w:rPr>
        <w:t>, 202</w:t>
      </w:r>
      <w:r w:rsidR="009C2257">
        <w:rPr>
          <w:rFonts w:ascii="Times New Roman" w:hAnsi="Times New Roman" w:cs="Times New Roman"/>
        </w:rPr>
        <w:t>2</w:t>
      </w:r>
      <w:r w:rsidR="00DF5762" w:rsidRPr="00C36738">
        <w:rPr>
          <w:rFonts w:ascii="Times New Roman" w:hAnsi="Times New Roman" w:cs="Times New Roman"/>
        </w:rPr>
        <w:t>.</w:t>
      </w:r>
      <w:r w:rsidR="00D712D7">
        <w:rPr>
          <w:rStyle w:val="FootnoteReference"/>
          <w:rFonts w:ascii="Times New Roman" w:hAnsi="Times New Roman" w:cs="Times New Roman"/>
        </w:rPr>
        <w:footnoteReference w:id="3"/>
      </w:r>
      <w:r w:rsidR="00E353EF">
        <w:rPr>
          <w:rFonts w:ascii="Times New Roman" w:hAnsi="Times New Roman" w:cs="Times New Roman"/>
        </w:rPr>
        <w:t xml:space="preserve"> </w:t>
      </w:r>
    </w:p>
    <w:p w14:paraId="03DD8EF3" w14:textId="154EA9A5" w:rsidR="007851D7" w:rsidRPr="00C36738" w:rsidRDefault="007851D7" w:rsidP="00E51397">
      <w:pPr>
        <w:spacing w:line="480" w:lineRule="auto"/>
        <w:jc w:val="center"/>
        <w:rPr>
          <w:rFonts w:ascii="Times New Roman" w:hAnsi="Times New Roman" w:cs="Times New Roman"/>
          <w:b/>
        </w:rPr>
      </w:pPr>
      <w:r w:rsidRPr="00C36738">
        <w:rPr>
          <w:rFonts w:ascii="Times New Roman" w:hAnsi="Times New Roman" w:cs="Times New Roman"/>
          <w:b/>
        </w:rPr>
        <w:t>I.</w:t>
      </w:r>
      <w:r w:rsidR="00B0163A" w:rsidRPr="00C36738">
        <w:rPr>
          <w:rFonts w:ascii="Times New Roman" w:hAnsi="Times New Roman" w:cs="Times New Roman"/>
          <w:b/>
        </w:rPr>
        <w:t xml:space="preserve"> </w:t>
      </w:r>
      <w:r w:rsidR="00E14B1C" w:rsidRPr="00C36738">
        <w:rPr>
          <w:rFonts w:ascii="Times New Roman" w:hAnsi="Times New Roman" w:cs="Times New Roman"/>
          <w:b/>
        </w:rPr>
        <w:t>Comments</w:t>
      </w:r>
      <w:r w:rsidR="003A5C58">
        <w:rPr>
          <w:rFonts w:ascii="Times New Roman" w:hAnsi="Times New Roman" w:cs="Times New Roman"/>
          <w:b/>
        </w:rPr>
        <w:t xml:space="preserve"> </w:t>
      </w:r>
      <w:r w:rsidR="00E353EF">
        <w:rPr>
          <w:rFonts w:ascii="Times New Roman" w:hAnsi="Times New Roman" w:cs="Times New Roman"/>
          <w:b/>
        </w:rPr>
        <w:t>in Response to Staff Question</w:t>
      </w:r>
    </w:p>
    <w:p w14:paraId="4AEE2F76" w14:textId="3D53E368" w:rsidR="00E57351" w:rsidRPr="00C31608" w:rsidRDefault="00E353EF" w:rsidP="00C31608">
      <w:pPr>
        <w:pStyle w:val="ListParagraph"/>
        <w:numPr>
          <w:ilvl w:val="0"/>
          <w:numId w:val="6"/>
        </w:numPr>
        <w:spacing w:after="240"/>
        <w:jc w:val="both"/>
        <w:rPr>
          <w:rFonts w:ascii="Times New Roman" w:hAnsi="Times New Roman" w:cs="Times New Roman"/>
          <w:bCs/>
        </w:rPr>
      </w:pPr>
      <w:r>
        <w:rPr>
          <w:rFonts w:ascii="Times New Roman" w:hAnsi="Times New Roman" w:cs="Times New Roman"/>
          <w:b/>
        </w:rPr>
        <w:t>Should the ERS procurement methodology be changed to provide for the procurement of a specific MW quantity or some other measure than a fixed dollar amount?</w:t>
      </w:r>
    </w:p>
    <w:p w14:paraId="15C27B9C" w14:textId="3C0CDF5D" w:rsidR="00323186" w:rsidRDefault="00C31608" w:rsidP="00C31608">
      <w:pPr>
        <w:spacing w:line="480" w:lineRule="auto"/>
        <w:ind w:firstLine="720"/>
        <w:jc w:val="both"/>
        <w:rPr>
          <w:rFonts w:ascii="Times New Roman" w:hAnsi="Times New Roman" w:cs="Times New Roman"/>
        </w:rPr>
      </w:pPr>
      <w:r>
        <w:rPr>
          <w:rFonts w:ascii="Times New Roman" w:hAnsi="Times New Roman" w:cs="Times New Roman"/>
        </w:rPr>
        <w:t xml:space="preserve">TCPA believes there </w:t>
      </w:r>
      <w:r w:rsidR="00EC75D1">
        <w:rPr>
          <w:rFonts w:ascii="Times New Roman" w:hAnsi="Times New Roman" w:cs="Times New Roman"/>
        </w:rPr>
        <w:t>is</w:t>
      </w:r>
      <w:r>
        <w:rPr>
          <w:rFonts w:ascii="Times New Roman" w:hAnsi="Times New Roman" w:cs="Times New Roman"/>
        </w:rPr>
        <w:t xml:space="preserve"> merit in procuring a specific MW quantity of ERS (1) </w:t>
      </w:r>
      <w:r w:rsidR="00C243EC">
        <w:rPr>
          <w:rFonts w:ascii="Times New Roman" w:hAnsi="Times New Roman" w:cs="Times New Roman"/>
        </w:rPr>
        <w:t>based on an established and well-reasoned standard</w:t>
      </w:r>
      <w:r w:rsidR="00EC75D1">
        <w:rPr>
          <w:rFonts w:ascii="Times New Roman" w:hAnsi="Times New Roman" w:cs="Times New Roman"/>
        </w:rPr>
        <w:t xml:space="preserve"> for procurement</w:t>
      </w:r>
      <w:r w:rsidR="00C243EC">
        <w:rPr>
          <w:rFonts w:ascii="Times New Roman" w:hAnsi="Times New Roman" w:cs="Times New Roman"/>
        </w:rPr>
        <w:t xml:space="preserve">; and (2) </w:t>
      </w:r>
      <w:r>
        <w:rPr>
          <w:rFonts w:ascii="Times New Roman" w:hAnsi="Times New Roman" w:cs="Times New Roman"/>
          <w:i/>
          <w:iCs/>
        </w:rPr>
        <w:t>in addition to</w:t>
      </w:r>
      <w:r>
        <w:rPr>
          <w:rFonts w:ascii="Times New Roman" w:hAnsi="Times New Roman" w:cs="Times New Roman"/>
        </w:rPr>
        <w:t xml:space="preserve"> the fixed dollar budget cap subject to a demand curve</w:t>
      </w:r>
      <w:r w:rsidR="00C243EC">
        <w:rPr>
          <w:rFonts w:ascii="Times New Roman" w:hAnsi="Times New Roman" w:cs="Times New Roman"/>
        </w:rPr>
        <w:t xml:space="preserve">. </w:t>
      </w:r>
    </w:p>
    <w:p w14:paraId="53252443" w14:textId="215D610D" w:rsidR="00DE36A1" w:rsidRDefault="0074534C" w:rsidP="0074534C">
      <w:pPr>
        <w:spacing w:line="480" w:lineRule="auto"/>
        <w:ind w:firstLine="720"/>
        <w:jc w:val="both"/>
        <w:rPr>
          <w:rFonts w:ascii="Times New Roman" w:hAnsi="Times New Roman" w:cs="Times New Roman"/>
        </w:rPr>
      </w:pPr>
      <w:r>
        <w:rPr>
          <w:rFonts w:ascii="Times New Roman" w:hAnsi="Times New Roman" w:cs="Times New Roman"/>
        </w:rPr>
        <w:t xml:space="preserve">Both </w:t>
      </w:r>
      <w:r w:rsidR="00C243EC">
        <w:rPr>
          <w:rFonts w:ascii="Times New Roman" w:hAnsi="Times New Roman" w:cs="Times New Roman"/>
        </w:rPr>
        <w:t>provision</w:t>
      </w:r>
      <w:r>
        <w:rPr>
          <w:rFonts w:ascii="Times New Roman" w:hAnsi="Times New Roman" w:cs="Times New Roman"/>
        </w:rPr>
        <w:t>s</w:t>
      </w:r>
      <w:r w:rsidR="00C243EC">
        <w:rPr>
          <w:rFonts w:ascii="Times New Roman" w:hAnsi="Times New Roman" w:cs="Times New Roman"/>
        </w:rPr>
        <w:t xml:space="preserve"> </w:t>
      </w:r>
      <w:r>
        <w:rPr>
          <w:rFonts w:ascii="Times New Roman" w:hAnsi="Times New Roman" w:cs="Times New Roman"/>
        </w:rPr>
        <w:t>are</w:t>
      </w:r>
      <w:r w:rsidR="00C243EC">
        <w:rPr>
          <w:rFonts w:ascii="Times New Roman" w:hAnsi="Times New Roman" w:cs="Times New Roman"/>
        </w:rPr>
        <w:t xml:space="preserve"> important </w:t>
      </w:r>
      <w:r w:rsidR="008410D0">
        <w:rPr>
          <w:rFonts w:ascii="Times New Roman" w:hAnsi="Times New Roman" w:cs="Times New Roman"/>
        </w:rPr>
        <w:t xml:space="preserve">because ERS is </w:t>
      </w:r>
      <w:r w:rsidR="00EC75D1">
        <w:rPr>
          <w:rFonts w:ascii="Times New Roman" w:hAnsi="Times New Roman" w:cs="Times New Roman"/>
        </w:rPr>
        <w:t xml:space="preserve">a </w:t>
      </w:r>
      <w:r w:rsidR="006829A0">
        <w:rPr>
          <w:rFonts w:ascii="Times New Roman" w:hAnsi="Times New Roman" w:cs="Times New Roman"/>
        </w:rPr>
        <w:t xml:space="preserve">system-wide </w:t>
      </w:r>
      <w:r w:rsidR="00EC75D1">
        <w:rPr>
          <w:rFonts w:ascii="Times New Roman" w:hAnsi="Times New Roman" w:cs="Times New Roman"/>
        </w:rPr>
        <w:t>capacity procurement</w:t>
      </w:r>
      <w:r w:rsidR="003C48FC">
        <w:rPr>
          <w:rFonts w:ascii="Times New Roman" w:hAnsi="Times New Roman" w:cs="Times New Roman"/>
        </w:rPr>
        <w:t xml:space="preserve"> for demand response resources that interact with the energy market</w:t>
      </w:r>
      <w:r w:rsidR="008410D0">
        <w:rPr>
          <w:rFonts w:ascii="Times New Roman" w:hAnsi="Times New Roman" w:cs="Times New Roman"/>
        </w:rPr>
        <w:t xml:space="preserve">, so it must be carefully scoped to </w:t>
      </w:r>
      <w:r w:rsidR="008410D0">
        <w:rPr>
          <w:rFonts w:ascii="Times New Roman" w:hAnsi="Times New Roman" w:cs="Times New Roman"/>
        </w:rPr>
        <w:lastRenderedPageBreak/>
        <w:t xml:space="preserve">minimize negative </w:t>
      </w:r>
      <w:r w:rsidR="000D3B55">
        <w:rPr>
          <w:rFonts w:ascii="Times New Roman" w:hAnsi="Times New Roman" w:cs="Times New Roman"/>
        </w:rPr>
        <w:t>impacts to</w:t>
      </w:r>
      <w:r w:rsidR="008410D0">
        <w:rPr>
          <w:rFonts w:ascii="Times New Roman" w:hAnsi="Times New Roman" w:cs="Times New Roman"/>
        </w:rPr>
        <w:t xml:space="preserve"> the wholesale electricity market that ERCOT </w:t>
      </w:r>
      <w:r w:rsidR="003C48FC">
        <w:rPr>
          <w:rFonts w:ascii="Times New Roman" w:hAnsi="Times New Roman" w:cs="Times New Roman"/>
        </w:rPr>
        <w:t xml:space="preserve">currently </w:t>
      </w:r>
      <w:r w:rsidR="008410D0">
        <w:rPr>
          <w:rFonts w:ascii="Times New Roman" w:hAnsi="Times New Roman" w:cs="Times New Roman"/>
        </w:rPr>
        <w:t xml:space="preserve">depends </w:t>
      </w:r>
      <w:r w:rsidR="003C48FC">
        <w:rPr>
          <w:rFonts w:ascii="Times New Roman" w:hAnsi="Times New Roman" w:cs="Times New Roman"/>
        </w:rPr>
        <w:t xml:space="preserve">almost solely </w:t>
      </w:r>
      <w:r w:rsidR="008410D0">
        <w:rPr>
          <w:rFonts w:ascii="Times New Roman" w:hAnsi="Times New Roman" w:cs="Times New Roman"/>
        </w:rPr>
        <w:t xml:space="preserve">upon to retain existing </w:t>
      </w:r>
      <w:r w:rsidR="006829A0">
        <w:rPr>
          <w:rFonts w:ascii="Times New Roman" w:hAnsi="Times New Roman" w:cs="Times New Roman"/>
        </w:rPr>
        <w:t xml:space="preserve">resources </w:t>
      </w:r>
      <w:r w:rsidR="008410D0">
        <w:rPr>
          <w:rFonts w:ascii="Times New Roman" w:hAnsi="Times New Roman" w:cs="Times New Roman"/>
        </w:rPr>
        <w:t xml:space="preserve">and </w:t>
      </w:r>
      <w:r w:rsidR="003C48FC">
        <w:rPr>
          <w:rFonts w:ascii="Times New Roman" w:hAnsi="Times New Roman" w:cs="Times New Roman"/>
        </w:rPr>
        <w:t xml:space="preserve">to </w:t>
      </w:r>
      <w:r w:rsidR="008410D0">
        <w:rPr>
          <w:rFonts w:ascii="Times New Roman" w:hAnsi="Times New Roman" w:cs="Times New Roman"/>
        </w:rPr>
        <w:t>attract new generation capacity</w:t>
      </w:r>
      <w:r w:rsidR="00323186">
        <w:rPr>
          <w:rFonts w:ascii="Times New Roman" w:hAnsi="Times New Roman" w:cs="Times New Roman"/>
        </w:rPr>
        <w:t xml:space="preserve"> and </w:t>
      </w:r>
      <w:r w:rsidR="008410D0">
        <w:rPr>
          <w:rFonts w:ascii="Times New Roman" w:hAnsi="Times New Roman" w:cs="Times New Roman"/>
        </w:rPr>
        <w:t xml:space="preserve">load </w:t>
      </w:r>
      <w:r w:rsidR="00323186">
        <w:rPr>
          <w:rFonts w:ascii="Times New Roman" w:hAnsi="Times New Roman" w:cs="Times New Roman"/>
        </w:rPr>
        <w:t>resources</w:t>
      </w:r>
      <w:r w:rsidR="008410D0">
        <w:rPr>
          <w:rFonts w:ascii="Times New Roman" w:hAnsi="Times New Roman" w:cs="Times New Roman"/>
        </w:rPr>
        <w:t xml:space="preserve">. A specified MW procurement </w:t>
      </w:r>
      <w:r w:rsidR="003C48FC">
        <w:rPr>
          <w:rFonts w:ascii="Times New Roman" w:hAnsi="Times New Roman" w:cs="Times New Roman"/>
        </w:rPr>
        <w:t xml:space="preserve">will </w:t>
      </w:r>
      <w:r w:rsidR="00323186">
        <w:rPr>
          <w:rFonts w:ascii="Times New Roman" w:hAnsi="Times New Roman" w:cs="Times New Roman"/>
        </w:rPr>
        <w:t xml:space="preserve">help </w:t>
      </w:r>
      <w:r w:rsidR="00243613">
        <w:rPr>
          <w:rFonts w:ascii="Times New Roman" w:hAnsi="Times New Roman" w:cs="Times New Roman"/>
        </w:rPr>
        <w:t>ensure the forces of competition reduce the costs of providing the service</w:t>
      </w:r>
      <w:r w:rsidR="00323186">
        <w:rPr>
          <w:rFonts w:ascii="Times New Roman" w:hAnsi="Times New Roman" w:cs="Times New Roman"/>
        </w:rPr>
        <w:t>.</w:t>
      </w:r>
      <w:r w:rsidR="00243613">
        <w:rPr>
          <w:rFonts w:ascii="Times New Roman" w:hAnsi="Times New Roman" w:cs="Times New Roman"/>
        </w:rPr>
        <w:t xml:space="preserve">  The current practice of spending the maximum annual ERS budget of $50 million is not an appropriate structure for a market and only ensures that $50 million is spent every year on ERS regardless of the cost to provide </w:t>
      </w:r>
      <w:r w:rsidR="00990EE2">
        <w:rPr>
          <w:rFonts w:ascii="Times New Roman" w:hAnsi="Times New Roman" w:cs="Times New Roman"/>
        </w:rPr>
        <w:t xml:space="preserve">or value provided by </w:t>
      </w:r>
      <w:r w:rsidR="00243613">
        <w:rPr>
          <w:rFonts w:ascii="Times New Roman" w:hAnsi="Times New Roman" w:cs="Times New Roman"/>
        </w:rPr>
        <w:t>the service.</w:t>
      </w:r>
      <w:r w:rsidR="00323186">
        <w:rPr>
          <w:rFonts w:ascii="Times New Roman" w:hAnsi="Times New Roman" w:cs="Times New Roman"/>
        </w:rPr>
        <w:t xml:space="preserve"> </w:t>
      </w:r>
      <w:r w:rsidR="00243613">
        <w:rPr>
          <w:rFonts w:ascii="Times New Roman" w:hAnsi="Times New Roman" w:cs="Times New Roman"/>
        </w:rPr>
        <w:t xml:space="preserve">Aligning the ERS market to procure a MW amount similar to the structure of the ancillary services market, improves the economic efficiency of the procurement and provides the incentive for ERS providers to </w:t>
      </w:r>
      <w:r w:rsidR="003C310D">
        <w:rPr>
          <w:rFonts w:ascii="Times New Roman" w:hAnsi="Times New Roman" w:cs="Times New Roman"/>
        </w:rPr>
        <w:t xml:space="preserve">lower their costs.  </w:t>
      </w:r>
      <w:r>
        <w:rPr>
          <w:rFonts w:ascii="Times New Roman" w:hAnsi="Times New Roman" w:cs="Times New Roman"/>
        </w:rPr>
        <w:t xml:space="preserve">Retaining an overall budget cap (either in aggregate or through a demand curve) would serve as a cost control backstop. </w:t>
      </w:r>
      <w:r w:rsidR="00203E69">
        <w:rPr>
          <w:rFonts w:ascii="Times New Roman" w:hAnsi="Times New Roman" w:cs="Times New Roman"/>
        </w:rPr>
        <w:t xml:space="preserve">The $50 million annual ERS cost cap has been effective at procuring roughly 1 GW of ERS resources </w:t>
      </w:r>
      <w:r>
        <w:rPr>
          <w:rFonts w:ascii="Times New Roman" w:hAnsi="Times New Roman" w:cs="Times New Roman"/>
        </w:rPr>
        <w:t xml:space="preserve">and demonstrated a declining $/MW cost over time, </w:t>
      </w:r>
      <w:r w:rsidR="00203E69">
        <w:rPr>
          <w:rFonts w:ascii="Times New Roman" w:hAnsi="Times New Roman" w:cs="Times New Roman"/>
        </w:rPr>
        <w:t>indicating that it is sufficient to achieve its purpose</w:t>
      </w:r>
      <w:r w:rsidR="00DE36A1">
        <w:rPr>
          <w:rFonts w:ascii="Times New Roman" w:hAnsi="Times New Roman" w:cs="Times New Roman"/>
        </w:rPr>
        <w:t>:</w:t>
      </w:r>
      <w:r w:rsidR="00DE36A1">
        <w:rPr>
          <w:rStyle w:val="FootnoteReference"/>
          <w:rFonts w:ascii="Times New Roman" w:hAnsi="Times New Roman" w:cs="Times New Roman"/>
        </w:rPr>
        <w:footnoteReference w:id="4"/>
      </w:r>
      <w:r w:rsidR="00203E69">
        <w:rPr>
          <w:rFonts w:ascii="Times New Roman" w:hAnsi="Times New Roman" w:cs="Times New Roman"/>
        </w:rPr>
        <w:t xml:space="preserve"> </w:t>
      </w:r>
    </w:p>
    <w:p w14:paraId="6B01EB76" w14:textId="368F3BCE" w:rsidR="00DE36A1" w:rsidRDefault="00DE36A1" w:rsidP="00EB6D3B">
      <w:pPr>
        <w:spacing w:line="480" w:lineRule="auto"/>
        <w:jc w:val="center"/>
        <w:rPr>
          <w:rFonts w:ascii="Times New Roman" w:hAnsi="Times New Roman" w:cs="Times New Roman"/>
        </w:rPr>
      </w:pPr>
      <w:r>
        <w:rPr>
          <w:noProof/>
          <w:lang w:eastAsia="en-US"/>
        </w:rPr>
        <w:lastRenderedPageBreak/>
        <w:drawing>
          <wp:inline distT="0" distB="0" distL="0" distR="0" wp14:anchorId="2FF60C07" wp14:editId="011A3C92">
            <wp:extent cx="5943600" cy="4473575"/>
            <wp:effectExtent l="0" t="0" r="0" b="317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8"/>
                    <a:stretch>
                      <a:fillRect/>
                    </a:stretch>
                  </pic:blipFill>
                  <pic:spPr>
                    <a:xfrm>
                      <a:off x="0" y="0"/>
                      <a:ext cx="5943600" cy="4473575"/>
                    </a:xfrm>
                    <a:prstGeom prst="rect">
                      <a:avLst/>
                    </a:prstGeom>
                  </pic:spPr>
                </pic:pic>
              </a:graphicData>
            </a:graphic>
          </wp:inline>
        </w:drawing>
      </w:r>
    </w:p>
    <w:p w14:paraId="41AA3A59" w14:textId="02DBB5E9" w:rsidR="00323186" w:rsidRPr="00C31608" w:rsidRDefault="002379E1" w:rsidP="0074534C">
      <w:pPr>
        <w:spacing w:line="480" w:lineRule="auto"/>
        <w:ind w:firstLine="720"/>
        <w:jc w:val="both"/>
        <w:rPr>
          <w:rFonts w:ascii="Times New Roman" w:hAnsi="Times New Roman" w:cs="Times New Roman"/>
        </w:rPr>
      </w:pPr>
      <w:r>
        <w:rPr>
          <w:rFonts w:ascii="Times New Roman" w:hAnsi="Times New Roman" w:cs="Times New Roman"/>
        </w:rPr>
        <w:t xml:space="preserve">While establishing a principled MW procurement target could result in clearing the same ERS </w:t>
      </w:r>
      <w:r w:rsidR="003C310D">
        <w:rPr>
          <w:rFonts w:ascii="Times New Roman" w:hAnsi="Times New Roman" w:cs="Times New Roman"/>
        </w:rPr>
        <w:t xml:space="preserve">capacity </w:t>
      </w:r>
      <w:r>
        <w:rPr>
          <w:rFonts w:ascii="Times New Roman" w:hAnsi="Times New Roman" w:cs="Times New Roman"/>
        </w:rPr>
        <w:t xml:space="preserve">at a lower cost, </w:t>
      </w:r>
      <w:r w:rsidR="003C310D">
        <w:rPr>
          <w:rFonts w:ascii="Times New Roman" w:hAnsi="Times New Roman" w:cs="Times New Roman"/>
        </w:rPr>
        <w:t xml:space="preserve">further </w:t>
      </w:r>
      <w:r w:rsidR="0074534C">
        <w:rPr>
          <w:rFonts w:ascii="Times New Roman" w:hAnsi="Times New Roman" w:cs="Times New Roman"/>
        </w:rPr>
        <w:t>changes to deployment criteria</w:t>
      </w:r>
      <w:r w:rsidR="00203E69">
        <w:rPr>
          <w:rFonts w:ascii="Times New Roman" w:hAnsi="Times New Roman" w:cs="Times New Roman"/>
        </w:rPr>
        <w:t>,</w:t>
      </w:r>
      <w:r w:rsidR="0074534C">
        <w:rPr>
          <w:rFonts w:ascii="Times New Roman" w:hAnsi="Times New Roman" w:cs="Times New Roman"/>
        </w:rPr>
        <w:t xml:space="preserve"> contracting periods</w:t>
      </w:r>
      <w:r w:rsidR="00203E69">
        <w:rPr>
          <w:rFonts w:ascii="Times New Roman" w:hAnsi="Times New Roman" w:cs="Times New Roman"/>
        </w:rPr>
        <w:t>, or other market contexts</w:t>
      </w:r>
      <w:r w:rsidR="0074534C">
        <w:rPr>
          <w:rFonts w:ascii="Times New Roman" w:hAnsi="Times New Roman" w:cs="Times New Roman"/>
        </w:rPr>
        <w:t xml:space="preserve"> may alter ERS participation interest</w:t>
      </w:r>
      <w:r w:rsidR="00203E69">
        <w:rPr>
          <w:rFonts w:ascii="Times New Roman" w:hAnsi="Times New Roman" w:cs="Times New Roman"/>
        </w:rPr>
        <w:t xml:space="preserve"> </w:t>
      </w:r>
      <w:r>
        <w:rPr>
          <w:rFonts w:ascii="Times New Roman" w:hAnsi="Times New Roman" w:cs="Times New Roman"/>
        </w:rPr>
        <w:t>in the future</w:t>
      </w:r>
      <w:r w:rsidR="003C310D">
        <w:rPr>
          <w:rFonts w:ascii="Times New Roman" w:hAnsi="Times New Roman" w:cs="Times New Roman"/>
        </w:rPr>
        <w:t xml:space="preserve"> and should be avoided</w:t>
      </w:r>
      <w:r>
        <w:rPr>
          <w:rFonts w:ascii="Times New Roman" w:hAnsi="Times New Roman" w:cs="Times New Roman"/>
        </w:rPr>
        <w:t xml:space="preserve">. The value of ERS is </w:t>
      </w:r>
      <w:r w:rsidR="003C310D">
        <w:rPr>
          <w:rFonts w:ascii="Times New Roman" w:hAnsi="Times New Roman" w:cs="Times New Roman"/>
        </w:rPr>
        <w:t>limited</w:t>
      </w:r>
      <w:r>
        <w:rPr>
          <w:rFonts w:ascii="Times New Roman" w:hAnsi="Times New Roman" w:cs="Times New Roman"/>
        </w:rPr>
        <w:t xml:space="preserve"> and </w:t>
      </w:r>
      <w:r w:rsidR="003C310D">
        <w:rPr>
          <w:rFonts w:ascii="Times New Roman" w:hAnsi="Times New Roman" w:cs="Times New Roman"/>
        </w:rPr>
        <w:t xml:space="preserve">it </w:t>
      </w:r>
      <w:r>
        <w:rPr>
          <w:rFonts w:ascii="Times New Roman" w:hAnsi="Times New Roman" w:cs="Times New Roman"/>
        </w:rPr>
        <w:t>does not provide price signals integral to investment in the ERCOT market</w:t>
      </w:r>
      <w:r w:rsidR="00EC6178">
        <w:rPr>
          <w:rFonts w:ascii="Times New Roman" w:hAnsi="Times New Roman" w:cs="Times New Roman"/>
        </w:rPr>
        <w:t>; therefore</w:t>
      </w:r>
      <w:r w:rsidR="003F5719">
        <w:rPr>
          <w:rFonts w:ascii="Times New Roman" w:hAnsi="Times New Roman" w:cs="Times New Roman"/>
        </w:rPr>
        <w:t>,</w:t>
      </w:r>
      <w:r w:rsidR="00EC6178">
        <w:rPr>
          <w:rFonts w:ascii="Times New Roman" w:hAnsi="Times New Roman" w:cs="Times New Roman"/>
        </w:rPr>
        <w:t xml:space="preserve"> ERS should retain its $50M budget cap while ideally using a demand curve to inform decisions about when to forego ERS capacity if the unit cost is too high.</w:t>
      </w:r>
      <w:r w:rsidR="003F5719">
        <w:rPr>
          <w:rFonts w:ascii="Times New Roman" w:hAnsi="Times New Roman" w:cs="Times New Roman"/>
        </w:rPr>
        <w:t xml:space="preserve"> </w:t>
      </w:r>
    </w:p>
    <w:p w14:paraId="3771F3BF" w14:textId="13D4EBE6" w:rsidR="00C31608" w:rsidRDefault="00C31608" w:rsidP="00E51397">
      <w:pPr>
        <w:spacing w:line="480" w:lineRule="auto"/>
        <w:ind w:firstLine="720"/>
        <w:jc w:val="both"/>
        <w:rPr>
          <w:rFonts w:ascii="Times New Roman" w:hAnsi="Times New Roman" w:cs="Times New Roman"/>
        </w:rPr>
      </w:pPr>
    </w:p>
    <w:p w14:paraId="6A6A9651" w14:textId="41A1E4C6" w:rsidR="0035218A" w:rsidRDefault="0035218A" w:rsidP="00E51397">
      <w:pPr>
        <w:spacing w:line="480" w:lineRule="auto"/>
        <w:ind w:firstLine="720"/>
        <w:jc w:val="both"/>
        <w:rPr>
          <w:rFonts w:ascii="Times New Roman" w:hAnsi="Times New Roman" w:cs="Times New Roman"/>
        </w:rPr>
      </w:pPr>
    </w:p>
    <w:p w14:paraId="7AD25532" w14:textId="70225D8D" w:rsidR="0035218A" w:rsidRDefault="0035218A" w:rsidP="00E51397">
      <w:pPr>
        <w:spacing w:line="480" w:lineRule="auto"/>
        <w:ind w:firstLine="720"/>
        <w:jc w:val="both"/>
        <w:rPr>
          <w:rFonts w:ascii="Times New Roman" w:hAnsi="Times New Roman" w:cs="Times New Roman"/>
        </w:rPr>
      </w:pPr>
    </w:p>
    <w:p w14:paraId="716BEC85" w14:textId="77777777" w:rsidR="0035218A" w:rsidRPr="00974130" w:rsidRDefault="0035218A" w:rsidP="00E51397">
      <w:pPr>
        <w:spacing w:line="480" w:lineRule="auto"/>
        <w:ind w:firstLine="720"/>
        <w:jc w:val="both"/>
        <w:rPr>
          <w:rFonts w:ascii="Times New Roman" w:hAnsi="Times New Roman" w:cs="Times New Roman"/>
        </w:rPr>
      </w:pPr>
    </w:p>
    <w:p w14:paraId="01DB1533" w14:textId="4087A7B0" w:rsidR="003A5C58" w:rsidRPr="003A5C58" w:rsidRDefault="003A5C58" w:rsidP="003A5C58">
      <w:pPr>
        <w:pStyle w:val="ListParagraph"/>
        <w:spacing w:line="480" w:lineRule="auto"/>
        <w:ind w:left="360"/>
        <w:jc w:val="center"/>
        <w:rPr>
          <w:rFonts w:ascii="Times New Roman" w:hAnsi="Times New Roman" w:cs="Times New Roman"/>
          <w:b/>
        </w:rPr>
      </w:pPr>
      <w:r w:rsidRPr="003A5C58">
        <w:rPr>
          <w:rFonts w:ascii="Times New Roman" w:hAnsi="Times New Roman" w:cs="Times New Roman"/>
          <w:b/>
        </w:rPr>
        <w:lastRenderedPageBreak/>
        <w:t xml:space="preserve">II. </w:t>
      </w:r>
      <w:r w:rsidR="00E353EF">
        <w:rPr>
          <w:rFonts w:ascii="Times New Roman" w:hAnsi="Times New Roman" w:cs="Times New Roman"/>
          <w:b/>
        </w:rPr>
        <w:t>Comments Regarding Discussion Draft</w:t>
      </w:r>
    </w:p>
    <w:p w14:paraId="6E4901E8" w14:textId="7B1322D6" w:rsidR="003A5C58" w:rsidRDefault="00157B84" w:rsidP="0047439E">
      <w:pPr>
        <w:pStyle w:val="ListParagraph"/>
        <w:numPr>
          <w:ilvl w:val="0"/>
          <w:numId w:val="33"/>
        </w:numPr>
        <w:spacing w:after="240"/>
        <w:jc w:val="both"/>
        <w:rPr>
          <w:rFonts w:ascii="Times New Roman" w:hAnsi="Times New Roman" w:cs="Times New Roman"/>
          <w:b/>
        </w:rPr>
      </w:pPr>
      <w:r>
        <w:rPr>
          <w:rFonts w:ascii="Times New Roman" w:hAnsi="Times New Roman" w:cs="Times New Roman"/>
          <w:b/>
          <w:bCs/>
        </w:rPr>
        <w:t xml:space="preserve">Deleted </w:t>
      </w:r>
      <w:r w:rsidR="0047439E">
        <w:rPr>
          <w:rFonts w:ascii="Times New Roman" w:hAnsi="Times New Roman" w:cs="Times New Roman"/>
          <w:b/>
          <w:bCs/>
        </w:rPr>
        <w:t>§</w:t>
      </w:r>
      <w:r w:rsidR="00DE2558" w:rsidRPr="00DE2558">
        <w:rPr>
          <w:rFonts w:ascii="Times New Roman" w:hAnsi="Times New Roman" w:cs="Times New Roman"/>
          <w:b/>
          <w:bCs/>
        </w:rPr>
        <w:t>25.50</w:t>
      </w:r>
      <w:r w:rsidR="00E353EF">
        <w:rPr>
          <w:rFonts w:ascii="Times New Roman" w:hAnsi="Times New Roman" w:cs="Times New Roman"/>
          <w:b/>
          <w:bCs/>
        </w:rPr>
        <w:t>7</w:t>
      </w:r>
      <w:r w:rsidR="00DE2558" w:rsidRPr="00DE2558">
        <w:rPr>
          <w:rFonts w:ascii="Times New Roman" w:hAnsi="Times New Roman" w:cs="Times New Roman"/>
          <w:b/>
          <w:bCs/>
        </w:rPr>
        <w:t>(</w:t>
      </w:r>
      <w:r w:rsidR="00E353EF">
        <w:rPr>
          <w:rFonts w:ascii="Times New Roman" w:hAnsi="Times New Roman" w:cs="Times New Roman"/>
          <w:b/>
          <w:bCs/>
        </w:rPr>
        <w:t>a</w:t>
      </w:r>
      <w:r w:rsidR="00DE2558" w:rsidRPr="00DE2558">
        <w:rPr>
          <w:rFonts w:ascii="Times New Roman" w:hAnsi="Times New Roman" w:cs="Times New Roman"/>
          <w:b/>
          <w:bCs/>
        </w:rPr>
        <w:t xml:space="preserve">): </w:t>
      </w:r>
      <w:r w:rsidR="00DE2558" w:rsidRPr="00DE2558">
        <w:rPr>
          <w:rFonts w:ascii="Times New Roman" w:hAnsi="Times New Roman" w:cs="Times New Roman"/>
          <w:b/>
        </w:rPr>
        <w:t xml:space="preserve">The </w:t>
      </w:r>
      <w:r w:rsidR="006C5B41">
        <w:rPr>
          <w:rFonts w:ascii="Times New Roman" w:hAnsi="Times New Roman" w:cs="Times New Roman"/>
          <w:b/>
        </w:rPr>
        <w:t xml:space="preserve">rule should </w:t>
      </w:r>
      <w:r w:rsidR="00E353EF">
        <w:rPr>
          <w:rFonts w:ascii="Times New Roman" w:hAnsi="Times New Roman" w:cs="Times New Roman"/>
          <w:b/>
        </w:rPr>
        <w:t xml:space="preserve">retain a purpose statement, or in the alternative, some provision to </w:t>
      </w:r>
      <w:r w:rsidR="0047439E">
        <w:rPr>
          <w:rFonts w:ascii="Times New Roman" w:hAnsi="Times New Roman" w:cs="Times New Roman"/>
          <w:b/>
        </w:rPr>
        <w:t>clearly define the scope and intent of ERS</w:t>
      </w:r>
    </w:p>
    <w:p w14:paraId="0C4A8FEB" w14:textId="41DE4C3D" w:rsidR="00306E68" w:rsidRPr="00E94BFB" w:rsidRDefault="00306E68" w:rsidP="00306E68">
      <w:pPr>
        <w:spacing w:line="480" w:lineRule="auto"/>
        <w:ind w:firstLine="720"/>
        <w:jc w:val="both"/>
        <w:rPr>
          <w:rFonts w:ascii="Times New Roman" w:hAnsi="Times New Roman" w:cs="Times New Roman"/>
        </w:rPr>
      </w:pPr>
      <w:r>
        <w:rPr>
          <w:rFonts w:ascii="Times New Roman" w:hAnsi="Times New Roman" w:cs="Times New Roman"/>
        </w:rPr>
        <w:t xml:space="preserve">TCPA </w:t>
      </w:r>
      <w:r w:rsidR="00957EA7">
        <w:rPr>
          <w:rFonts w:ascii="Times New Roman" w:hAnsi="Times New Roman" w:cs="Times New Roman"/>
        </w:rPr>
        <w:t xml:space="preserve">recognizes that </w:t>
      </w:r>
      <w:r w:rsidR="00516409">
        <w:rPr>
          <w:rFonts w:ascii="Times New Roman" w:hAnsi="Times New Roman" w:cs="Times New Roman"/>
        </w:rPr>
        <w:t>in recent rulemakings the Commission has stricken “Purpose” provisions from rules, concluding that “the purpose of [the rule] section is evident from its title.”</w:t>
      </w:r>
      <w:r w:rsidR="00516409">
        <w:rPr>
          <w:rStyle w:val="FootnoteReference"/>
          <w:rFonts w:ascii="Times New Roman" w:hAnsi="Times New Roman" w:cs="Times New Roman"/>
        </w:rPr>
        <w:footnoteReference w:id="5"/>
      </w:r>
      <w:r w:rsidR="00516409">
        <w:rPr>
          <w:rFonts w:ascii="Times New Roman" w:hAnsi="Times New Roman" w:cs="Times New Roman"/>
        </w:rPr>
        <w:t xml:space="preserve"> </w:t>
      </w:r>
      <w:r w:rsidR="00AB1B8E">
        <w:rPr>
          <w:rFonts w:ascii="Times New Roman" w:hAnsi="Times New Roman" w:cs="Times New Roman"/>
        </w:rPr>
        <w:t>TCPA notes, however, that the existing “Purpose” statement in §25.507(a) provides additional details not conveyed by the section title “Electric Reliability Council of Texas (ERCOT) Emergency Response Service (ERS</w:t>
      </w:r>
      <w:r w:rsidR="00AB1B8E" w:rsidRPr="00E94BFB">
        <w:rPr>
          <w:rFonts w:ascii="Times New Roman" w:hAnsi="Times New Roman" w:cs="Times New Roman"/>
        </w:rPr>
        <w:t>)”</w:t>
      </w:r>
      <w:r w:rsidR="008D51ED" w:rsidRPr="00E94BFB">
        <w:rPr>
          <w:rFonts w:ascii="Times New Roman" w:hAnsi="Times New Roman" w:cs="Times New Roman"/>
        </w:rPr>
        <w:t>.</w:t>
      </w:r>
      <w:r w:rsidR="006829A0" w:rsidRPr="00E94BFB">
        <w:rPr>
          <w:rFonts w:ascii="Times New Roman" w:hAnsi="Times New Roman" w:cs="Times New Roman"/>
        </w:rPr>
        <w:t xml:space="preserve">  </w:t>
      </w:r>
      <w:r w:rsidR="006829A0" w:rsidRPr="00FC0D4D">
        <w:rPr>
          <w:rFonts w:ascii="Times New Roman" w:hAnsi="Times New Roman" w:cs="Times New Roman"/>
        </w:rPr>
        <w:t>The discussion draft deletes the purpose of the service, which is currently to “promote reliability during energy emergencies.”  If this is no longer the purpose of the ERS, the rationale for procurement of a specific quantity would seem unclear.  The Commission should retain the “Purpose” section of the service in existing subsection (a).  Clearly stating the purpose of ERS will serve to justify the cost to consumers. Further, in the event the Commission finds it appropriate to raise or eliminate the annual maximum expenditure permitted on ERS, describing the purpose of the service will serve to appropriately limit the use of ERS.</w:t>
      </w:r>
    </w:p>
    <w:p w14:paraId="5AD99D8C" w14:textId="26B28DAC" w:rsidR="003F5719" w:rsidRPr="003F5719" w:rsidRDefault="0047439E" w:rsidP="003F5719">
      <w:pPr>
        <w:pStyle w:val="ListParagraph"/>
        <w:numPr>
          <w:ilvl w:val="0"/>
          <w:numId w:val="33"/>
        </w:numPr>
        <w:spacing w:after="240"/>
        <w:jc w:val="both"/>
        <w:rPr>
          <w:rFonts w:ascii="Times New Roman" w:hAnsi="Times New Roman" w:cs="Times New Roman"/>
          <w:b/>
        </w:rPr>
      </w:pPr>
      <w:r>
        <w:rPr>
          <w:rFonts w:ascii="Times New Roman" w:hAnsi="Times New Roman" w:cs="Times New Roman"/>
          <w:b/>
          <w:bCs/>
        </w:rPr>
        <w:t>§</w:t>
      </w:r>
      <w:r w:rsidRPr="00DE2558">
        <w:rPr>
          <w:rFonts w:ascii="Times New Roman" w:hAnsi="Times New Roman" w:cs="Times New Roman"/>
          <w:b/>
          <w:bCs/>
        </w:rPr>
        <w:t>25.50</w:t>
      </w:r>
      <w:r>
        <w:rPr>
          <w:rFonts w:ascii="Times New Roman" w:hAnsi="Times New Roman" w:cs="Times New Roman"/>
          <w:b/>
          <w:bCs/>
        </w:rPr>
        <w:t>7</w:t>
      </w:r>
      <w:r w:rsidRPr="00DE2558">
        <w:rPr>
          <w:rFonts w:ascii="Times New Roman" w:hAnsi="Times New Roman" w:cs="Times New Roman"/>
          <w:b/>
          <w:bCs/>
        </w:rPr>
        <w:t>(</w:t>
      </w:r>
      <w:r w:rsidR="00157B84">
        <w:rPr>
          <w:rFonts w:ascii="Times New Roman" w:hAnsi="Times New Roman" w:cs="Times New Roman"/>
          <w:b/>
          <w:bCs/>
        </w:rPr>
        <w:t>a</w:t>
      </w:r>
      <w:r w:rsidRPr="00DE2558">
        <w:rPr>
          <w:rFonts w:ascii="Times New Roman" w:hAnsi="Times New Roman" w:cs="Times New Roman"/>
          <w:b/>
          <w:bCs/>
        </w:rPr>
        <w:t>):</w:t>
      </w:r>
      <w:r>
        <w:rPr>
          <w:rFonts w:ascii="Times New Roman" w:hAnsi="Times New Roman" w:cs="Times New Roman"/>
          <w:b/>
          <w:bCs/>
        </w:rPr>
        <w:t xml:space="preserve"> Deployment “to alleviate an emergency condition” is vague and would benefit from further clarification</w:t>
      </w:r>
    </w:p>
    <w:p w14:paraId="22CAAA8D" w14:textId="77777777" w:rsidR="00C17077" w:rsidRDefault="00816A5A" w:rsidP="003F5719">
      <w:pPr>
        <w:spacing w:line="480" w:lineRule="auto"/>
        <w:ind w:firstLine="720"/>
        <w:jc w:val="both"/>
        <w:rPr>
          <w:rFonts w:ascii="Times New Roman" w:hAnsi="Times New Roman" w:cs="Times New Roman"/>
        </w:rPr>
      </w:pPr>
      <w:r>
        <w:rPr>
          <w:rFonts w:ascii="Times New Roman" w:hAnsi="Times New Roman" w:cs="Times New Roman"/>
        </w:rPr>
        <w:t>Existing §25.507 uses the term “energy emergencies” once (in the Purpose section), and then further specifies that ERS is “to be deployed by ERCOT in an Energy Emergency Alert (EEA) event,”</w:t>
      </w:r>
      <w:r>
        <w:rPr>
          <w:rStyle w:val="FootnoteReference"/>
          <w:rFonts w:ascii="Times New Roman" w:hAnsi="Times New Roman" w:cs="Times New Roman"/>
        </w:rPr>
        <w:footnoteReference w:id="6"/>
      </w:r>
      <w:r>
        <w:rPr>
          <w:rFonts w:ascii="Times New Roman" w:hAnsi="Times New Roman" w:cs="Times New Roman"/>
        </w:rPr>
        <w:t xml:space="preserve"> which inextricably links the two. The Discussion Draft deletes </w:t>
      </w:r>
      <w:r w:rsidR="007D3A09">
        <w:rPr>
          <w:rFonts w:ascii="Times New Roman" w:hAnsi="Times New Roman" w:cs="Times New Roman"/>
        </w:rPr>
        <w:t xml:space="preserve">both, replacing the EEA deployment condition with “alleviate an emergency condition.” </w:t>
      </w:r>
    </w:p>
    <w:p w14:paraId="59FBF0F2" w14:textId="081F9A88" w:rsidR="003F5719" w:rsidRDefault="007D3A09" w:rsidP="009F16AF">
      <w:pPr>
        <w:spacing w:line="480" w:lineRule="auto"/>
        <w:ind w:firstLine="720"/>
        <w:jc w:val="both"/>
        <w:rPr>
          <w:rFonts w:ascii="Times New Roman" w:hAnsi="Times New Roman" w:cs="Times New Roman"/>
        </w:rPr>
      </w:pPr>
      <w:r>
        <w:rPr>
          <w:rFonts w:ascii="Times New Roman" w:hAnsi="Times New Roman" w:cs="Times New Roman"/>
        </w:rPr>
        <w:t>The term “emergency condition” is undefined in the Commission’s rules</w:t>
      </w:r>
      <w:r w:rsidR="00C17077">
        <w:rPr>
          <w:rFonts w:ascii="Times New Roman" w:hAnsi="Times New Roman" w:cs="Times New Roman"/>
        </w:rPr>
        <w:t>; it is defined in ERCOT Protocols as “a</w:t>
      </w:r>
      <w:r w:rsidR="00C17077" w:rsidRPr="00C17077">
        <w:rPr>
          <w:rFonts w:ascii="Times New Roman" w:hAnsi="Times New Roman" w:cs="Times New Roman"/>
        </w:rPr>
        <w:t xml:space="preserve">n operating condition in which the safety or reliability of the ERCOT </w:t>
      </w:r>
      <w:r w:rsidR="00C17077" w:rsidRPr="00C17077">
        <w:rPr>
          <w:rFonts w:ascii="Times New Roman" w:hAnsi="Times New Roman" w:cs="Times New Roman"/>
        </w:rPr>
        <w:lastRenderedPageBreak/>
        <w:t>System is compromised or threatened, as determined by ERCOT</w:t>
      </w:r>
      <w:r w:rsidR="00C17077">
        <w:rPr>
          <w:rFonts w:ascii="Times New Roman" w:hAnsi="Times New Roman" w:cs="Times New Roman"/>
        </w:rPr>
        <w:t xml:space="preserve">,” </w:t>
      </w:r>
      <w:r w:rsidR="0012041D">
        <w:rPr>
          <w:rFonts w:ascii="Times New Roman" w:hAnsi="Times New Roman" w:cs="Times New Roman"/>
        </w:rPr>
        <w:t>but that definition is also intertwined with the definitions of “Emergency Notice” and “Energy Emergency Alert</w:t>
      </w:r>
      <w:r w:rsidR="009F16AF">
        <w:rPr>
          <w:rFonts w:ascii="Times New Roman" w:hAnsi="Times New Roman" w:cs="Times New Roman"/>
        </w:rPr>
        <w:t xml:space="preserve">.” “Emergency condition” </w:t>
      </w:r>
      <w:r w:rsidR="00C17077">
        <w:rPr>
          <w:rFonts w:ascii="Times New Roman" w:hAnsi="Times New Roman" w:cs="Times New Roman"/>
        </w:rPr>
        <w:t xml:space="preserve">is </w:t>
      </w:r>
      <w:r w:rsidR="009F16AF">
        <w:rPr>
          <w:rFonts w:ascii="Times New Roman" w:hAnsi="Times New Roman" w:cs="Times New Roman"/>
        </w:rPr>
        <w:t xml:space="preserve">also </w:t>
      </w:r>
      <w:r w:rsidR="00C17077">
        <w:rPr>
          <w:rFonts w:ascii="Times New Roman" w:hAnsi="Times New Roman" w:cs="Times New Roman"/>
        </w:rPr>
        <w:t>not codified in the Commission’s rules</w:t>
      </w:r>
      <w:r w:rsidR="009F16AF">
        <w:rPr>
          <w:rFonts w:ascii="Times New Roman" w:hAnsi="Times New Roman" w:cs="Times New Roman"/>
        </w:rPr>
        <w:t xml:space="preserve">. </w:t>
      </w:r>
    </w:p>
    <w:p w14:paraId="4805E397" w14:textId="78B5D467" w:rsidR="00C17077" w:rsidRDefault="00C17077" w:rsidP="003F5719">
      <w:pPr>
        <w:spacing w:line="480" w:lineRule="auto"/>
        <w:ind w:firstLine="720"/>
        <w:jc w:val="both"/>
        <w:rPr>
          <w:rFonts w:ascii="Times New Roman" w:hAnsi="Times New Roman" w:cs="Times New Roman"/>
        </w:rPr>
      </w:pPr>
      <w:r>
        <w:rPr>
          <w:rFonts w:ascii="Times New Roman" w:hAnsi="Times New Roman" w:cs="Times New Roman"/>
        </w:rPr>
        <w:t xml:space="preserve">TCPA </w:t>
      </w:r>
      <w:r w:rsidR="009F16AF">
        <w:rPr>
          <w:rFonts w:ascii="Times New Roman" w:hAnsi="Times New Roman" w:cs="Times New Roman"/>
        </w:rPr>
        <w:t xml:space="preserve">supports having clear </w:t>
      </w:r>
      <w:r w:rsidR="00691F6C">
        <w:rPr>
          <w:rFonts w:ascii="Times New Roman" w:hAnsi="Times New Roman" w:cs="Times New Roman"/>
        </w:rPr>
        <w:t xml:space="preserve">ERS </w:t>
      </w:r>
      <w:r w:rsidR="009F16AF">
        <w:rPr>
          <w:rFonts w:ascii="Times New Roman" w:hAnsi="Times New Roman" w:cs="Times New Roman"/>
        </w:rPr>
        <w:t xml:space="preserve">deployment criteria that market participants can </w:t>
      </w:r>
      <w:r w:rsidR="00691F6C">
        <w:rPr>
          <w:rFonts w:ascii="Times New Roman" w:hAnsi="Times New Roman" w:cs="Times New Roman"/>
        </w:rPr>
        <w:t>anticipate. EEA is a clearly identifiable deployment trigger, but TCPA believes based on the Commission’s good cause exception granted in the Fall of 2021 that the Commission intends for ERS to be deployed prior to the</w:t>
      </w:r>
      <w:r w:rsidR="00416D96">
        <w:rPr>
          <w:rFonts w:ascii="Times New Roman" w:hAnsi="Times New Roman" w:cs="Times New Roman"/>
        </w:rPr>
        <w:t xml:space="preserve"> declaration of an EEA.</w:t>
      </w:r>
      <w:r w:rsidR="00416D96">
        <w:rPr>
          <w:rStyle w:val="FootnoteReference"/>
          <w:rFonts w:ascii="Times New Roman" w:hAnsi="Times New Roman" w:cs="Times New Roman"/>
        </w:rPr>
        <w:footnoteReference w:id="7"/>
      </w:r>
      <w:r w:rsidR="00416D96">
        <w:rPr>
          <w:rFonts w:ascii="Times New Roman" w:hAnsi="Times New Roman" w:cs="Times New Roman"/>
        </w:rPr>
        <w:t xml:space="preserve"> </w:t>
      </w:r>
      <w:r w:rsidR="00691F6C">
        <w:rPr>
          <w:rFonts w:ascii="Times New Roman" w:hAnsi="Times New Roman" w:cs="Times New Roman"/>
        </w:rPr>
        <w:t xml:space="preserve"> </w:t>
      </w:r>
      <w:r w:rsidR="00416D96">
        <w:rPr>
          <w:rFonts w:ascii="Times New Roman" w:hAnsi="Times New Roman" w:cs="Times New Roman"/>
        </w:rPr>
        <w:t xml:space="preserve">Accordingly, the Commission should specify the criteria for ERS deployment </w:t>
      </w:r>
      <w:r w:rsidR="00382E73">
        <w:rPr>
          <w:rFonts w:ascii="Times New Roman" w:hAnsi="Times New Roman" w:cs="Times New Roman"/>
        </w:rPr>
        <w:t xml:space="preserve">by </w:t>
      </w:r>
      <w:r w:rsidR="008D51ED">
        <w:rPr>
          <w:rFonts w:ascii="Times New Roman" w:hAnsi="Times New Roman" w:cs="Times New Roman"/>
        </w:rPr>
        <w:t xml:space="preserve">specifying its use </w:t>
      </w:r>
      <w:r w:rsidR="00382E73">
        <w:rPr>
          <w:rFonts w:ascii="Times New Roman" w:hAnsi="Times New Roman" w:cs="Times New Roman"/>
        </w:rPr>
        <w:t xml:space="preserve"> “</w:t>
      </w:r>
      <w:r w:rsidR="008D51ED">
        <w:rPr>
          <w:rFonts w:ascii="Times New Roman" w:hAnsi="Times New Roman" w:cs="Times New Roman"/>
        </w:rPr>
        <w:t xml:space="preserve">prior to an </w:t>
      </w:r>
      <w:r w:rsidR="00382E73">
        <w:rPr>
          <w:rFonts w:ascii="Times New Roman" w:hAnsi="Times New Roman" w:cs="Times New Roman"/>
        </w:rPr>
        <w:t>emergency condition” or use different (but clearly defined) terminology</w:t>
      </w:r>
      <w:r w:rsidR="006829A0">
        <w:rPr>
          <w:rFonts w:ascii="Times New Roman" w:hAnsi="Times New Roman" w:cs="Times New Roman"/>
        </w:rPr>
        <w:t xml:space="preserve"> and ensure the use of ERS, like other out of market capacity reductions</w:t>
      </w:r>
      <w:r w:rsidR="001B3C81">
        <w:rPr>
          <w:rFonts w:ascii="Times New Roman" w:hAnsi="Times New Roman" w:cs="Times New Roman"/>
        </w:rPr>
        <w:t>,</w:t>
      </w:r>
      <w:r w:rsidR="006829A0">
        <w:rPr>
          <w:rFonts w:ascii="Times New Roman" w:hAnsi="Times New Roman" w:cs="Times New Roman"/>
        </w:rPr>
        <w:t xml:space="preserve"> </w:t>
      </w:r>
      <w:r w:rsidR="001B3C81">
        <w:rPr>
          <w:rFonts w:ascii="Times New Roman" w:hAnsi="Times New Roman" w:cs="Times New Roman"/>
        </w:rPr>
        <w:t>is</w:t>
      </w:r>
      <w:r w:rsidR="006829A0">
        <w:rPr>
          <w:rFonts w:ascii="Times New Roman" w:hAnsi="Times New Roman" w:cs="Times New Roman"/>
        </w:rPr>
        <w:t xml:space="preserve"> appropriately accounted for in energy prices</w:t>
      </w:r>
      <w:r w:rsidR="00382E73">
        <w:rPr>
          <w:rFonts w:ascii="Times New Roman" w:hAnsi="Times New Roman" w:cs="Times New Roman"/>
        </w:rPr>
        <w:t>.</w:t>
      </w:r>
    </w:p>
    <w:p w14:paraId="728B3ED2" w14:textId="77777777" w:rsidR="003F5719" w:rsidRPr="003F5719" w:rsidRDefault="003F5719" w:rsidP="003F5719">
      <w:pPr>
        <w:spacing w:after="240"/>
        <w:jc w:val="both"/>
        <w:rPr>
          <w:rFonts w:ascii="Times New Roman" w:hAnsi="Times New Roman" w:cs="Times New Roman"/>
          <w:b/>
        </w:rPr>
      </w:pPr>
    </w:p>
    <w:p w14:paraId="27C4FDFF" w14:textId="7D68959E" w:rsidR="0047439E" w:rsidRPr="003F5719" w:rsidRDefault="0047439E" w:rsidP="0047439E">
      <w:pPr>
        <w:pStyle w:val="ListParagraph"/>
        <w:numPr>
          <w:ilvl w:val="0"/>
          <w:numId w:val="33"/>
        </w:numPr>
        <w:spacing w:after="240"/>
        <w:jc w:val="both"/>
        <w:rPr>
          <w:rFonts w:ascii="Times New Roman" w:hAnsi="Times New Roman" w:cs="Times New Roman"/>
          <w:b/>
        </w:rPr>
      </w:pPr>
      <w:r>
        <w:rPr>
          <w:rFonts w:ascii="Times New Roman" w:hAnsi="Times New Roman" w:cs="Times New Roman"/>
          <w:b/>
          <w:bCs/>
        </w:rPr>
        <w:t>§</w:t>
      </w:r>
      <w:r w:rsidRPr="00DE2558">
        <w:rPr>
          <w:rFonts w:ascii="Times New Roman" w:hAnsi="Times New Roman" w:cs="Times New Roman"/>
          <w:b/>
          <w:bCs/>
        </w:rPr>
        <w:t>25.50</w:t>
      </w:r>
      <w:r>
        <w:rPr>
          <w:rFonts w:ascii="Times New Roman" w:hAnsi="Times New Roman" w:cs="Times New Roman"/>
          <w:b/>
          <w:bCs/>
        </w:rPr>
        <w:t>7</w:t>
      </w:r>
      <w:r w:rsidRPr="00DE2558">
        <w:rPr>
          <w:rFonts w:ascii="Times New Roman" w:hAnsi="Times New Roman" w:cs="Times New Roman"/>
          <w:b/>
          <w:bCs/>
        </w:rPr>
        <w:t>(</w:t>
      </w:r>
      <w:r w:rsidR="00157B84">
        <w:rPr>
          <w:rFonts w:ascii="Times New Roman" w:hAnsi="Times New Roman" w:cs="Times New Roman"/>
          <w:b/>
          <w:bCs/>
        </w:rPr>
        <w:t>a</w:t>
      </w:r>
      <w:r w:rsidRPr="00DE2558">
        <w:rPr>
          <w:rFonts w:ascii="Times New Roman" w:hAnsi="Times New Roman" w:cs="Times New Roman"/>
          <w:b/>
          <w:bCs/>
        </w:rPr>
        <w:t>)</w:t>
      </w:r>
      <w:r>
        <w:rPr>
          <w:rFonts w:ascii="Times New Roman" w:hAnsi="Times New Roman" w:cs="Times New Roman"/>
          <w:b/>
          <w:bCs/>
        </w:rPr>
        <w:t>(2)</w:t>
      </w:r>
      <w:r w:rsidRPr="00DE2558">
        <w:rPr>
          <w:rFonts w:ascii="Times New Roman" w:hAnsi="Times New Roman" w:cs="Times New Roman"/>
          <w:b/>
          <w:bCs/>
        </w:rPr>
        <w:t>:</w:t>
      </w:r>
      <w:r>
        <w:rPr>
          <w:rFonts w:ascii="Times New Roman" w:hAnsi="Times New Roman" w:cs="Times New Roman"/>
          <w:b/>
          <w:bCs/>
        </w:rPr>
        <w:t xml:space="preserve"> The Commission should not expand the budget for out-of-market programs </w:t>
      </w:r>
      <w:r w:rsidR="00157B84">
        <w:rPr>
          <w:rFonts w:ascii="Times New Roman" w:hAnsi="Times New Roman" w:cs="Times New Roman"/>
          <w:b/>
          <w:bCs/>
        </w:rPr>
        <w:t xml:space="preserve">without a compelling demonstrated need; instead, a MW target should be </w:t>
      </w:r>
      <w:r w:rsidR="00C96642">
        <w:rPr>
          <w:rFonts w:ascii="Times New Roman" w:hAnsi="Times New Roman" w:cs="Times New Roman"/>
          <w:b/>
          <w:bCs/>
        </w:rPr>
        <w:t>set that meets an established standard.</w:t>
      </w:r>
    </w:p>
    <w:p w14:paraId="439A84ED" w14:textId="5C011AAE" w:rsidR="003F5719" w:rsidRDefault="00382E73" w:rsidP="003F5719">
      <w:pPr>
        <w:spacing w:line="480" w:lineRule="auto"/>
        <w:ind w:firstLine="720"/>
        <w:jc w:val="both"/>
        <w:rPr>
          <w:rFonts w:ascii="Times New Roman" w:hAnsi="Times New Roman" w:cs="Times New Roman"/>
        </w:rPr>
      </w:pPr>
      <w:r>
        <w:rPr>
          <w:rFonts w:ascii="Times New Roman" w:hAnsi="Times New Roman" w:cs="Times New Roman"/>
        </w:rPr>
        <w:t>As noted in response to Staff’s question for comment above, ERS is an out-of-market capacity payment that does not provide price signals integral to investment in the ERCOT market</w:t>
      </w:r>
      <w:r w:rsidR="00714D2C">
        <w:rPr>
          <w:rFonts w:ascii="Times New Roman" w:hAnsi="Times New Roman" w:cs="Times New Roman"/>
        </w:rPr>
        <w:t>, and there is nothing to demonstrate that expanding the budget by 50% would yield positive net benefits. Rather than substantially increasing the cost of ERS, the Commission should instead establish a principled MW procurement target</w:t>
      </w:r>
      <w:r w:rsidR="006829A0">
        <w:rPr>
          <w:rFonts w:ascii="Times New Roman" w:hAnsi="Times New Roman" w:cs="Times New Roman"/>
        </w:rPr>
        <w:t>, based on a standard, and</w:t>
      </w:r>
      <w:r w:rsidR="00714D2C">
        <w:rPr>
          <w:rFonts w:ascii="Times New Roman" w:hAnsi="Times New Roman" w:cs="Times New Roman"/>
        </w:rPr>
        <w:t xml:space="preserve"> cleared against a downward-sloping demand curve that retains and reflects the current $50M annual budget cap. </w:t>
      </w:r>
    </w:p>
    <w:p w14:paraId="7924E4B4" w14:textId="77777777" w:rsidR="003F5719" w:rsidRPr="003F5719" w:rsidRDefault="003F5719" w:rsidP="003F5719">
      <w:pPr>
        <w:spacing w:after="240"/>
        <w:jc w:val="both"/>
        <w:rPr>
          <w:rFonts w:ascii="Times New Roman" w:hAnsi="Times New Roman" w:cs="Times New Roman"/>
          <w:b/>
        </w:rPr>
      </w:pPr>
    </w:p>
    <w:p w14:paraId="72F395F2" w14:textId="202CF1D9" w:rsidR="00157B84" w:rsidRPr="003F5719" w:rsidRDefault="00157B84" w:rsidP="0047439E">
      <w:pPr>
        <w:pStyle w:val="ListParagraph"/>
        <w:numPr>
          <w:ilvl w:val="0"/>
          <w:numId w:val="33"/>
        </w:numPr>
        <w:spacing w:after="240"/>
        <w:jc w:val="both"/>
        <w:rPr>
          <w:rFonts w:ascii="Times New Roman" w:hAnsi="Times New Roman" w:cs="Times New Roman"/>
          <w:b/>
        </w:rPr>
      </w:pPr>
      <w:r>
        <w:rPr>
          <w:rFonts w:ascii="Times New Roman" w:hAnsi="Times New Roman" w:cs="Times New Roman"/>
          <w:b/>
          <w:bCs/>
        </w:rPr>
        <w:t>§</w:t>
      </w:r>
      <w:r w:rsidRPr="00DE2558">
        <w:rPr>
          <w:rFonts w:ascii="Times New Roman" w:hAnsi="Times New Roman" w:cs="Times New Roman"/>
          <w:b/>
          <w:bCs/>
        </w:rPr>
        <w:t>25.50</w:t>
      </w:r>
      <w:r>
        <w:rPr>
          <w:rFonts w:ascii="Times New Roman" w:hAnsi="Times New Roman" w:cs="Times New Roman"/>
          <w:b/>
          <w:bCs/>
        </w:rPr>
        <w:t>7</w:t>
      </w:r>
      <w:r w:rsidRPr="00DE2558">
        <w:rPr>
          <w:rFonts w:ascii="Times New Roman" w:hAnsi="Times New Roman" w:cs="Times New Roman"/>
          <w:b/>
          <w:bCs/>
        </w:rPr>
        <w:t>(</w:t>
      </w:r>
      <w:r>
        <w:rPr>
          <w:rFonts w:ascii="Times New Roman" w:hAnsi="Times New Roman" w:cs="Times New Roman"/>
          <w:b/>
          <w:bCs/>
        </w:rPr>
        <w:t>b</w:t>
      </w:r>
      <w:r w:rsidRPr="00DE2558">
        <w:rPr>
          <w:rFonts w:ascii="Times New Roman" w:hAnsi="Times New Roman" w:cs="Times New Roman"/>
          <w:b/>
          <w:bCs/>
        </w:rPr>
        <w:t>):</w:t>
      </w:r>
      <w:r>
        <w:rPr>
          <w:rFonts w:ascii="Times New Roman" w:hAnsi="Times New Roman" w:cs="Times New Roman"/>
          <w:b/>
          <w:bCs/>
        </w:rPr>
        <w:t xml:space="preserve"> The rule should define ERS</w:t>
      </w:r>
      <w:r w:rsidR="003F5719">
        <w:rPr>
          <w:rFonts w:ascii="Times New Roman" w:hAnsi="Times New Roman" w:cs="Times New Roman"/>
          <w:b/>
          <w:bCs/>
        </w:rPr>
        <w:t xml:space="preserve"> and “</w:t>
      </w:r>
      <w:r w:rsidR="000E43FC">
        <w:rPr>
          <w:rFonts w:ascii="Times New Roman" w:hAnsi="Times New Roman" w:cs="Times New Roman"/>
          <w:b/>
          <w:bCs/>
        </w:rPr>
        <w:t xml:space="preserve">emergency </w:t>
      </w:r>
      <w:r w:rsidR="0002171A">
        <w:rPr>
          <w:rFonts w:ascii="Times New Roman" w:hAnsi="Times New Roman" w:cs="Times New Roman"/>
          <w:b/>
          <w:bCs/>
        </w:rPr>
        <w:t>condition</w:t>
      </w:r>
      <w:r>
        <w:rPr>
          <w:rFonts w:ascii="Times New Roman" w:hAnsi="Times New Roman" w:cs="Times New Roman"/>
          <w:b/>
          <w:bCs/>
        </w:rPr>
        <w:t>,</w:t>
      </w:r>
      <w:r w:rsidR="003F5719">
        <w:rPr>
          <w:rFonts w:ascii="Times New Roman" w:hAnsi="Times New Roman" w:cs="Times New Roman"/>
          <w:b/>
          <w:bCs/>
        </w:rPr>
        <w:t>”</w:t>
      </w:r>
      <w:r>
        <w:rPr>
          <w:rFonts w:ascii="Times New Roman" w:hAnsi="Times New Roman" w:cs="Times New Roman"/>
          <w:b/>
          <w:bCs/>
        </w:rPr>
        <w:t xml:space="preserve"> especially if the purpose statement is deleted</w:t>
      </w:r>
    </w:p>
    <w:p w14:paraId="32023A85" w14:textId="746C30F1" w:rsidR="003F5719" w:rsidRDefault="0002171A" w:rsidP="003F571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As noted above, there is value in retaining the substantive content of the proposed-to-be-deleted Purpose section of the rule. TCPA recommends that the Commission establish a definition of ERS if it goes forward with deleting that section. </w:t>
      </w:r>
      <w:r w:rsidR="00345503">
        <w:rPr>
          <w:rFonts w:ascii="Times New Roman" w:hAnsi="Times New Roman" w:cs="Times New Roman"/>
        </w:rPr>
        <w:t>The following closely tracks the definition in ERCOT Protocols:</w:t>
      </w:r>
      <w:r w:rsidR="00345503">
        <w:rPr>
          <w:rStyle w:val="FootnoteReference"/>
          <w:rFonts w:ascii="Times New Roman" w:hAnsi="Times New Roman" w:cs="Times New Roman"/>
        </w:rPr>
        <w:footnoteReference w:id="8"/>
      </w:r>
    </w:p>
    <w:p w14:paraId="1A8BC8B3" w14:textId="3F7F0F6F" w:rsidR="003F5719" w:rsidRPr="00345503" w:rsidRDefault="003F5719" w:rsidP="003F5719">
      <w:pPr>
        <w:ind w:left="1440" w:hanging="720"/>
        <w:jc w:val="both"/>
        <w:rPr>
          <w:rFonts w:ascii="Times New Roman" w:hAnsi="Times New Roman" w:cs="Times New Roman"/>
          <w:color w:val="FF0000"/>
          <w:u w:val="single"/>
        </w:rPr>
      </w:pPr>
      <w:r w:rsidRPr="00345503">
        <w:rPr>
          <w:rFonts w:ascii="Times New Roman" w:hAnsi="Times New Roman" w:cs="Times New Roman"/>
          <w:color w:val="FF0000"/>
          <w:u w:val="single"/>
        </w:rPr>
        <w:t>(</w:t>
      </w:r>
      <w:r w:rsidR="0002171A" w:rsidRPr="00345503">
        <w:rPr>
          <w:rFonts w:ascii="Times New Roman" w:hAnsi="Times New Roman" w:cs="Times New Roman"/>
          <w:color w:val="FF0000"/>
          <w:u w:val="single"/>
        </w:rPr>
        <w:t>x</w:t>
      </w:r>
      <w:r w:rsidRPr="00345503">
        <w:rPr>
          <w:rFonts w:ascii="Times New Roman" w:hAnsi="Times New Roman" w:cs="Times New Roman"/>
          <w:color w:val="FF0000"/>
          <w:u w:val="single"/>
        </w:rPr>
        <w:t xml:space="preserve">) </w:t>
      </w:r>
      <w:r w:rsidRPr="00345503">
        <w:rPr>
          <w:rFonts w:ascii="Times New Roman" w:hAnsi="Times New Roman" w:cs="Times New Roman"/>
          <w:color w:val="FF0000"/>
          <w:u w:val="single"/>
        </w:rPr>
        <w:tab/>
      </w:r>
      <w:r w:rsidR="0002171A" w:rsidRPr="00345503">
        <w:rPr>
          <w:rFonts w:ascii="Times New Roman" w:hAnsi="Times New Roman" w:cs="Times New Roman"/>
          <w:color w:val="FF0000"/>
          <w:u w:val="single"/>
        </w:rPr>
        <w:t>Emergency Response Service</w:t>
      </w:r>
      <w:r w:rsidRPr="00345503">
        <w:rPr>
          <w:rFonts w:ascii="Times New Roman" w:hAnsi="Times New Roman" w:cs="Times New Roman"/>
          <w:color w:val="FF0000"/>
          <w:u w:val="single"/>
        </w:rPr>
        <w:t xml:space="preserve">. </w:t>
      </w:r>
      <w:r w:rsidR="0002171A" w:rsidRPr="00345503">
        <w:rPr>
          <w:rFonts w:ascii="Times New Roman" w:hAnsi="Times New Roman" w:cs="Times New Roman"/>
          <w:color w:val="FF0000"/>
          <w:u w:val="single"/>
        </w:rPr>
        <w:t xml:space="preserve">An emergency service procured and deployed by ERCOT </w:t>
      </w:r>
      <w:r w:rsidR="00345503" w:rsidRPr="00345503">
        <w:rPr>
          <w:rFonts w:ascii="Times New Roman" w:hAnsi="Times New Roman" w:cs="Times New Roman"/>
          <w:color w:val="FF0000"/>
          <w:u w:val="single"/>
        </w:rPr>
        <w:t>under defined conditions to assist in maintaining or restoring ERCOT system frequency.</w:t>
      </w:r>
    </w:p>
    <w:p w14:paraId="7F9F4055" w14:textId="77777777" w:rsidR="003F5719" w:rsidRDefault="003F5719" w:rsidP="003F5719">
      <w:pPr>
        <w:ind w:left="1440" w:hanging="720"/>
        <w:jc w:val="both"/>
        <w:rPr>
          <w:rFonts w:ascii="Times New Roman" w:hAnsi="Times New Roman" w:cs="Times New Roman"/>
        </w:rPr>
      </w:pPr>
    </w:p>
    <w:p w14:paraId="1B73FDC2" w14:textId="32CC4342" w:rsidR="003F5719" w:rsidRDefault="00345503" w:rsidP="003F5719">
      <w:pPr>
        <w:spacing w:line="480" w:lineRule="auto"/>
        <w:ind w:firstLine="720"/>
        <w:jc w:val="both"/>
        <w:rPr>
          <w:rFonts w:ascii="Times New Roman" w:hAnsi="Times New Roman" w:cs="Times New Roman"/>
        </w:rPr>
      </w:pPr>
      <w:r>
        <w:rPr>
          <w:rFonts w:ascii="Times New Roman" w:hAnsi="Times New Roman" w:cs="Times New Roman"/>
        </w:rPr>
        <w:t xml:space="preserve">Similarly, </w:t>
      </w:r>
      <w:r w:rsidR="003F5719">
        <w:rPr>
          <w:rFonts w:ascii="Times New Roman" w:hAnsi="Times New Roman" w:cs="Times New Roman"/>
        </w:rPr>
        <w:t xml:space="preserve">TCPA suggests </w:t>
      </w:r>
      <w:r>
        <w:rPr>
          <w:rFonts w:ascii="Times New Roman" w:hAnsi="Times New Roman" w:cs="Times New Roman"/>
        </w:rPr>
        <w:t xml:space="preserve">the Commission </w:t>
      </w:r>
      <w:r w:rsidR="008D51ED">
        <w:rPr>
          <w:rFonts w:ascii="Times New Roman" w:hAnsi="Times New Roman" w:cs="Times New Roman"/>
        </w:rPr>
        <w:t>prescribe the use of ERS</w:t>
      </w:r>
      <w:r>
        <w:rPr>
          <w:rFonts w:ascii="Times New Roman" w:hAnsi="Times New Roman" w:cs="Times New Roman"/>
        </w:rPr>
        <w:t xml:space="preserve"> “</w:t>
      </w:r>
      <w:r w:rsidR="008D51ED">
        <w:rPr>
          <w:rFonts w:ascii="Times New Roman" w:hAnsi="Times New Roman" w:cs="Times New Roman"/>
        </w:rPr>
        <w:t xml:space="preserve">prior to an </w:t>
      </w:r>
      <w:r>
        <w:rPr>
          <w:rFonts w:ascii="Times New Roman" w:hAnsi="Times New Roman" w:cs="Times New Roman"/>
        </w:rPr>
        <w:t>emergency condition”</w:t>
      </w:r>
      <w:r w:rsidR="00900EC0">
        <w:rPr>
          <w:rFonts w:ascii="Times New Roman" w:hAnsi="Times New Roman" w:cs="Times New Roman"/>
        </w:rPr>
        <w:t xml:space="preserve"> in Subsection (b) of this rule</w:t>
      </w:r>
      <w:r w:rsidR="008D51ED">
        <w:rPr>
          <w:rFonts w:ascii="Times New Roman" w:hAnsi="Times New Roman" w:cs="Times New Roman"/>
        </w:rPr>
        <w:t xml:space="preserve"> consistent with recent operations changes at ERCOT</w:t>
      </w:r>
      <w:r w:rsidR="00900EC0">
        <w:rPr>
          <w:rFonts w:ascii="Times New Roman" w:hAnsi="Times New Roman" w:cs="Times New Roman"/>
        </w:rPr>
        <w:t xml:space="preserve">. </w:t>
      </w:r>
    </w:p>
    <w:p w14:paraId="27E908C5" w14:textId="77777777" w:rsidR="003F5719" w:rsidRPr="003F5719" w:rsidRDefault="003F5719" w:rsidP="003F5719">
      <w:pPr>
        <w:spacing w:after="240"/>
        <w:jc w:val="both"/>
        <w:rPr>
          <w:rFonts w:ascii="Times New Roman" w:hAnsi="Times New Roman" w:cs="Times New Roman"/>
          <w:b/>
        </w:rPr>
      </w:pPr>
    </w:p>
    <w:p w14:paraId="3972AADF" w14:textId="613D0395" w:rsidR="00157B84" w:rsidRPr="003F5719" w:rsidRDefault="00157B84" w:rsidP="0047439E">
      <w:pPr>
        <w:pStyle w:val="ListParagraph"/>
        <w:numPr>
          <w:ilvl w:val="0"/>
          <w:numId w:val="33"/>
        </w:numPr>
        <w:spacing w:after="240"/>
        <w:jc w:val="both"/>
        <w:rPr>
          <w:rFonts w:ascii="Times New Roman" w:hAnsi="Times New Roman" w:cs="Times New Roman"/>
          <w:b/>
        </w:rPr>
      </w:pPr>
      <w:r>
        <w:rPr>
          <w:rFonts w:ascii="Times New Roman" w:hAnsi="Times New Roman" w:cs="Times New Roman"/>
          <w:b/>
          <w:bCs/>
        </w:rPr>
        <w:t>§</w:t>
      </w:r>
      <w:r w:rsidRPr="00DE2558">
        <w:rPr>
          <w:rFonts w:ascii="Times New Roman" w:hAnsi="Times New Roman" w:cs="Times New Roman"/>
          <w:b/>
          <w:bCs/>
        </w:rPr>
        <w:t>25.50</w:t>
      </w:r>
      <w:r>
        <w:rPr>
          <w:rFonts w:ascii="Times New Roman" w:hAnsi="Times New Roman" w:cs="Times New Roman"/>
          <w:b/>
          <w:bCs/>
        </w:rPr>
        <w:t>7</w:t>
      </w:r>
      <w:r w:rsidRPr="00DE2558">
        <w:rPr>
          <w:rFonts w:ascii="Times New Roman" w:hAnsi="Times New Roman" w:cs="Times New Roman"/>
          <w:b/>
          <w:bCs/>
        </w:rPr>
        <w:t>(</w:t>
      </w:r>
      <w:r w:rsidR="009B767E">
        <w:rPr>
          <w:rFonts w:ascii="Times New Roman" w:hAnsi="Times New Roman" w:cs="Times New Roman"/>
          <w:b/>
          <w:bCs/>
        </w:rPr>
        <w:t>c</w:t>
      </w:r>
      <w:r w:rsidRPr="00DE2558">
        <w:rPr>
          <w:rFonts w:ascii="Times New Roman" w:hAnsi="Times New Roman" w:cs="Times New Roman"/>
          <w:b/>
          <w:bCs/>
        </w:rPr>
        <w:t>)</w:t>
      </w:r>
      <w:r w:rsidR="009B767E">
        <w:rPr>
          <w:rFonts w:ascii="Times New Roman" w:hAnsi="Times New Roman" w:cs="Times New Roman"/>
          <w:b/>
          <w:bCs/>
        </w:rPr>
        <w:t>(7)</w:t>
      </w:r>
      <w:r w:rsidRPr="00DE2558">
        <w:rPr>
          <w:rFonts w:ascii="Times New Roman" w:hAnsi="Times New Roman" w:cs="Times New Roman"/>
          <w:b/>
          <w:bCs/>
        </w:rPr>
        <w:t>:</w:t>
      </w:r>
      <w:r>
        <w:rPr>
          <w:rFonts w:ascii="Times New Roman" w:hAnsi="Times New Roman" w:cs="Times New Roman"/>
          <w:b/>
          <w:bCs/>
        </w:rPr>
        <w:t xml:space="preserve"> The rule should prohibit </w:t>
      </w:r>
      <w:r w:rsidR="008D51ED">
        <w:rPr>
          <w:rFonts w:ascii="Times New Roman" w:hAnsi="Times New Roman" w:cs="Times New Roman"/>
          <w:b/>
          <w:bCs/>
        </w:rPr>
        <w:t>self</w:t>
      </w:r>
      <w:r>
        <w:rPr>
          <w:rFonts w:ascii="Times New Roman" w:hAnsi="Times New Roman" w:cs="Times New Roman"/>
          <w:b/>
          <w:bCs/>
        </w:rPr>
        <w:t>-deployment of ERS resources</w:t>
      </w:r>
    </w:p>
    <w:p w14:paraId="6D9CA21C" w14:textId="7CBF4557" w:rsidR="003F5719" w:rsidRDefault="00900EC0" w:rsidP="003F5719">
      <w:pPr>
        <w:spacing w:line="480" w:lineRule="auto"/>
        <w:ind w:firstLine="720"/>
        <w:jc w:val="both"/>
        <w:rPr>
          <w:rFonts w:ascii="Times New Roman" w:hAnsi="Times New Roman" w:cs="Times New Roman"/>
        </w:rPr>
      </w:pPr>
      <w:r>
        <w:rPr>
          <w:rFonts w:ascii="Times New Roman" w:hAnsi="Times New Roman" w:cs="Times New Roman"/>
        </w:rPr>
        <w:t xml:space="preserve">Allowing </w:t>
      </w:r>
      <w:r w:rsidR="008D51ED">
        <w:rPr>
          <w:rFonts w:ascii="Times New Roman" w:hAnsi="Times New Roman" w:cs="Times New Roman"/>
        </w:rPr>
        <w:t>self</w:t>
      </w:r>
      <w:r>
        <w:rPr>
          <w:rFonts w:ascii="Times New Roman" w:hAnsi="Times New Roman" w:cs="Times New Roman"/>
        </w:rPr>
        <w:t xml:space="preserve">-deployment of ERS resources </w:t>
      </w:r>
      <w:r w:rsidR="0008738F">
        <w:rPr>
          <w:rFonts w:ascii="Times New Roman" w:hAnsi="Times New Roman" w:cs="Times New Roman"/>
        </w:rPr>
        <w:t xml:space="preserve">undermines the effectiveness and value of ERS – if an ERS resource would already self-deploy prior to ERCOT’s deployment and the ERS clearing price does not otherwise provide investment signals for the ERCOT market, then the ERS payment did not provide any incremental reliability value. Especially during </w:t>
      </w:r>
      <w:r w:rsidR="007426DF">
        <w:rPr>
          <w:rFonts w:ascii="Times New Roman" w:hAnsi="Times New Roman" w:cs="Times New Roman"/>
        </w:rPr>
        <w:t xml:space="preserve">or in efforts to avoid </w:t>
      </w:r>
      <w:r w:rsidR="0008738F">
        <w:rPr>
          <w:rFonts w:ascii="Times New Roman" w:hAnsi="Times New Roman" w:cs="Times New Roman"/>
        </w:rPr>
        <w:t>emergency conditions, it is important that ERCOT receive the reliability value contracted for when called upon</w:t>
      </w:r>
      <w:r w:rsidR="00D93636">
        <w:rPr>
          <w:rFonts w:ascii="Times New Roman" w:hAnsi="Times New Roman" w:cs="Times New Roman"/>
        </w:rPr>
        <w:t xml:space="preserve">. </w:t>
      </w:r>
    </w:p>
    <w:p w14:paraId="3F2D4629" w14:textId="18023816" w:rsidR="00EB6D3B" w:rsidRDefault="00EB6D3B" w:rsidP="003F5719">
      <w:pPr>
        <w:spacing w:line="480" w:lineRule="auto"/>
        <w:ind w:firstLine="720"/>
        <w:jc w:val="both"/>
        <w:rPr>
          <w:rFonts w:ascii="Times New Roman" w:hAnsi="Times New Roman" w:cs="Times New Roman"/>
        </w:rPr>
      </w:pPr>
      <w:r>
        <w:rPr>
          <w:rFonts w:ascii="Times New Roman" w:hAnsi="Times New Roman" w:cs="Times New Roman"/>
        </w:rPr>
        <w:t>For example, in ERCOT’s 2021 Annual ERS Report, ERCOT shows that on February 15, 2021 the vast majority of the ERS curtailment had already occurred at the time the ERS Verbal Dispatch Instruction was given:</w:t>
      </w:r>
      <w:r>
        <w:rPr>
          <w:rStyle w:val="FootnoteReference"/>
          <w:rFonts w:ascii="Times New Roman" w:hAnsi="Times New Roman" w:cs="Times New Roman"/>
        </w:rPr>
        <w:footnoteReference w:id="9"/>
      </w:r>
    </w:p>
    <w:p w14:paraId="460B76F3" w14:textId="48F42029" w:rsidR="00EB6D3B" w:rsidRDefault="00EB6D3B" w:rsidP="00EB6D3B">
      <w:pPr>
        <w:spacing w:line="480" w:lineRule="auto"/>
        <w:jc w:val="center"/>
        <w:rPr>
          <w:rFonts w:ascii="Times New Roman" w:hAnsi="Times New Roman" w:cs="Times New Roman"/>
        </w:rPr>
      </w:pPr>
      <w:r>
        <w:rPr>
          <w:noProof/>
          <w:lang w:eastAsia="en-US"/>
        </w:rPr>
        <w:lastRenderedPageBreak/>
        <w:drawing>
          <wp:inline distT="0" distB="0" distL="0" distR="0" wp14:anchorId="58828ED9" wp14:editId="7DF845C4">
            <wp:extent cx="5943600" cy="4470400"/>
            <wp:effectExtent l="0" t="0" r="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5943600" cy="4470400"/>
                    </a:xfrm>
                    <a:prstGeom prst="rect">
                      <a:avLst/>
                    </a:prstGeom>
                  </pic:spPr>
                </pic:pic>
              </a:graphicData>
            </a:graphic>
          </wp:inline>
        </w:drawing>
      </w:r>
    </w:p>
    <w:p w14:paraId="20A73AA0" w14:textId="421C31E8" w:rsidR="00D93636" w:rsidRDefault="009B767E" w:rsidP="003F5719">
      <w:pPr>
        <w:spacing w:line="480" w:lineRule="auto"/>
        <w:ind w:firstLine="720"/>
        <w:jc w:val="both"/>
        <w:rPr>
          <w:rFonts w:ascii="Times New Roman" w:hAnsi="Times New Roman" w:cs="Times New Roman"/>
        </w:rPr>
      </w:pPr>
      <w:r>
        <w:rPr>
          <w:rFonts w:ascii="Times New Roman" w:hAnsi="Times New Roman" w:cs="Times New Roman"/>
        </w:rPr>
        <w:t>Because the Discussion Draft proposes to move §25.507(c)(7) to its own §25.507(d), the Commission could provide this clarification in the vacated §25.507(c)(7)</w:t>
      </w:r>
      <w:r w:rsidR="00C43BE2">
        <w:rPr>
          <w:rFonts w:ascii="Times New Roman" w:hAnsi="Times New Roman" w:cs="Times New Roman"/>
        </w:rPr>
        <w:t xml:space="preserve">, which would naturally follow from §§25.507(c)(3)-(6) (and in particular, is conceptually aligned with §25.507(c)(4)). </w:t>
      </w:r>
      <w:r w:rsidR="00D93636">
        <w:rPr>
          <w:rFonts w:ascii="Times New Roman" w:hAnsi="Times New Roman" w:cs="Times New Roman"/>
        </w:rPr>
        <w:t xml:space="preserve">Accordingly, TCPA recommends the following </w:t>
      </w:r>
      <w:r w:rsidR="00C43BE2">
        <w:rPr>
          <w:rFonts w:ascii="Times New Roman" w:hAnsi="Times New Roman" w:cs="Times New Roman"/>
        </w:rPr>
        <w:t xml:space="preserve">new </w:t>
      </w:r>
      <w:r w:rsidR="00D93636">
        <w:rPr>
          <w:rFonts w:ascii="Times New Roman" w:hAnsi="Times New Roman" w:cs="Times New Roman"/>
        </w:rPr>
        <w:t>§25.507(</w:t>
      </w:r>
      <w:r w:rsidR="00C43BE2">
        <w:rPr>
          <w:rFonts w:ascii="Times New Roman" w:hAnsi="Times New Roman" w:cs="Times New Roman"/>
        </w:rPr>
        <w:t>c</w:t>
      </w:r>
      <w:r w:rsidR="00D93636">
        <w:rPr>
          <w:rFonts w:ascii="Times New Roman" w:hAnsi="Times New Roman" w:cs="Times New Roman"/>
        </w:rPr>
        <w:t>)</w:t>
      </w:r>
      <w:r w:rsidR="00C43BE2">
        <w:rPr>
          <w:rFonts w:ascii="Times New Roman" w:hAnsi="Times New Roman" w:cs="Times New Roman"/>
        </w:rPr>
        <w:t>(7)</w:t>
      </w:r>
      <w:r w:rsidR="00D93636">
        <w:rPr>
          <w:rFonts w:ascii="Times New Roman" w:hAnsi="Times New Roman" w:cs="Times New Roman"/>
        </w:rPr>
        <w:t>:</w:t>
      </w:r>
    </w:p>
    <w:p w14:paraId="65ECEE65" w14:textId="77777777" w:rsidR="00D93636" w:rsidRDefault="00D93636" w:rsidP="003F5719">
      <w:pPr>
        <w:ind w:left="1440" w:hanging="720"/>
        <w:jc w:val="both"/>
        <w:rPr>
          <w:rFonts w:ascii="Times New Roman" w:hAnsi="Times New Roman" w:cs="Times New Roman"/>
        </w:rPr>
      </w:pPr>
    </w:p>
    <w:p w14:paraId="2D03FF0A" w14:textId="00C4781D" w:rsidR="003F5719" w:rsidRDefault="003F5719" w:rsidP="003F5719">
      <w:pPr>
        <w:ind w:left="1440" w:hanging="720"/>
        <w:jc w:val="both"/>
        <w:rPr>
          <w:rFonts w:ascii="Times New Roman" w:hAnsi="Times New Roman" w:cs="Times New Roman"/>
          <w:color w:val="FF0000"/>
          <w:u w:val="single"/>
        </w:rPr>
      </w:pPr>
      <w:r w:rsidRPr="00457638">
        <w:rPr>
          <w:rFonts w:ascii="Times New Roman" w:hAnsi="Times New Roman" w:cs="Times New Roman"/>
          <w:color w:val="FF0000"/>
          <w:u w:val="single"/>
        </w:rPr>
        <w:t>(</w:t>
      </w:r>
      <w:r w:rsidR="00C43BE2" w:rsidRPr="00457638">
        <w:rPr>
          <w:rFonts w:ascii="Times New Roman" w:hAnsi="Times New Roman" w:cs="Times New Roman"/>
          <w:color w:val="FF0000"/>
          <w:u w:val="single"/>
        </w:rPr>
        <w:t>c</w:t>
      </w:r>
      <w:r w:rsidRPr="00457638">
        <w:rPr>
          <w:rFonts w:ascii="Times New Roman" w:hAnsi="Times New Roman" w:cs="Times New Roman"/>
          <w:color w:val="FF0000"/>
          <w:u w:val="single"/>
        </w:rPr>
        <w:t>)</w:t>
      </w:r>
      <w:r w:rsidR="00C43BE2" w:rsidRPr="00457638">
        <w:rPr>
          <w:rFonts w:ascii="Times New Roman" w:hAnsi="Times New Roman" w:cs="Times New Roman"/>
          <w:color w:val="FF0000"/>
          <w:u w:val="single"/>
        </w:rPr>
        <w:t>(7)</w:t>
      </w:r>
      <w:r w:rsidRPr="00457638">
        <w:rPr>
          <w:rFonts w:ascii="Times New Roman" w:hAnsi="Times New Roman" w:cs="Times New Roman"/>
          <w:color w:val="FF0000"/>
          <w:u w:val="single"/>
        </w:rPr>
        <w:t xml:space="preserve"> </w:t>
      </w:r>
      <w:r w:rsidRPr="00457638">
        <w:rPr>
          <w:rFonts w:ascii="Times New Roman" w:hAnsi="Times New Roman" w:cs="Times New Roman"/>
          <w:color w:val="FF0000"/>
          <w:u w:val="single"/>
        </w:rPr>
        <w:tab/>
      </w:r>
      <w:r w:rsidR="00C43BE2" w:rsidRPr="00457638">
        <w:rPr>
          <w:rFonts w:ascii="Times New Roman" w:hAnsi="Times New Roman" w:cs="Times New Roman"/>
          <w:color w:val="FF0000"/>
          <w:u w:val="single"/>
        </w:rPr>
        <w:t xml:space="preserve">ERS resources must achieve their obligations relative to their status at the time of ERCOT’s deployment of ERS. </w:t>
      </w:r>
    </w:p>
    <w:p w14:paraId="0C40A79C" w14:textId="77777777" w:rsidR="0035218A" w:rsidRPr="00457638" w:rsidRDefault="0035218A" w:rsidP="003F5719">
      <w:pPr>
        <w:ind w:left="1440" w:hanging="720"/>
        <w:jc w:val="both"/>
        <w:rPr>
          <w:rFonts w:ascii="Times New Roman" w:hAnsi="Times New Roman" w:cs="Times New Roman"/>
          <w:color w:val="FF0000"/>
          <w:u w:val="single"/>
        </w:rPr>
      </w:pPr>
    </w:p>
    <w:p w14:paraId="0D5BE7A5" w14:textId="77777777" w:rsidR="003F5719" w:rsidRDefault="003F5719" w:rsidP="003F5719">
      <w:pPr>
        <w:ind w:left="1440" w:hanging="720"/>
        <w:jc w:val="both"/>
        <w:rPr>
          <w:rFonts w:ascii="Times New Roman" w:hAnsi="Times New Roman" w:cs="Times New Roman"/>
        </w:rPr>
      </w:pPr>
    </w:p>
    <w:p w14:paraId="6BEFCCEB" w14:textId="7E906D6D" w:rsidR="006829A0" w:rsidRPr="006829A0" w:rsidRDefault="006829A0" w:rsidP="006829A0">
      <w:pPr>
        <w:pStyle w:val="ListParagraph"/>
        <w:numPr>
          <w:ilvl w:val="0"/>
          <w:numId w:val="33"/>
        </w:numPr>
        <w:spacing w:after="240"/>
        <w:jc w:val="both"/>
        <w:rPr>
          <w:rFonts w:ascii="Times New Roman" w:hAnsi="Times New Roman" w:cs="Times New Roman"/>
          <w:b/>
        </w:rPr>
      </w:pPr>
      <w:r w:rsidRPr="00220C7D">
        <w:rPr>
          <w:rFonts w:ascii="Times New Roman" w:hAnsi="Times New Roman" w:cs="Times New Roman"/>
          <w:b/>
          <w:bCs/>
        </w:rPr>
        <w:t>§25.507(</w:t>
      </w:r>
      <w:r>
        <w:rPr>
          <w:rFonts w:ascii="Times New Roman" w:hAnsi="Times New Roman" w:cs="Times New Roman"/>
          <w:b/>
          <w:bCs/>
        </w:rPr>
        <w:t>d</w:t>
      </w:r>
      <w:r w:rsidRPr="00220C7D">
        <w:rPr>
          <w:rFonts w:ascii="Times New Roman" w:hAnsi="Times New Roman" w:cs="Times New Roman"/>
          <w:b/>
          <w:bCs/>
        </w:rPr>
        <w:t>):</w:t>
      </w:r>
      <w:r>
        <w:rPr>
          <w:rFonts w:ascii="Times New Roman" w:hAnsi="Times New Roman" w:cs="Times New Roman"/>
          <w:b/>
          <w:bCs/>
        </w:rPr>
        <w:t xml:space="preserve">  </w:t>
      </w:r>
      <w:r w:rsidR="00215C75">
        <w:rPr>
          <w:rFonts w:ascii="Times New Roman" w:hAnsi="Times New Roman" w:cs="Times New Roman"/>
          <w:b/>
          <w:bCs/>
        </w:rPr>
        <w:t xml:space="preserve">The </w:t>
      </w:r>
      <w:r w:rsidR="007426DF">
        <w:rPr>
          <w:rFonts w:ascii="Times New Roman" w:hAnsi="Times New Roman" w:cs="Times New Roman"/>
          <w:b/>
          <w:bCs/>
        </w:rPr>
        <w:t>p</w:t>
      </w:r>
      <w:r w:rsidR="00215C75">
        <w:rPr>
          <w:rFonts w:ascii="Times New Roman" w:hAnsi="Times New Roman" w:cs="Times New Roman"/>
          <w:b/>
          <w:bCs/>
        </w:rPr>
        <w:t>hrase “</w:t>
      </w:r>
      <w:r w:rsidR="007426DF">
        <w:rPr>
          <w:rFonts w:ascii="Times New Roman" w:hAnsi="Times New Roman" w:cs="Times New Roman"/>
          <w:b/>
          <w:bCs/>
        </w:rPr>
        <w:t>a</w:t>
      </w:r>
      <w:r w:rsidR="00215C75">
        <w:rPr>
          <w:rFonts w:ascii="Times New Roman" w:hAnsi="Times New Roman" w:cs="Times New Roman"/>
          <w:b/>
          <w:bCs/>
        </w:rPr>
        <w:t xml:space="preserve">s </w:t>
      </w:r>
      <w:r w:rsidR="007426DF">
        <w:rPr>
          <w:rFonts w:ascii="Times New Roman" w:hAnsi="Times New Roman" w:cs="Times New Roman"/>
          <w:b/>
          <w:bCs/>
        </w:rPr>
        <w:t>n</w:t>
      </w:r>
      <w:r w:rsidR="00215C75">
        <w:rPr>
          <w:rFonts w:ascii="Times New Roman" w:hAnsi="Times New Roman" w:cs="Times New Roman"/>
          <w:b/>
          <w:bCs/>
        </w:rPr>
        <w:t xml:space="preserve">ecessary” </w:t>
      </w:r>
      <w:r w:rsidR="007426DF">
        <w:rPr>
          <w:rFonts w:ascii="Times New Roman" w:hAnsi="Times New Roman" w:cs="Times New Roman"/>
          <w:b/>
          <w:bCs/>
        </w:rPr>
        <w:t>s</w:t>
      </w:r>
      <w:r w:rsidR="00215C75">
        <w:rPr>
          <w:rFonts w:ascii="Times New Roman" w:hAnsi="Times New Roman" w:cs="Times New Roman"/>
          <w:b/>
          <w:bCs/>
        </w:rPr>
        <w:t xml:space="preserve">hould be </w:t>
      </w:r>
      <w:r w:rsidR="007426DF">
        <w:rPr>
          <w:rFonts w:ascii="Times New Roman" w:hAnsi="Times New Roman" w:cs="Times New Roman"/>
          <w:b/>
          <w:bCs/>
        </w:rPr>
        <w:t>l</w:t>
      </w:r>
      <w:r w:rsidR="00215C75">
        <w:rPr>
          <w:rFonts w:ascii="Times New Roman" w:hAnsi="Times New Roman" w:cs="Times New Roman"/>
          <w:b/>
          <w:bCs/>
        </w:rPr>
        <w:t xml:space="preserve">imited to </w:t>
      </w:r>
      <w:r w:rsidR="007426DF">
        <w:rPr>
          <w:rFonts w:ascii="Times New Roman" w:hAnsi="Times New Roman" w:cs="Times New Roman"/>
          <w:b/>
          <w:bCs/>
        </w:rPr>
        <w:t>s</w:t>
      </w:r>
      <w:r>
        <w:rPr>
          <w:rFonts w:ascii="Times New Roman" w:hAnsi="Times New Roman" w:cs="Times New Roman"/>
          <w:b/>
          <w:bCs/>
        </w:rPr>
        <w:t>ystem</w:t>
      </w:r>
      <w:r w:rsidR="00215C75">
        <w:rPr>
          <w:rFonts w:ascii="Times New Roman" w:hAnsi="Times New Roman" w:cs="Times New Roman"/>
          <w:b/>
          <w:bCs/>
        </w:rPr>
        <w:t>-</w:t>
      </w:r>
      <w:r w:rsidR="007426DF">
        <w:rPr>
          <w:rFonts w:ascii="Times New Roman" w:hAnsi="Times New Roman" w:cs="Times New Roman"/>
          <w:b/>
          <w:bCs/>
        </w:rPr>
        <w:t>w</w:t>
      </w:r>
      <w:r w:rsidR="00215C75">
        <w:rPr>
          <w:rFonts w:ascii="Times New Roman" w:hAnsi="Times New Roman" w:cs="Times New Roman"/>
          <w:b/>
          <w:bCs/>
        </w:rPr>
        <w:t xml:space="preserve">ide </w:t>
      </w:r>
      <w:r w:rsidR="007426DF">
        <w:rPr>
          <w:rFonts w:ascii="Times New Roman" w:hAnsi="Times New Roman" w:cs="Times New Roman"/>
          <w:b/>
          <w:bCs/>
        </w:rPr>
        <w:t>n</w:t>
      </w:r>
      <w:r w:rsidR="00215C75">
        <w:rPr>
          <w:rFonts w:ascii="Times New Roman" w:hAnsi="Times New Roman" w:cs="Times New Roman"/>
          <w:b/>
          <w:bCs/>
        </w:rPr>
        <w:t xml:space="preserve">eeds </w:t>
      </w:r>
      <w:r w:rsidR="007426DF">
        <w:rPr>
          <w:rFonts w:ascii="Times New Roman" w:hAnsi="Times New Roman" w:cs="Times New Roman"/>
          <w:b/>
          <w:bCs/>
        </w:rPr>
        <w:t>a</w:t>
      </w:r>
      <w:r w:rsidR="00215C75">
        <w:rPr>
          <w:rFonts w:ascii="Times New Roman" w:hAnsi="Times New Roman" w:cs="Times New Roman"/>
          <w:b/>
          <w:bCs/>
        </w:rPr>
        <w:t xml:space="preserve">nd </w:t>
      </w:r>
      <w:r w:rsidR="007426DF">
        <w:rPr>
          <w:rFonts w:ascii="Times New Roman" w:hAnsi="Times New Roman" w:cs="Times New Roman"/>
          <w:b/>
          <w:bCs/>
        </w:rPr>
        <w:t>s</w:t>
      </w:r>
      <w:r w:rsidR="00215C75">
        <w:rPr>
          <w:rFonts w:ascii="Times New Roman" w:hAnsi="Times New Roman" w:cs="Times New Roman"/>
          <w:b/>
          <w:bCs/>
        </w:rPr>
        <w:t xml:space="preserve">hould </w:t>
      </w:r>
      <w:r w:rsidR="007426DF">
        <w:rPr>
          <w:rFonts w:ascii="Times New Roman" w:hAnsi="Times New Roman" w:cs="Times New Roman"/>
          <w:b/>
          <w:bCs/>
        </w:rPr>
        <w:t>n</w:t>
      </w:r>
      <w:r>
        <w:rPr>
          <w:rFonts w:ascii="Times New Roman" w:hAnsi="Times New Roman" w:cs="Times New Roman"/>
          <w:b/>
          <w:bCs/>
        </w:rPr>
        <w:t>o</w:t>
      </w:r>
      <w:r w:rsidR="00215C75">
        <w:rPr>
          <w:rFonts w:ascii="Times New Roman" w:hAnsi="Times New Roman" w:cs="Times New Roman"/>
          <w:b/>
          <w:bCs/>
        </w:rPr>
        <w:t xml:space="preserve">t </w:t>
      </w:r>
      <w:r w:rsidR="007426DF">
        <w:rPr>
          <w:rFonts w:ascii="Times New Roman" w:hAnsi="Times New Roman" w:cs="Times New Roman"/>
          <w:b/>
          <w:bCs/>
        </w:rPr>
        <w:t>b</w:t>
      </w:r>
      <w:r w:rsidR="00215C75">
        <w:rPr>
          <w:rFonts w:ascii="Times New Roman" w:hAnsi="Times New Roman" w:cs="Times New Roman"/>
          <w:b/>
          <w:bCs/>
        </w:rPr>
        <w:t xml:space="preserve">e </w:t>
      </w:r>
      <w:r w:rsidR="007426DF">
        <w:rPr>
          <w:rFonts w:ascii="Times New Roman" w:hAnsi="Times New Roman" w:cs="Times New Roman"/>
          <w:b/>
          <w:bCs/>
        </w:rPr>
        <w:t>u</w:t>
      </w:r>
      <w:r>
        <w:rPr>
          <w:rFonts w:ascii="Times New Roman" w:hAnsi="Times New Roman" w:cs="Times New Roman"/>
          <w:b/>
          <w:bCs/>
        </w:rPr>
        <w:t>sed</w:t>
      </w:r>
      <w:r w:rsidR="00215C75">
        <w:rPr>
          <w:rFonts w:ascii="Times New Roman" w:hAnsi="Times New Roman" w:cs="Times New Roman"/>
          <w:b/>
          <w:bCs/>
        </w:rPr>
        <w:t xml:space="preserve"> </w:t>
      </w:r>
      <w:r w:rsidR="007426DF">
        <w:rPr>
          <w:rFonts w:ascii="Times New Roman" w:hAnsi="Times New Roman" w:cs="Times New Roman"/>
          <w:b/>
          <w:bCs/>
        </w:rPr>
        <w:t>f</w:t>
      </w:r>
      <w:r w:rsidR="00215C75">
        <w:rPr>
          <w:rFonts w:ascii="Times New Roman" w:hAnsi="Times New Roman" w:cs="Times New Roman"/>
          <w:b/>
          <w:bCs/>
        </w:rPr>
        <w:t>or “</w:t>
      </w:r>
      <w:r w:rsidR="007426DF">
        <w:rPr>
          <w:rFonts w:ascii="Times New Roman" w:hAnsi="Times New Roman" w:cs="Times New Roman"/>
          <w:b/>
          <w:bCs/>
        </w:rPr>
        <w:t>l</w:t>
      </w:r>
      <w:r w:rsidR="00215C75">
        <w:rPr>
          <w:rFonts w:ascii="Times New Roman" w:hAnsi="Times New Roman" w:cs="Times New Roman"/>
          <w:b/>
          <w:bCs/>
        </w:rPr>
        <w:t xml:space="preserve">ocal” </w:t>
      </w:r>
      <w:r w:rsidR="007426DF">
        <w:rPr>
          <w:rFonts w:ascii="Times New Roman" w:hAnsi="Times New Roman" w:cs="Times New Roman"/>
          <w:b/>
          <w:bCs/>
        </w:rPr>
        <w:t>p</w:t>
      </w:r>
      <w:r w:rsidR="00215C75">
        <w:rPr>
          <w:rFonts w:ascii="Times New Roman" w:hAnsi="Times New Roman" w:cs="Times New Roman"/>
          <w:b/>
          <w:bCs/>
        </w:rPr>
        <w:t xml:space="preserve">urposes.  </w:t>
      </w:r>
      <w:r>
        <w:rPr>
          <w:rFonts w:ascii="Times New Roman" w:hAnsi="Times New Roman" w:cs="Times New Roman"/>
          <w:b/>
          <w:bCs/>
        </w:rPr>
        <w:t xml:space="preserve"> </w:t>
      </w:r>
    </w:p>
    <w:p w14:paraId="441DB658" w14:textId="61A1858F" w:rsidR="006829A0" w:rsidRDefault="007426DF" w:rsidP="006829A0">
      <w:pPr>
        <w:pStyle w:val="Heading1"/>
        <w:tabs>
          <w:tab w:val="left" w:pos="720"/>
        </w:tabs>
        <w:spacing w:before="79" w:line="480" w:lineRule="auto"/>
        <w:ind w:left="0" w:firstLine="0"/>
        <w:jc w:val="both"/>
        <w:rPr>
          <w:b w:val="0"/>
          <w:bCs w:val="0"/>
        </w:rPr>
      </w:pPr>
      <w:r>
        <w:rPr>
          <w:b w:val="0"/>
          <w:bCs w:val="0"/>
        </w:rPr>
        <w:tab/>
      </w:r>
      <w:r w:rsidR="006829A0">
        <w:rPr>
          <w:b w:val="0"/>
          <w:bCs w:val="0"/>
        </w:rPr>
        <w:t>ERS</w:t>
      </w:r>
      <w:r w:rsidR="006829A0" w:rsidRPr="00893E63">
        <w:rPr>
          <w:b w:val="0"/>
          <w:bCs w:val="0"/>
        </w:rPr>
        <w:t xml:space="preserve"> is intended to be a system</w:t>
      </w:r>
      <w:r w:rsidR="006829A0">
        <w:rPr>
          <w:b w:val="0"/>
          <w:bCs w:val="0"/>
        </w:rPr>
        <w:t>-</w:t>
      </w:r>
      <w:r w:rsidR="006829A0" w:rsidRPr="00893E63">
        <w:rPr>
          <w:b w:val="0"/>
          <w:bCs w:val="0"/>
        </w:rPr>
        <w:t xml:space="preserve">wide capacity product and </w:t>
      </w:r>
      <w:r w:rsidR="006829A0">
        <w:rPr>
          <w:b w:val="0"/>
          <w:bCs w:val="0"/>
        </w:rPr>
        <w:t>should not</w:t>
      </w:r>
      <w:r w:rsidR="006829A0" w:rsidRPr="00893E63">
        <w:rPr>
          <w:b w:val="0"/>
          <w:bCs w:val="0"/>
        </w:rPr>
        <w:t xml:space="preserve"> be used “as necessary” on a locational basis.  Use of a local ERS</w:t>
      </w:r>
      <w:r w:rsidR="006829A0">
        <w:rPr>
          <w:b w:val="0"/>
          <w:bCs w:val="0"/>
        </w:rPr>
        <w:t>:</w:t>
      </w:r>
      <w:r w:rsidR="006829A0" w:rsidRPr="00893E63">
        <w:rPr>
          <w:b w:val="0"/>
          <w:bCs w:val="0"/>
        </w:rPr>
        <w:t xml:space="preserve"> </w:t>
      </w:r>
      <w:r w:rsidR="006829A0">
        <w:rPr>
          <w:b w:val="0"/>
          <w:bCs w:val="0"/>
        </w:rPr>
        <w:t>(</w:t>
      </w:r>
      <w:r w:rsidR="006829A0" w:rsidRPr="00893E63">
        <w:rPr>
          <w:b w:val="0"/>
          <w:bCs w:val="0"/>
        </w:rPr>
        <w:t>1) has significant operational challenges</w:t>
      </w:r>
      <w:r w:rsidR="006829A0">
        <w:rPr>
          <w:b w:val="0"/>
          <w:bCs w:val="0"/>
        </w:rPr>
        <w:t xml:space="preserve"> </w:t>
      </w:r>
      <w:r w:rsidR="006829A0">
        <w:rPr>
          <w:b w:val="0"/>
          <w:bCs w:val="0"/>
        </w:rPr>
        <w:lastRenderedPageBreak/>
        <w:t>and has therefore been rejected by the Commission in a prior ERS rulemaking</w:t>
      </w:r>
      <w:r>
        <w:rPr>
          <w:b w:val="0"/>
          <w:bCs w:val="0"/>
        </w:rPr>
        <w:t>;</w:t>
      </w:r>
      <w:r w:rsidR="006829A0">
        <w:rPr>
          <w:rStyle w:val="FootnoteReference"/>
          <w:b w:val="0"/>
          <w:bCs w:val="0"/>
        </w:rPr>
        <w:footnoteReference w:id="10"/>
      </w:r>
      <w:r w:rsidR="006829A0">
        <w:rPr>
          <w:b w:val="0"/>
          <w:bCs w:val="0"/>
        </w:rPr>
        <w:t xml:space="preserve"> and</w:t>
      </w:r>
      <w:r w:rsidR="006829A0" w:rsidRPr="00893E63">
        <w:rPr>
          <w:b w:val="0"/>
          <w:bCs w:val="0"/>
        </w:rPr>
        <w:t xml:space="preserve"> </w:t>
      </w:r>
      <w:r w:rsidR="006829A0">
        <w:rPr>
          <w:b w:val="0"/>
          <w:bCs w:val="0"/>
        </w:rPr>
        <w:t>(</w:t>
      </w:r>
      <w:r w:rsidR="006829A0" w:rsidRPr="00893E63">
        <w:rPr>
          <w:b w:val="0"/>
          <w:bCs w:val="0"/>
        </w:rPr>
        <w:t>2) undermines locational marginal prices.</w:t>
      </w:r>
      <w:r w:rsidR="006829A0">
        <w:rPr>
          <w:rStyle w:val="FootnoteReference"/>
          <w:b w:val="0"/>
          <w:bCs w:val="0"/>
        </w:rPr>
        <w:footnoteReference w:id="11"/>
      </w:r>
      <w:r w:rsidR="006829A0" w:rsidRPr="00893E63">
        <w:rPr>
          <w:b w:val="0"/>
          <w:bCs w:val="0"/>
        </w:rPr>
        <w:t> </w:t>
      </w:r>
      <w:r w:rsidR="006829A0">
        <w:rPr>
          <w:b w:val="0"/>
          <w:bCs w:val="0"/>
        </w:rPr>
        <w:t xml:space="preserve"> </w:t>
      </w:r>
      <w:r w:rsidR="006829A0" w:rsidRPr="00830EAC">
        <w:rPr>
          <w:b w:val="0"/>
          <w:bCs w:val="0"/>
        </w:rPr>
        <w:t>The Commission should preclude dispatch of ERS for non-emergency localized transmission issues as this</w:t>
      </w:r>
      <w:r w:rsidR="006829A0">
        <w:rPr>
          <w:b w:val="0"/>
          <w:bCs w:val="0"/>
        </w:rPr>
        <w:t xml:space="preserve"> </w:t>
      </w:r>
      <w:r w:rsidR="006829A0" w:rsidRPr="00830EAC">
        <w:rPr>
          <w:b w:val="0"/>
          <w:bCs w:val="0"/>
        </w:rPr>
        <w:t xml:space="preserve">stifles appropriate price formation consistent with the energy-only </w:t>
      </w:r>
      <w:r w:rsidR="006829A0">
        <w:rPr>
          <w:b w:val="0"/>
          <w:bCs w:val="0"/>
        </w:rPr>
        <w:t xml:space="preserve">nodal </w:t>
      </w:r>
      <w:r w:rsidR="006829A0" w:rsidRPr="00830EAC">
        <w:rPr>
          <w:b w:val="0"/>
          <w:bCs w:val="0"/>
        </w:rPr>
        <w:t>market.</w:t>
      </w:r>
      <w:r w:rsidR="006829A0">
        <w:t xml:space="preserve"> </w:t>
      </w:r>
      <w:r w:rsidR="006829A0" w:rsidRPr="00893E63">
        <w:rPr>
          <w:b w:val="0"/>
          <w:bCs w:val="0"/>
        </w:rPr>
        <w:t xml:space="preserve"> If the Commission</w:t>
      </w:r>
      <w:r w:rsidR="006829A0">
        <w:rPr>
          <w:b w:val="0"/>
          <w:bCs w:val="0"/>
        </w:rPr>
        <w:t xml:space="preserve"> finds it necessary</w:t>
      </w:r>
      <w:r w:rsidR="006829A0" w:rsidRPr="00893E63">
        <w:rPr>
          <w:b w:val="0"/>
          <w:bCs w:val="0"/>
        </w:rPr>
        <w:t xml:space="preserve"> to send better local price signals</w:t>
      </w:r>
      <w:r w:rsidR="006829A0">
        <w:rPr>
          <w:b w:val="0"/>
          <w:bCs w:val="0"/>
        </w:rPr>
        <w:t>,</w:t>
      </w:r>
      <w:r w:rsidR="006829A0" w:rsidRPr="00893E63">
        <w:rPr>
          <w:b w:val="0"/>
          <w:bCs w:val="0"/>
        </w:rPr>
        <w:t xml:space="preserve"> </w:t>
      </w:r>
      <w:r w:rsidR="006829A0">
        <w:rPr>
          <w:b w:val="0"/>
          <w:bCs w:val="0"/>
        </w:rPr>
        <w:t>it can better</w:t>
      </w:r>
      <w:r w:rsidR="006829A0" w:rsidRPr="00893E63">
        <w:rPr>
          <w:b w:val="0"/>
          <w:bCs w:val="0"/>
        </w:rPr>
        <w:t xml:space="preserve"> achieve</w:t>
      </w:r>
      <w:r w:rsidR="006829A0">
        <w:rPr>
          <w:b w:val="0"/>
          <w:bCs w:val="0"/>
        </w:rPr>
        <w:t xml:space="preserve"> this goal</w:t>
      </w:r>
      <w:r w:rsidR="006829A0" w:rsidRPr="00893E63">
        <w:rPr>
          <w:b w:val="0"/>
          <w:bCs w:val="0"/>
        </w:rPr>
        <w:t xml:space="preserve"> through non-discriminatory</w:t>
      </w:r>
      <w:r w:rsidR="006829A0">
        <w:rPr>
          <w:b w:val="0"/>
          <w:bCs w:val="0"/>
        </w:rPr>
        <w:t xml:space="preserve"> market</w:t>
      </w:r>
      <w:r w:rsidR="006829A0" w:rsidRPr="00893E63">
        <w:rPr>
          <w:b w:val="0"/>
          <w:bCs w:val="0"/>
        </w:rPr>
        <w:t xml:space="preserve"> reforms that</w:t>
      </w:r>
      <w:r w:rsidR="006829A0">
        <w:rPr>
          <w:b w:val="0"/>
          <w:bCs w:val="0"/>
        </w:rPr>
        <w:t xml:space="preserve"> are</w:t>
      </w:r>
      <w:r w:rsidR="006829A0" w:rsidRPr="00893E63">
        <w:rPr>
          <w:b w:val="0"/>
          <w:bCs w:val="0"/>
        </w:rPr>
        <w:t xml:space="preserve"> available to all resource types</w:t>
      </w:r>
      <w:r w:rsidR="006829A0">
        <w:rPr>
          <w:b w:val="0"/>
          <w:bCs w:val="0"/>
        </w:rPr>
        <w:t xml:space="preserve">. </w:t>
      </w:r>
      <w:r w:rsidR="004B039D">
        <w:rPr>
          <w:b w:val="0"/>
          <w:bCs w:val="0"/>
        </w:rPr>
        <w:t xml:space="preserve">Additionally, ERS deployments are out of market capacity procurements and must be accounted for to ensure minimal disruption to the </w:t>
      </w:r>
      <w:r w:rsidR="00770787">
        <w:rPr>
          <w:b w:val="0"/>
          <w:bCs w:val="0"/>
        </w:rPr>
        <w:t xml:space="preserve">wholesale market. </w:t>
      </w:r>
      <w:r w:rsidR="004B039D">
        <w:rPr>
          <w:b w:val="0"/>
          <w:bCs w:val="0"/>
        </w:rPr>
        <w:t xml:space="preserve"> </w:t>
      </w:r>
      <w:r w:rsidR="006829A0" w:rsidRPr="00830EAC">
        <w:rPr>
          <w:b w:val="0"/>
          <w:bCs w:val="0"/>
        </w:rPr>
        <w:t>Therefore, the following change to the</w:t>
      </w:r>
      <w:r w:rsidR="006829A0" w:rsidRPr="00830EAC">
        <w:rPr>
          <w:b w:val="0"/>
          <w:bCs w:val="0"/>
          <w:spacing w:val="-1"/>
        </w:rPr>
        <w:t xml:space="preserve"> </w:t>
      </w:r>
      <w:r w:rsidR="006829A0" w:rsidRPr="00830EAC">
        <w:rPr>
          <w:b w:val="0"/>
          <w:bCs w:val="0"/>
        </w:rPr>
        <w:t>proposed draft rule</w:t>
      </w:r>
      <w:r w:rsidR="006829A0" w:rsidRPr="00830EAC">
        <w:rPr>
          <w:b w:val="0"/>
          <w:bCs w:val="0"/>
          <w:spacing w:val="-1"/>
        </w:rPr>
        <w:t xml:space="preserve"> </w:t>
      </w:r>
      <w:r w:rsidR="006829A0" w:rsidRPr="00830EAC">
        <w:rPr>
          <w:b w:val="0"/>
          <w:bCs w:val="0"/>
        </w:rPr>
        <w:t>subsection (d)(1) are recommended</w:t>
      </w:r>
      <w:r w:rsidR="006829A0">
        <w:rPr>
          <w:b w:val="0"/>
          <w:bCs w:val="0"/>
        </w:rPr>
        <w:t>:</w:t>
      </w:r>
    </w:p>
    <w:p w14:paraId="42E91440" w14:textId="11CE7A93" w:rsidR="006829A0" w:rsidRPr="00412FF2" w:rsidRDefault="006829A0" w:rsidP="00457638">
      <w:pPr>
        <w:pStyle w:val="Heading1"/>
        <w:tabs>
          <w:tab w:val="left" w:pos="1200"/>
        </w:tabs>
        <w:spacing w:before="79"/>
        <w:ind w:left="1440" w:right="870" w:hanging="720"/>
        <w:jc w:val="both"/>
        <w:rPr>
          <w:b w:val="0"/>
          <w:bCs w:val="0"/>
          <w:color w:val="FF0000"/>
        </w:rPr>
      </w:pPr>
      <w:r>
        <w:rPr>
          <w:b w:val="0"/>
          <w:bCs w:val="0"/>
        </w:rPr>
        <w:t xml:space="preserve">(d) </w:t>
      </w:r>
      <w:r w:rsidR="0035218A">
        <w:rPr>
          <w:b w:val="0"/>
          <w:bCs w:val="0"/>
        </w:rPr>
        <w:tab/>
      </w:r>
      <w:r w:rsidR="0035218A">
        <w:rPr>
          <w:b w:val="0"/>
          <w:bCs w:val="0"/>
        </w:rPr>
        <w:tab/>
      </w:r>
      <w:r w:rsidRPr="00830EAC">
        <w:t>Deployment</w:t>
      </w:r>
      <w:r>
        <w:rPr>
          <w:b w:val="0"/>
          <w:bCs w:val="0"/>
        </w:rPr>
        <w:t>. ERCOT may deploy ERS resources as necessary, subject to the annual expenditure cap</w:t>
      </w:r>
      <w:r w:rsidRPr="00830EAC">
        <w:rPr>
          <w:b w:val="0"/>
          <w:bCs w:val="0"/>
          <w:color w:val="FF0000"/>
          <w:u w:val="single"/>
        </w:rPr>
        <w:t xml:space="preserve">, </w:t>
      </w:r>
      <w:r w:rsidRPr="00215C75">
        <w:rPr>
          <w:b w:val="0"/>
          <w:bCs w:val="0"/>
          <w:color w:val="FF0000"/>
          <w:u w:val="single"/>
        </w:rPr>
        <w:t>except that ERCOT may not deploy ERS resources to address local transmission constraints</w:t>
      </w:r>
      <w:r>
        <w:rPr>
          <w:b w:val="0"/>
          <w:bCs w:val="0"/>
        </w:rPr>
        <w:t>. ERCOT may create two ERS products. In one product, deployment of an ERS resource will be limited to a maximum of eight cumulative hours in an ERS contract period. In the second product, deployment of an ERS resource will be limited to a maximum of 24 cumulative hours. However, if an instruction causes the cumulative total ERS deployment time to exceed the maximum time within a contract period, each ERS resource must remain deployed until permitted by ERCOT procedures or by ERCOT instructions to return from deployment.</w:t>
      </w:r>
      <w:r w:rsidR="004B039D">
        <w:rPr>
          <w:b w:val="0"/>
          <w:bCs w:val="0"/>
        </w:rPr>
        <w:t xml:space="preserve">  </w:t>
      </w:r>
      <w:r w:rsidR="004B039D" w:rsidRPr="00412FF2">
        <w:rPr>
          <w:b w:val="0"/>
          <w:bCs w:val="0"/>
          <w:color w:val="FF0000"/>
          <w:u w:val="single"/>
        </w:rPr>
        <w:t>ERCOT must account for the impact of ERS deployment in wholesale energy prices</w:t>
      </w:r>
      <w:r w:rsidR="004B039D" w:rsidRPr="00412FF2">
        <w:rPr>
          <w:b w:val="0"/>
          <w:bCs w:val="0"/>
          <w:color w:val="FF0000"/>
        </w:rPr>
        <w:t xml:space="preserve">.  </w:t>
      </w:r>
    </w:p>
    <w:p w14:paraId="026C51D2" w14:textId="77777777" w:rsidR="006829A0" w:rsidRPr="006829A0" w:rsidRDefault="006829A0" w:rsidP="00FC0D4D">
      <w:pPr>
        <w:pStyle w:val="ListParagraph"/>
        <w:spacing w:after="240"/>
        <w:jc w:val="both"/>
        <w:rPr>
          <w:rFonts w:ascii="Times New Roman" w:hAnsi="Times New Roman" w:cs="Times New Roman"/>
          <w:b/>
        </w:rPr>
      </w:pPr>
    </w:p>
    <w:p w14:paraId="01BC7EE0" w14:textId="217B66FB" w:rsidR="00770787" w:rsidRDefault="00770787" w:rsidP="00FC0D4D">
      <w:pPr>
        <w:pStyle w:val="ListParagraph"/>
        <w:spacing w:after="240"/>
        <w:jc w:val="both"/>
        <w:rPr>
          <w:rFonts w:ascii="Times New Roman" w:hAnsi="Times New Roman" w:cs="Times New Roman"/>
          <w:b/>
        </w:rPr>
      </w:pPr>
    </w:p>
    <w:p w14:paraId="162A827A" w14:textId="77777777" w:rsidR="00770787" w:rsidRDefault="00770787" w:rsidP="00FC0D4D">
      <w:pPr>
        <w:pStyle w:val="ListParagraph"/>
        <w:spacing w:after="240"/>
        <w:jc w:val="both"/>
        <w:rPr>
          <w:rFonts w:ascii="Times New Roman" w:hAnsi="Times New Roman" w:cs="Times New Roman"/>
          <w:b/>
        </w:rPr>
      </w:pPr>
    </w:p>
    <w:p w14:paraId="7C556ED9" w14:textId="6BD72DAC" w:rsidR="00215C75" w:rsidRDefault="00215C75" w:rsidP="006829A0">
      <w:pPr>
        <w:pStyle w:val="ListParagraph"/>
        <w:numPr>
          <w:ilvl w:val="0"/>
          <w:numId w:val="33"/>
        </w:numPr>
        <w:spacing w:after="240"/>
        <w:jc w:val="both"/>
        <w:rPr>
          <w:rFonts w:ascii="Times New Roman" w:hAnsi="Times New Roman" w:cs="Times New Roman"/>
          <w:b/>
        </w:rPr>
      </w:pPr>
      <w:r>
        <w:rPr>
          <w:rFonts w:ascii="Times New Roman" w:hAnsi="Times New Roman" w:cs="Times New Roman"/>
          <w:b/>
        </w:rPr>
        <w:t xml:space="preserve">Utility </w:t>
      </w:r>
      <w:r w:rsidR="007426DF">
        <w:rPr>
          <w:rFonts w:ascii="Times New Roman" w:hAnsi="Times New Roman" w:cs="Times New Roman"/>
          <w:b/>
        </w:rPr>
        <w:t>l</w:t>
      </w:r>
      <w:r>
        <w:rPr>
          <w:rFonts w:ascii="Times New Roman" w:hAnsi="Times New Roman" w:cs="Times New Roman"/>
          <w:b/>
        </w:rPr>
        <w:t xml:space="preserve">oad </w:t>
      </w:r>
      <w:r w:rsidR="007426DF">
        <w:rPr>
          <w:rFonts w:ascii="Times New Roman" w:hAnsi="Times New Roman" w:cs="Times New Roman"/>
          <w:b/>
        </w:rPr>
        <w:t>m</w:t>
      </w:r>
      <w:r>
        <w:rPr>
          <w:rFonts w:ascii="Times New Roman" w:hAnsi="Times New Roman" w:cs="Times New Roman"/>
          <w:b/>
        </w:rPr>
        <w:t xml:space="preserve">anagement </w:t>
      </w:r>
      <w:r w:rsidR="007426DF">
        <w:rPr>
          <w:rFonts w:ascii="Times New Roman" w:hAnsi="Times New Roman" w:cs="Times New Roman"/>
          <w:b/>
        </w:rPr>
        <w:t>p</w:t>
      </w:r>
      <w:r>
        <w:rPr>
          <w:rFonts w:ascii="Times New Roman" w:hAnsi="Times New Roman" w:cs="Times New Roman"/>
          <w:b/>
        </w:rPr>
        <w:t xml:space="preserve">rograms </w:t>
      </w:r>
      <w:r w:rsidR="007426DF">
        <w:rPr>
          <w:rFonts w:ascii="Times New Roman" w:hAnsi="Times New Roman" w:cs="Times New Roman"/>
          <w:b/>
        </w:rPr>
        <w:t>c</w:t>
      </w:r>
      <w:r>
        <w:rPr>
          <w:rFonts w:ascii="Times New Roman" w:hAnsi="Times New Roman" w:cs="Times New Roman"/>
          <w:b/>
        </w:rPr>
        <w:t xml:space="preserve">ompete with ERS.  A </w:t>
      </w:r>
      <w:r w:rsidR="007426DF">
        <w:rPr>
          <w:rFonts w:ascii="Times New Roman" w:hAnsi="Times New Roman" w:cs="Times New Roman"/>
          <w:b/>
        </w:rPr>
        <w:t>c</w:t>
      </w:r>
      <w:r>
        <w:rPr>
          <w:rFonts w:ascii="Times New Roman" w:hAnsi="Times New Roman" w:cs="Times New Roman"/>
          <w:b/>
        </w:rPr>
        <w:t xml:space="preserve">ost </w:t>
      </w:r>
      <w:r w:rsidR="007426DF">
        <w:rPr>
          <w:rFonts w:ascii="Times New Roman" w:hAnsi="Times New Roman" w:cs="Times New Roman"/>
          <w:b/>
        </w:rPr>
        <w:t>e</w:t>
      </w:r>
      <w:r>
        <w:rPr>
          <w:rFonts w:ascii="Times New Roman" w:hAnsi="Times New Roman" w:cs="Times New Roman"/>
          <w:b/>
        </w:rPr>
        <w:t xml:space="preserve">ffectiveness </w:t>
      </w:r>
      <w:r w:rsidR="007426DF">
        <w:rPr>
          <w:rFonts w:ascii="Times New Roman" w:hAnsi="Times New Roman" w:cs="Times New Roman"/>
          <w:b/>
        </w:rPr>
        <w:t>c</w:t>
      </w:r>
      <w:r>
        <w:rPr>
          <w:rFonts w:ascii="Times New Roman" w:hAnsi="Times New Roman" w:cs="Times New Roman"/>
          <w:b/>
        </w:rPr>
        <w:t xml:space="preserve">omparison </w:t>
      </w:r>
      <w:r w:rsidR="007426DF">
        <w:rPr>
          <w:rFonts w:ascii="Times New Roman" w:hAnsi="Times New Roman" w:cs="Times New Roman"/>
          <w:b/>
        </w:rPr>
        <w:t>s</w:t>
      </w:r>
      <w:r>
        <w:rPr>
          <w:rFonts w:ascii="Times New Roman" w:hAnsi="Times New Roman" w:cs="Times New Roman"/>
          <w:b/>
        </w:rPr>
        <w:t xml:space="preserve">hould </w:t>
      </w:r>
      <w:r w:rsidR="007426DF">
        <w:rPr>
          <w:rFonts w:ascii="Times New Roman" w:hAnsi="Times New Roman" w:cs="Times New Roman"/>
          <w:b/>
        </w:rPr>
        <w:t>e</w:t>
      </w:r>
      <w:r>
        <w:rPr>
          <w:rFonts w:ascii="Times New Roman" w:hAnsi="Times New Roman" w:cs="Times New Roman"/>
          <w:b/>
        </w:rPr>
        <w:t>xist.</w:t>
      </w:r>
    </w:p>
    <w:p w14:paraId="384B40B8" w14:textId="514B9D09" w:rsidR="00215C75" w:rsidRDefault="00215C75" w:rsidP="00FC0D4D">
      <w:pPr>
        <w:pStyle w:val="BodyText"/>
        <w:spacing w:before="79" w:line="480" w:lineRule="auto"/>
        <w:ind w:right="115" w:firstLine="360"/>
        <w:jc w:val="both"/>
      </w:pPr>
      <w:r>
        <w:t xml:space="preserve">As an emergency reliability product, ERS serves the same purpose as the existing utility load </w:t>
      </w:r>
      <w:r>
        <w:lastRenderedPageBreak/>
        <w:t xml:space="preserve">management programs. A key difference between the two is the method of cost recovery for each. Utility load management program costs are evaluated for prudence and then approved by the Commission in </w:t>
      </w:r>
      <w:r w:rsidR="007426DF">
        <w:t>energy efficiency</w:t>
      </w:r>
      <w:r>
        <w:t xml:space="preserve"> cost recovery factor (“</w:t>
      </w:r>
      <w:r w:rsidR="007426DF">
        <w:t>EE</w:t>
      </w:r>
      <w:r>
        <w:t>CRF”) proceedings. The Commission should have an opportunity to analyze the effectiveness in improving or preserving reliability during emergency events as between ERS and the load management programs to evaluate the need for further reforms. Accordingly, the Commission should receive reports on these load management programs similar to those contemplated in subsection (g). Therefore, the following addition to the draft language in subsection (g) is recommended:</w:t>
      </w:r>
    </w:p>
    <w:p w14:paraId="398EDB8A" w14:textId="0EF53407" w:rsidR="000A7927" w:rsidRDefault="00215C75">
      <w:pPr>
        <w:pStyle w:val="BodyText"/>
        <w:spacing w:before="79" w:after="240"/>
        <w:ind w:left="720" w:right="960"/>
        <w:jc w:val="both"/>
      </w:pPr>
      <w:r>
        <w:t xml:space="preserve">(g) </w:t>
      </w:r>
      <w:r w:rsidR="0035218A">
        <w:tab/>
      </w:r>
      <w:r>
        <w:rPr>
          <w:b/>
          <w:bCs/>
        </w:rPr>
        <w:t>Reporting.</w:t>
      </w:r>
      <w:r>
        <w:t xml:space="preserve"> </w:t>
      </w:r>
    </w:p>
    <w:p w14:paraId="41901CCD" w14:textId="74A5D130" w:rsidR="000A7927" w:rsidRDefault="00215C75" w:rsidP="00457638">
      <w:pPr>
        <w:pStyle w:val="BodyText"/>
        <w:spacing w:before="79" w:after="240"/>
        <w:ind w:left="2160" w:right="960" w:hanging="720"/>
        <w:jc w:val="both"/>
      </w:pPr>
      <w:r>
        <w:rPr>
          <w:color w:val="FF0000"/>
          <w:u w:val="single"/>
        </w:rPr>
        <w:t xml:space="preserve">(1) </w:t>
      </w:r>
      <w:r w:rsidR="0035218A">
        <w:rPr>
          <w:color w:val="FF0000"/>
          <w:u w:val="single"/>
        </w:rPr>
        <w:tab/>
      </w:r>
      <w:r>
        <w:t xml:space="preserve">Prior to the start of an ERS contract period, ERCOT must report publicly the number of megawatts (MW) procured per ERS time period, the number and type of ERS resources providing the service, and the projected total cost of the service for that ERS contract period. ERCOT must review the effectiveness and benefits of ERS and report its findings to the commission annually by April 15 of each calendar year. The report must contain, at a minimum, the number of MW procured in each period, the total dollar amount spent, the number and level of EEA events, and the number and duration of deployments. </w:t>
      </w:r>
    </w:p>
    <w:p w14:paraId="39FEA198" w14:textId="7C426120" w:rsidR="00215C75" w:rsidRPr="00E84456" w:rsidRDefault="00215C75" w:rsidP="00457638">
      <w:pPr>
        <w:pStyle w:val="BodyText"/>
        <w:spacing w:before="79" w:after="240"/>
        <w:ind w:left="2160" w:right="960" w:hanging="720"/>
        <w:jc w:val="both"/>
        <w:rPr>
          <w:color w:val="FF0000"/>
          <w:u w:val="single"/>
        </w:rPr>
      </w:pPr>
      <w:r>
        <w:rPr>
          <w:color w:val="FF0000"/>
          <w:u w:val="single"/>
        </w:rPr>
        <w:t xml:space="preserve">(2) </w:t>
      </w:r>
      <w:r w:rsidR="0035218A">
        <w:rPr>
          <w:color w:val="FF0000"/>
          <w:u w:val="single"/>
        </w:rPr>
        <w:tab/>
      </w:r>
      <w:r>
        <w:rPr>
          <w:color w:val="FF0000"/>
          <w:u w:val="single"/>
        </w:rPr>
        <w:t xml:space="preserve">By April 15 of each year, ERCOT must report, per electric utility, the number of MW and corresponding total dollar amounts saved by load management programs during EEA events each calendar year for utilities with such programs approved by the Commission in </w:t>
      </w:r>
      <w:r w:rsidR="000A7927">
        <w:rPr>
          <w:color w:val="FF0000"/>
          <w:u w:val="single"/>
        </w:rPr>
        <w:t>Energy Efficiency</w:t>
      </w:r>
      <w:r>
        <w:rPr>
          <w:color w:val="FF0000"/>
          <w:u w:val="single"/>
        </w:rPr>
        <w:t xml:space="preserve"> Cost Recovery Factor proceedings. Utilities shall provide any information necessary to ERCOT to assist in this analysis.  </w:t>
      </w:r>
    </w:p>
    <w:p w14:paraId="00E8B492" w14:textId="77777777" w:rsidR="00215C75" w:rsidRPr="00FC0D4D" w:rsidRDefault="00215C75" w:rsidP="007D6A03">
      <w:pPr>
        <w:spacing w:after="240"/>
        <w:ind w:left="720"/>
        <w:jc w:val="both"/>
        <w:rPr>
          <w:rFonts w:ascii="Times New Roman" w:hAnsi="Times New Roman" w:cs="Times New Roman"/>
          <w:b/>
        </w:rPr>
      </w:pPr>
    </w:p>
    <w:p w14:paraId="5122E290" w14:textId="553E5953" w:rsidR="00242B62" w:rsidRPr="00C36738" w:rsidRDefault="0046186E" w:rsidP="00E51397">
      <w:pPr>
        <w:spacing w:line="480" w:lineRule="auto"/>
        <w:jc w:val="center"/>
        <w:rPr>
          <w:rFonts w:ascii="Times New Roman" w:hAnsi="Times New Roman" w:cs="Times New Roman"/>
          <w:b/>
          <w:bCs/>
        </w:rPr>
      </w:pPr>
      <w:r>
        <w:rPr>
          <w:rFonts w:ascii="Times New Roman" w:hAnsi="Times New Roman" w:cs="Times New Roman"/>
          <w:b/>
          <w:bCs/>
        </w:rPr>
        <w:t xml:space="preserve">III. </w:t>
      </w:r>
      <w:r w:rsidR="00242B62" w:rsidRPr="00C36738">
        <w:rPr>
          <w:rFonts w:ascii="Times New Roman" w:hAnsi="Times New Roman" w:cs="Times New Roman"/>
          <w:b/>
          <w:bCs/>
        </w:rPr>
        <w:t>Conclusion</w:t>
      </w:r>
    </w:p>
    <w:p w14:paraId="133B8B3A" w14:textId="137591E4" w:rsidR="00994270" w:rsidRDefault="00242B62" w:rsidP="00994270">
      <w:pPr>
        <w:spacing w:line="360" w:lineRule="auto"/>
        <w:ind w:firstLine="720"/>
        <w:jc w:val="both"/>
        <w:rPr>
          <w:rFonts w:ascii="Times New Roman" w:hAnsi="Times New Roman" w:cs="Times New Roman"/>
        </w:rPr>
      </w:pPr>
      <w:r w:rsidRPr="00C36738">
        <w:rPr>
          <w:rFonts w:ascii="Times New Roman" w:hAnsi="Times New Roman" w:cs="Times New Roman"/>
        </w:rPr>
        <w:tab/>
      </w:r>
      <w:r w:rsidR="006141FF">
        <w:rPr>
          <w:rFonts w:ascii="Times New Roman" w:hAnsi="Times New Roman" w:cs="Times New Roman"/>
        </w:rPr>
        <w:t>TCPA</w:t>
      </w:r>
      <w:r w:rsidRPr="00C36738">
        <w:rPr>
          <w:rFonts w:ascii="Times New Roman" w:hAnsi="Times New Roman" w:cs="Times New Roman"/>
        </w:rPr>
        <w:t xml:space="preserve"> appreciates the Commission’s </w:t>
      </w:r>
      <w:r w:rsidR="00584142">
        <w:rPr>
          <w:rFonts w:ascii="Times New Roman" w:hAnsi="Times New Roman" w:cs="Times New Roman"/>
        </w:rPr>
        <w:t>consideration of these comments</w:t>
      </w:r>
      <w:r w:rsidR="00306E68">
        <w:rPr>
          <w:rFonts w:ascii="Times New Roman" w:hAnsi="Times New Roman" w:cs="Times New Roman"/>
        </w:rPr>
        <w:t xml:space="preserve"> and looks forward to working with other interested parties in this rulemaking</w:t>
      </w:r>
      <w:r w:rsidR="00B844B7" w:rsidRPr="00C36738">
        <w:rPr>
          <w:rFonts w:ascii="Times New Roman" w:hAnsi="Times New Roman" w:cs="Times New Roman"/>
        </w:rPr>
        <w:t>.</w:t>
      </w:r>
    </w:p>
    <w:p w14:paraId="3191B59A" w14:textId="19418858" w:rsidR="00242B62" w:rsidRDefault="00242B62" w:rsidP="00E51397">
      <w:pPr>
        <w:spacing w:line="480" w:lineRule="auto"/>
        <w:jc w:val="both"/>
        <w:rPr>
          <w:rFonts w:ascii="Times New Roman" w:hAnsi="Times New Roman" w:cs="Times New Roman"/>
        </w:rPr>
      </w:pPr>
    </w:p>
    <w:p w14:paraId="021848AD" w14:textId="77777777" w:rsidR="0035218A" w:rsidRPr="00C36738" w:rsidRDefault="0035218A" w:rsidP="00E51397">
      <w:pPr>
        <w:spacing w:line="480" w:lineRule="auto"/>
        <w:jc w:val="both"/>
        <w:rPr>
          <w:rFonts w:ascii="Times New Roman" w:hAnsi="Times New Roman" w:cs="Times New Roman"/>
        </w:rPr>
      </w:pPr>
    </w:p>
    <w:p w14:paraId="28E325AC" w14:textId="062E1947"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lastRenderedPageBreak/>
        <w:t>Dated:</w:t>
      </w:r>
      <w:r w:rsidR="00B0163A" w:rsidRPr="00C36738">
        <w:rPr>
          <w:rFonts w:ascii="Times New Roman" w:hAnsi="Times New Roman" w:cs="Times New Roman"/>
        </w:rPr>
        <w:t xml:space="preserve"> </w:t>
      </w:r>
      <w:r w:rsidR="00306E68">
        <w:rPr>
          <w:rFonts w:ascii="Times New Roman" w:hAnsi="Times New Roman" w:cs="Times New Roman"/>
        </w:rPr>
        <w:t>May</w:t>
      </w:r>
      <w:r w:rsidR="00584142">
        <w:rPr>
          <w:rFonts w:ascii="Times New Roman" w:hAnsi="Times New Roman" w:cs="Times New Roman"/>
        </w:rPr>
        <w:t xml:space="preserve"> 18</w:t>
      </w:r>
      <w:r w:rsidRPr="00C36738">
        <w:rPr>
          <w:rFonts w:ascii="Times New Roman" w:hAnsi="Times New Roman" w:cs="Times New Roman"/>
        </w:rPr>
        <w:t>, 202</w:t>
      </w:r>
      <w:r w:rsidR="00FC4EA0">
        <w:rPr>
          <w:rFonts w:ascii="Times New Roman" w:hAnsi="Times New Roman" w:cs="Times New Roman"/>
        </w:rPr>
        <w:t>2</w:t>
      </w:r>
    </w:p>
    <w:p w14:paraId="3D4D0B14" w14:textId="4FAED6FB" w:rsidR="00F30BE0" w:rsidRPr="00C36738" w:rsidRDefault="00F30BE0" w:rsidP="00E51397">
      <w:pPr>
        <w:spacing w:line="480" w:lineRule="auto"/>
        <w:jc w:val="both"/>
        <w:rPr>
          <w:rFonts w:ascii="Times New Roman" w:hAnsi="Times New Roman" w:cs="Times New Roman"/>
        </w:rPr>
      </w:pPr>
    </w:p>
    <w:p w14:paraId="08306740" w14:textId="77777777" w:rsidR="00651509"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p>
    <w:p w14:paraId="017A376D" w14:textId="39799405"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t>Respectfully submitted,</w:t>
      </w:r>
    </w:p>
    <w:p w14:paraId="7A323786" w14:textId="55901607" w:rsidR="0093796B" w:rsidRPr="0048370E" w:rsidRDefault="0093796B" w:rsidP="0093796B">
      <w:pPr>
        <w:tabs>
          <w:tab w:val="left" w:pos="4320"/>
        </w:tabs>
        <w:ind w:right="-540"/>
        <w:rPr>
          <w:rFonts w:eastAsia="Times New Roman"/>
        </w:rPr>
      </w:pPr>
      <w:r>
        <w:rPr>
          <w:rFonts w:eastAsia="Times New Roman"/>
        </w:rPr>
        <w:tab/>
      </w:r>
      <w:r>
        <w:rPr>
          <w:rFonts w:eastAsia="Times New Roman"/>
          <w:noProof/>
          <w:lang w:eastAsia="en-US"/>
        </w:rPr>
        <w:drawing>
          <wp:inline distT="0" distB="0" distL="0" distR="0" wp14:anchorId="2225DE69" wp14:editId="21D223C9">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stretch>
                      <a:fillRect/>
                    </a:stretch>
                  </pic:blipFill>
                  <pic:spPr>
                    <a:xfrm>
                      <a:off x="0" y="0"/>
                      <a:ext cx="1943645" cy="510271"/>
                    </a:xfrm>
                    <a:prstGeom prst="rect">
                      <a:avLst/>
                    </a:prstGeom>
                  </pic:spPr>
                </pic:pic>
              </a:graphicData>
            </a:graphic>
          </wp:inline>
        </w:drawing>
      </w:r>
    </w:p>
    <w:p w14:paraId="73891067" w14:textId="13A9EF40" w:rsidR="0093796B" w:rsidRDefault="0093796B" w:rsidP="0093796B">
      <w:pPr>
        <w:outlineLvl w:val="0"/>
        <w:rPr>
          <w:rFonts w:eastAsia="Times New Roman"/>
        </w:rPr>
      </w:pP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Pr>
          <w:rFonts w:eastAsia="Times New Roman"/>
        </w:rPr>
        <w:tab/>
        <w:t>Michele Richmond</w:t>
      </w:r>
    </w:p>
    <w:p w14:paraId="6C474204" w14:textId="794C2285"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Executive Director</w:t>
      </w:r>
    </w:p>
    <w:p w14:paraId="04BC8460" w14:textId="78D531F6"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Texas Competitive Power Advocates (TCPA)</w:t>
      </w:r>
    </w:p>
    <w:p w14:paraId="4F2F0029" w14:textId="25EAAF11" w:rsidR="0093796B" w:rsidRPr="00A87133"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7133">
        <w:rPr>
          <w:rFonts w:eastAsia="Times New Roman"/>
        </w:rPr>
        <w:t>(512) 653-7447</w:t>
      </w:r>
    </w:p>
    <w:p w14:paraId="592601F4" w14:textId="59B82B8A" w:rsidR="0093796B" w:rsidRPr="00A87133" w:rsidRDefault="0093796B" w:rsidP="0093796B">
      <w:pPr>
        <w:spacing w:line="360" w:lineRule="auto"/>
        <w:rPr>
          <w:rStyle w:val="Hyperlink"/>
          <w:rFonts w:eastAsia="Times New Roman"/>
        </w:rPr>
      </w:pP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r w:rsidR="00855095">
        <w:rPr>
          <w:rFonts w:eastAsia="Times New Roman"/>
        </w:rPr>
        <w:t xml:space="preserve">              </w:t>
      </w:r>
      <w:hyperlink r:id="rId11" w:history="1">
        <w:r w:rsidR="00855095" w:rsidRPr="00B25F1A">
          <w:rPr>
            <w:rStyle w:val="Hyperlink"/>
            <w:rFonts w:eastAsia="Times New Roman"/>
          </w:rPr>
          <w:t>michele@competitivepower.org</w:t>
        </w:r>
      </w:hyperlink>
    </w:p>
    <w:p w14:paraId="51234D93" w14:textId="77777777" w:rsidR="0011418A" w:rsidRDefault="00F30BE0" w:rsidP="00D836CA">
      <w:pPr>
        <w:spacing w:line="480" w:lineRule="auto"/>
        <w:jc w:val="both"/>
        <w:rPr>
          <w:rFonts w:ascii="Times New Roman" w:hAnsi="Times New Roman" w:cs="Times New Roman"/>
        </w:rPr>
      </w:pPr>
      <w:r w:rsidRPr="00A87133">
        <w:rPr>
          <w:rFonts w:ascii="Times New Roman" w:hAnsi="Times New Roman" w:cs="Times New Roman"/>
        </w:rPr>
        <w:tab/>
      </w:r>
      <w:r w:rsidRPr="00A87133">
        <w:rPr>
          <w:rFonts w:ascii="Times New Roman" w:hAnsi="Times New Roman" w:cs="Times New Roman"/>
        </w:rPr>
        <w:tab/>
      </w:r>
      <w:r w:rsidRPr="00A87133">
        <w:rPr>
          <w:rFonts w:ascii="Times New Roman" w:hAnsi="Times New Roman" w:cs="Times New Roman"/>
        </w:rPr>
        <w:tab/>
      </w:r>
      <w:r w:rsidRPr="00A87133">
        <w:rPr>
          <w:rFonts w:ascii="Times New Roman" w:hAnsi="Times New Roman" w:cs="Times New Roman"/>
        </w:rPr>
        <w:tab/>
      </w:r>
    </w:p>
    <w:p w14:paraId="5EF14914" w14:textId="77777777" w:rsidR="0011418A" w:rsidRDefault="0011418A">
      <w:pPr>
        <w:rPr>
          <w:rFonts w:ascii="Times New Roman" w:hAnsi="Times New Roman" w:cs="Times New Roman"/>
        </w:rPr>
      </w:pPr>
      <w:r>
        <w:rPr>
          <w:rFonts w:ascii="Times New Roman" w:hAnsi="Times New Roman" w:cs="Times New Roman"/>
        </w:rPr>
        <w:br w:type="page"/>
      </w:r>
    </w:p>
    <w:p w14:paraId="5F7623B6" w14:textId="26B7862B" w:rsidR="0088086C" w:rsidRPr="00A87133" w:rsidRDefault="0088086C" w:rsidP="00855095">
      <w:pPr>
        <w:spacing w:line="480" w:lineRule="auto"/>
        <w:jc w:val="both"/>
        <w:rPr>
          <w:rFonts w:ascii="Times New Roman" w:hAnsi="Times New Roman" w:cs="Times New Roman"/>
        </w:rPr>
      </w:pPr>
    </w:p>
    <w:p w14:paraId="3678CE65" w14:textId="54213339" w:rsidR="0088086C" w:rsidRPr="00A87133" w:rsidRDefault="0088086C" w:rsidP="0088086C">
      <w:pPr>
        <w:jc w:val="center"/>
        <w:rPr>
          <w:rFonts w:ascii="Times New Roman" w:hAnsi="Times New Roman" w:cs="Times New Roman"/>
        </w:rPr>
      </w:pPr>
      <w:r w:rsidRPr="00A87133">
        <w:rPr>
          <w:rFonts w:ascii="Times New Roman" w:hAnsi="Times New Roman" w:cs="Times New Roman"/>
          <w:b/>
          <w:bCs/>
        </w:rPr>
        <w:t xml:space="preserve">PROJECT NO. </w:t>
      </w:r>
      <w:r w:rsidR="005D766C">
        <w:rPr>
          <w:rFonts w:ascii="Times New Roman" w:hAnsi="Times New Roman" w:cs="Times New Roman"/>
          <w:b/>
          <w:bCs/>
        </w:rPr>
        <w:t>53493</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88086C" w:rsidRPr="00C36738" w14:paraId="70706D04" w14:textId="77777777" w:rsidTr="00D521E0">
        <w:trPr>
          <w:trHeight w:val="1341"/>
        </w:trPr>
        <w:tc>
          <w:tcPr>
            <w:tcW w:w="4230" w:type="dxa"/>
            <w:vAlign w:val="center"/>
          </w:tcPr>
          <w:p w14:paraId="5392C471" w14:textId="4E564F49" w:rsidR="0088086C" w:rsidRPr="00C36738" w:rsidRDefault="005D766C" w:rsidP="00FC0D4D">
            <w:pPr>
              <w:jc w:val="center"/>
              <w:rPr>
                <w:rFonts w:ascii="Times New Roman" w:hAnsi="Times New Roman" w:cs="Times New Roman"/>
                <w:b/>
                <w:bCs/>
              </w:rPr>
            </w:pPr>
            <w:r>
              <w:rPr>
                <w:rFonts w:ascii="Times New Roman" w:hAnsi="Times New Roman" w:cs="Times New Roman"/>
                <w:b/>
                <w:bCs/>
              </w:rPr>
              <w:t>EMERGENCY RESPONSE SERVICE</w:t>
            </w:r>
          </w:p>
        </w:tc>
        <w:tc>
          <w:tcPr>
            <w:tcW w:w="720" w:type="dxa"/>
            <w:vAlign w:val="center"/>
          </w:tcPr>
          <w:p w14:paraId="40871564"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194C7E37"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2692B223"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64C8BE5B"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BEFORE THE</w:t>
            </w:r>
          </w:p>
          <w:p w14:paraId="043B9A81"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PUBLIC UTILITY COMMISSION</w:t>
            </w:r>
          </w:p>
          <w:p w14:paraId="7DA2FA7C"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OF TEXAS</w:t>
            </w:r>
          </w:p>
        </w:tc>
      </w:tr>
    </w:tbl>
    <w:p w14:paraId="0E3DB7C8" w14:textId="602C83F3" w:rsidR="0088086C" w:rsidRPr="00C36738" w:rsidRDefault="0088086C" w:rsidP="00FC0D4D">
      <w:pPr>
        <w:ind w:hanging="450"/>
        <w:rPr>
          <w:rFonts w:ascii="Times New Roman" w:hAnsi="Times New Roman" w:cs="Times New Roman"/>
          <w:u w:val="single"/>
        </w:rPr>
      </w:pPr>
      <w:r w:rsidRPr="00C36738">
        <w:rPr>
          <w:rFonts w:ascii="Times New Roman" w:hAnsi="Times New Roman" w:cs="Times New Roman"/>
          <w:b/>
          <w:bCs/>
        </w:rPr>
        <w:tab/>
      </w:r>
    </w:p>
    <w:p w14:paraId="70C03F55" w14:textId="6DC6A16B" w:rsidR="0088086C" w:rsidRDefault="0088086C" w:rsidP="0088086C">
      <w:pPr>
        <w:jc w:val="center"/>
        <w:rPr>
          <w:rFonts w:ascii="Times New Roman" w:hAnsi="Times New Roman" w:cs="Times New Roman"/>
          <w:b/>
          <w:bCs/>
          <w:u w:val="single"/>
        </w:rPr>
      </w:pPr>
      <w:r>
        <w:rPr>
          <w:rFonts w:ascii="Times New Roman" w:hAnsi="Times New Roman" w:cs="Times New Roman"/>
          <w:b/>
          <w:bCs/>
          <w:u w:val="single"/>
        </w:rPr>
        <w:t>EXECUTIVE SUMMARY</w:t>
      </w:r>
      <w:r w:rsidRPr="00C36738">
        <w:rPr>
          <w:rFonts w:ascii="Times New Roman" w:hAnsi="Times New Roman" w:cs="Times New Roman"/>
          <w:b/>
          <w:bCs/>
          <w:u w:val="single"/>
        </w:rPr>
        <w:t xml:space="preserve"> OF </w:t>
      </w:r>
      <w:r w:rsidR="006141FF">
        <w:rPr>
          <w:rFonts w:ascii="Times New Roman" w:hAnsi="Times New Roman" w:cs="Times New Roman"/>
          <w:b/>
          <w:bCs/>
          <w:u w:val="single"/>
        </w:rPr>
        <w:t>TCPA</w:t>
      </w:r>
      <w:r>
        <w:rPr>
          <w:rFonts w:ascii="Times New Roman" w:hAnsi="Times New Roman" w:cs="Times New Roman"/>
          <w:b/>
          <w:bCs/>
          <w:u w:val="single"/>
        </w:rPr>
        <w:t xml:space="preserve"> COMMENTS</w:t>
      </w:r>
    </w:p>
    <w:p w14:paraId="782B75E3" w14:textId="77777777" w:rsidR="00E61864" w:rsidRPr="00C36738" w:rsidRDefault="00E61864" w:rsidP="0088086C">
      <w:pPr>
        <w:jc w:val="center"/>
        <w:rPr>
          <w:rFonts w:ascii="Times New Roman" w:hAnsi="Times New Roman" w:cs="Times New Roman"/>
          <w:b/>
          <w:bCs/>
          <w:u w:val="single"/>
        </w:rPr>
      </w:pPr>
    </w:p>
    <w:p w14:paraId="28F59714" w14:textId="25CC9EC3" w:rsidR="00306E68" w:rsidRPr="00306E68" w:rsidRDefault="00306E68" w:rsidP="00306E68">
      <w:pPr>
        <w:spacing w:after="240"/>
        <w:jc w:val="both"/>
        <w:rPr>
          <w:rFonts w:ascii="Times New Roman" w:hAnsi="Times New Roman" w:cs="Times New Roman"/>
        </w:rPr>
      </w:pPr>
      <w:r w:rsidRPr="00306E68">
        <w:rPr>
          <w:rFonts w:ascii="Times New Roman" w:eastAsia="Times New Roman" w:hAnsi="Times New Roman" w:cs="Times New Roman"/>
          <w:b/>
          <w:szCs w:val="20"/>
        </w:rPr>
        <w:t>Comments in Response to Staff Question</w:t>
      </w:r>
      <w:r w:rsidRPr="00306E68">
        <w:rPr>
          <w:rFonts w:ascii="Times New Roman" w:eastAsia="Times New Roman" w:hAnsi="Times New Roman" w:cs="Times New Roman"/>
          <w:b/>
          <w:bCs/>
          <w:szCs w:val="20"/>
        </w:rPr>
        <w:t xml:space="preserve"> </w:t>
      </w:r>
    </w:p>
    <w:p w14:paraId="2600BBCC" w14:textId="1BA8C8D2" w:rsidR="00215C75" w:rsidRPr="00E61864" w:rsidRDefault="00215C75" w:rsidP="00FC0D4D">
      <w:pPr>
        <w:pStyle w:val="BodyText"/>
        <w:numPr>
          <w:ilvl w:val="0"/>
          <w:numId w:val="26"/>
        </w:numPr>
        <w:jc w:val="both"/>
      </w:pPr>
      <w:r w:rsidRPr="00106785">
        <w:t xml:space="preserve">ERS is a system-wide capacity product </w:t>
      </w:r>
      <w:r>
        <w:t>that</w:t>
      </w:r>
      <w:r w:rsidRPr="00106785">
        <w:t xml:space="preserve"> only load and generation resources that do not participate in </w:t>
      </w:r>
      <w:r>
        <w:t>security-constrained economic dispatch (“</w:t>
      </w:r>
      <w:r w:rsidRPr="00106785">
        <w:t>SCED</w:t>
      </w:r>
      <w:r>
        <w:t>”) may provide</w:t>
      </w:r>
      <w:r w:rsidRPr="00106785">
        <w:t xml:space="preserve">.  A specific </w:t>
      </w:r>
      <w:r>
        <w:t>megawatt (“</w:t>
      </w:r>
      <w:r w:rsidRPr="00106785">
        <w:t>MW</w:t>
      </w:r>
      <w:r>
        <w:t>”)</w:t>
      </w:r>
      <w:r w:rsidRPr="00106785">
        <w:t xml:space="preserve"> quantity implies a specific capacity need.  If the Commission </w:t>
      </w:r>
      <w:r>
        <w:t xml:space="preserve">desires for ERCOT </w:t>
      </w:r>
      <w:r w:rsidRPr="00106785">
        <w:t xml:space="preserve">to </w:t>
      </w:r>
      <w:r>
        <w:t xml:space="preserve">procure ERS based on </w:t>
      </w:r>
      <w:r w:rsidRPr="00106785">
        <w:t>a specific MW quantity</w:t>
      </w:r>
      <w:r>
        <w:t xml:space="preserve">, such quantity </w:t>
      </w:r>
      <w:r w:rsidRPr="00106785">
        <w:t>should be tied to a specific reliability standard set by the Commission</w:t>
      </w:r>
      <w:r w:rsidR="0023671E">
        <w:t>.</w:t>
      </w:r>
    </w:p>
    <w:p w14:paraId="14D7CC62" w14:textId="77777777" w:rsidR="00E61864" w:rsidRDefault="00E61864" w:rsidP="00306E68">
      <w:pPr>
        <w:spacing w:after="240"/>
        <w:jc w:val="both"/>
        <w:rPr>
          <w:rFonts w:ascii="Times New Roman" w:eastAsia="Times New Roman" w:hAnsi="Times New Roman" w:cs="Times New Roman"/>
          <w:szCs w:val="20"/>
        </w:rPr>
      </w:pPr>
    </w:p>
    <w:p w14:paraId="390CF8F7" w14:textId="41B7EB61" w:rsidR="00306E68" w:rsidRPr="00306E68" w:rsidRDefault="00306E68" w:rsidP="00306E68">
      <w:pPr>
        <w:spacing w:after="240"/>
        <w:jc w:val="both"/>
        <w:rPr>
          <w:rFonts w:ascii="Times New Roman" w:hAnsi="Times New Roman" w:cs="Times New Roman"/>
        </w:rPr>
      </w:pPr>
      <w:r w:rsidRPr="00306E68">
        <w:rPr>
          <w:rFonts w:ascii="Times New Roman" w:hAnsi="Times New Roman" w:cs="Times New Roman"/>
          <w:b/>
        </w:rPr>
        <w:t>Comments Regarding Discussion Draft</w:t>
      </w:r>
      <w:r w:rsidRPr="00306E68">
        <w:rPr>
          <w:rFonts w:ascii="Times New Roman" w:hAnsi="Times New Roman" w:cs="Times New Roman"/>
        </w:rPr>
        <w:t xml:space="preserve"> </w:t>
      </w:r>
    </w:p>
    <w:p w14:paraId="518D1F62" w14:textId="0B2B5C84" w:rsidR="00C96642" w:rsidRDefault="00C96642" w:rsidP="00FC0D4D">
      <w:pPr>
        <w:pStyle w:val="ListParagraph"/>
        <w:numPr>
          <w:ilvl w:val="0"/>
          <w:numId w:val="26"/>
        </w:numPr>
        <w:jc w:val="both"/>
        <w:rPr>
          <w:rFonts w:ascii="Times New Roman" w:hAnsi="Times New Roman" w:cs="Times New Roman"/>
        </w:rPr>
      </w:pPr>
      <w:r w:rsidRPr="00C96642">
        <w:rPr>
          <w:rFonts w:ascii="Times New Roman" w:hAnsi="Times New Roman" w:cs="Times New Roman"/>
        </w:rPr>
        <w:t>Deleted §25.507(a): The rule should retain a purpose statement, or in the alternative, some provision to clearly define the scope and intent of ERS</w:t>
      </w:r>
      <w:r w:rsidR="0023671E">
        <w:rPr>
          <w:rFonts w:ascii="Times New Roman" w:hAnsi="Times New Roman" w:cs="Times New Roman"/>
        </w:rPr>
        <w:t>.</w:t>
      </w:r>
    </w:p>
    <w:p w14:paraId="78BAB063" w14:textId="6D284C7C" w:rsidR="00215C75" w:rsidRPr="00E61864" w:rsidRDefault="00215C75" w:rsidP="00FC0D4D">
      <w:pPr>
        <w:pStyle w:val="BodyText"/>
        <w:numPr>
          <w:ilvl w:val="1"/>
          <w:numId w:val="26"/>
        </w:numPr>
        <w:jc w:val="both"/>
      </w:pPr>
      <w:r w:rsidRPr="00374697">
        <w:rPr>
          <w:spacing w:val="-2"/>
        </w:rPr>
        <w:t xml:space="preserve">As an emergency reliability service, ERS serves an important purpose </w:t>
      </w:r>
      <w:r w:rsidR="005D766C">
        <w:rPr>
          <w:spacing w:val="-2"/>
        </w:rPr>
        <w:t>that</w:t>
      </w:r>
      <w:r w:rsidRPr="00374697">
        <w:rPr>
          <w:spacing w:val="-2"/>
        </w:rPr>
        <w:t xml:space="preserve"> should be clearly stated in the rule to justify the cost to consumers and to frame the parameters of its use appropriately. </w:t>
      </w:r>
      <w:r w:rsidRPr="00582DB4">
        <w:rPr>
          <w:spacing w:val="-2"/>
        </w:rPr>
        <w:t>Such use should fall within ERCOT’s discretion as needed, but</w:t>
      </w:r>
      <w:r>
        <w:rPr>
          <w:spacing w:val="-2"/>
        </w:rPr>
        <w:t xml:space="preserve"> ERCOT should not utilize ERS</w:t>
      </w:r>
      <w:r w:rsidRPr="00582DB4">
        <w:rPr>
          <w:spacing w:val="-2"/>
        </w:rPr>
        <w:t xml:space="preserve"> to address locational transmission issues. </w:t>
      </w:r>
    </w:p>
    <w:p w14:paraId="2DF9C566" w14:textId="5AEE35F3" w:rsidR="00C96642" w:rsidRPr="00C96642" w:rsidRDefault="00C96642" w:rsidP="00FC0D4D">
      <w:pPr>
        <w:pStyle w:val="ListParagraph"/>
        <w:numPr>
          <w:ilvl w:val="0"/>
          <w:numId w:val="26"/>
        </w:numPr>
        <w:jc w:val="both"/>
        <w:rPr>
          <w:rFonts w:ascii="Times New Roman" w:hAnsi="Times New Roman" w:cs="Times New Roman"/>
        </w:rPr>
      </w:pPr>
      <w:r w:rsidRPr="00C96642">
        <w:rPr>
          <w:rFonts w:ascii="Times New Roman" w:hAnsi="Times New Roman" w:cs="Times New Roman"/>
        </w:rPr>
        <w:t>§25.507(a): Deployment "to alleviate an emergency condition" is vague and would benefit from further clarification</w:t>
      </w:r>
      <w:r w:rsidR="000E43FC">
        <w:rPr>
          <w:rFonts w:ascii="Times New Roman" w:hAnsi="Times New Roman" w:cs="Times New Roman"/>
        </w:rPr>
        <w:t xml:space="preserve"> to be consistent with recent Commission direction to deploy ERS “prior to an emergency condition,” and the rule should specify that ERS deployments are appropriately accounted for in energy prices</w:t>
      </w:r>
      <w:r w:rsidR="0023671E">
        <w:rPr>
          <w:rFonts w:ascii="Times New Roman" w:hAnsi="Times New Roman" w:cs="Times New Roman"/>
        </w:rPr>
        <w:t>.</w:t>
      </w:r>
    </w:p>
    <w:p w14:paraId="6216A8E1" w14:textId="1CCFF0B5" w:rsidR="00C96642" w:rsidRDefault="00C96642" w:rsidP="00C96642">
      <w:pPr>
        <w:pStyle w:val="ListParagraph"/>
        <w:numPr>
          <w:ilvl w:val="0"/>
          <w:numId w:val="26"/>
        </w:numPr>
        <w:spacing w:after="240"/>
        <w:jc w:val="both"/>
        <w:rPr>
          <w:rFonts w:ascii="Times New Roman" w:hAnsi="Times New Roman" w:cs="Times New Roman"/>
        </w:rPr>
      </w:pPr>
      <w:r w:rsidRPr="00C96642">
        <w:rPr>
          <w:rFonts w:ascii="Times New Roman" w:hAnsi="Times New Roman" w:cs="Times New Roman"/>
        </w:rPr>
        <w:t>§25.507(a)(2): The Commission should not expand the budget for out-of-market programs without a compelling demonstrated need; instead, a MW target should be set that meets an established standard.</w:t>
      </w:r>
    </w:p>
    <w:p w14:paraId="70521C8E" w14:textId="34512ACB" w:rsidR="00215C75" w:rsidRPr="000E43FC" w:rsidRDefault="00215C75" w:rsidP="00FC0D4D">
      <w:pPr>
        <w:pStyle w:val="ListParagraph"/>
        <w:numPr>
          <w:ilvl w:val="1"/>
          <w:numId w:val="26"/>
        </w:numPr>
        <w:spacing w:after="240"/>
        <w:jc w:val="both"/>
        <w:rPr>
          <w:rFonts w:ascii="Times New Roman" w:hAnsi="Times New Roman" w:cs="Times New Roman"/>
        </w:rPr>
      </w:pPr>
      <w:r w:rsidRPr="00457638">
        <w:rPr>
          <w:rFonts w:ascii="Times New Roman" w:hAnsi="Times New Roman" w:cs="Times New Roman"/>
          <w:spacing w:val="-2"/>
        </w:rPr>
        <w:t>If the Commission chooses to set a megawatt-specific procurement amount for ERS, this should be tied to a reliability standard set by the Commission</w:t>
      </w:r>
      <w:r w:rsidR="0023671E" w:rsidRPr="00457638">
        <w:rPr>
          <w:rFonts w:ascii="Times New Roman" w:hAnsi="Times New Roman" w:cs="Times New Roman"/>
          <w:spacing w:val="-2"/>
        </w:rPr>
        <w:t>.</w:t>
      </w:r>
    </w:p>
    <w:p w14:paraId="1A599CE0" w14:textId="38D90CCD" w:rsidR="00C96642" w:rsidRPr="00C96642" w:rsidRDefault="00C96642" w:rsidP="00C96642">
      <w:pPr>
        <w:pStyle w:val="ListParagraph"/>
        <w:numPr>
          <w:ilvl w:val="0"/>
          <w:numId w:val="26"/>
        </w:numPr>
        <w:spacing w:after="240"/>
        <w:jc w:val="both"/>
        <w:rPr>
          <w:rFonts w:ascii="Times New Roman" w:hAnsi="Times New Roman" w:cs="Times New Roman"/>
        </w:rPr>
      </w:pPr>
      <w:r w:rsidRPr="00C96642">
        <w:rPr>
          <w:rFonts w:ascii="Times New Roman" w:hAnsi="Times New Roman" w:cs="Times New Roman"/>
        </w:rPr>
        <w:t>§25.507(b): The rule should define ERS</w:t>
      </w:r>
      <w:r w:rsidR="000E43FC">
        <w:rPr>
          <w:rFonts w:ascii="Times New Roman" w:hAnsi="Times New Roman" w:cs="Times New Roman"/>
        </w:rPr>
        <w:t xml:space="preserve"> and “emergency condition</w:t>
      </w:r>
      <w:r w:rsidRPr="00C96642">
        <w:rPr>
          <w:rFonts w:ascii="Times New Roman" w:hAnsi="Times New Roman" w:cs="Times New Roman"/>
        </w:rPr>
        <w:t>,</w:t>
      </w:r>
      <w:r w:rsidR="000E43FC">
        <w:rPr>
          <w:rFonts w:ascii="Times New Roman" w:hAnsi="Times New Roman" w:cs="Times New Roman"/>
        </w:rPr>
        <w:t>”</w:t>
      </w:r>
      <w:r w:rsidRPr="00C96642">
        <w:rPr>
          <w:rFonts w:ascii="Times New Roman" w:hAnsi="Times New Roman" w:cs="Times New Roman"/>
        </w:rPr>
        <w:t xml:space="preserve"> especially if the purpose statement is deleted</w:t>
      </w:r>
      <w:r w:rsidR="0023671E">
        <w:rPr>
          <w:rFonts w:ascii="Times New Roman" w:hAnsi="Times New Roman" w:cs="Times New Roman"/>
        </w:rPr>
        <w:t>.</w:t>
      </w:r>
    </w:p>
    <w:p w14:paraId="7D2C779E" w14:textId="11CB4C11" w:rsidR="000E43FC" w:rsidRDefault="00C96642" w:rsidP="00C96642">
      <w:pPr>
        <w:pStyle w:val="ListParagraph"/>
        <w:numPr>
          <w:ilvl w:val="0"/>
          <w:numId w:val="26"/>
        </w:numPr>
        <w:spacing w:after="240"/>
        <w:jc w:val="both"/>
        <w:rPr>
          <w:rFonts w:ascii="Times New Roman" w:hAnsi="Times New Roman" w:cs="Times New Roman"/>
        </w:rPr>
      </w:pPr>
      <w:r w:rsidRPr="00C96642">
        <w:rPr>
          <w:rFonts w:ascii="Times New Roman" w:hAnsi="Times New Roman" w:cs="Times New Roman"/>
        </w:rPr>
        <w:t>§25.507(</w:t>
      </w:r>
      <w:r w:rsidR="000E43FC">
        <w:rPr>
          <w:rFonts w:ascii="Times New Roman" w:hAnsi="Times New Roman" w:cs="Times New Roman"/>
        </w:rPr>
        <w:t>c</w:t>
      </w:r>
      <w:r w:rsidRPr="00C96642">
        <w:rPr>
          <w:rFonts w:ascii="Times New Roman" w:hAnsi="Times New Roman" w:cs="Times New Roman"/>
        </w:rPr>
        <w:t>)</w:t>
      </w:r>
      <w:r w:rsidR="000E43FC">
        <w:rPr>
          <w:rFonts w:ascii="Times New Roman" w:hAnsi="Times New Roman" w:cs="Times New Roman"/>
        </w:rPr>
        <w:t>(7)</w:t>
      </w:r>
      <w:r w:rsidRPr="00C96642">
        <w:rPr>
          <w:rFonts w:ascii="Times New Roman" w:hAnsi="Times New Roman" w:cs="Times New Roman"/>
        </w:rPr>
        <w:t xml:space="preserve">: The rule should prohibit </w:t>
      </w:r>
      <w:r w:rsidR="000E43FC">
        <w:rPr>
          <w:rFonts w:ascii="Times New Roman" w:hAnsi="Times New Roman" w:cs="Times New Roman"/>
        </w:rPr>
        <w:t>self</w:t>
      </w:r>
      <w:r w:rsidRPr="00C96642">
        <w:rPr>
          <w:rFonts w:ascii="Times New Roman" w:hAnsi="Times New Roman" w:cs="Times New Roman"/>
        </w:rPr>
        <w:t>-deployment of ERS resources</w:t>
      </w:r>
      <w:r w:rsidR="0023671E">
        <w:rPr>
          <w:rFonts w:ascii="Times New Roman" w:hAnsi="Times New Roman" w:cs="Times New Roman"/>
        </w:rPr>
        <w:t xml:space="preserve"> </w:t>
      </w:r>
    </w:p>
    <w:p w14:paraId="7AE40EBE" w14:textId="72E5E80A" w:rsidR="00C96642" w:rsidRPr="000E43FC" w:rsidRDefault="000E43FC" w:rsidP="00C96642">
      <w:pPr>
        <w:pStyle w:val="ListParagraph"/>
        <w:numPr>
          <w:ilvl w:val="0"/>
          <w:numId w:val="26"/>
        </w:numPr>
        <w:spacing w:after="240"/>
        <w:jc w:val="both"/>
        <w:rPr>
          <w:rFonts w:ascii="Times New Roman" w:hAnsi="Times New Roman" w:cs="Times New Roman"/>
        </w:rPr>
      </w:pPr>
      <w:r w:rsidRPr="00C96642">
        <w:rPr>
          <w:rFonts w:ascii="Times New Roman" w:hAnsi="Times New Roman" w:cs="Times New Roman"/>
        </w:rPr>
        <w:t>§25.507(</w:t>
      </w:r>
      <w:r>
        <w:rPr>
          <w:rFonts w:ascii="Times New Roman" w:hAnsi="Times New Roman" w:cs="Times New Roman"/>
        </w:rPr>
        <w:t>d</w:t>
      </w:r>
      <w:r w:rsidRPr="00C96642">
        <w:rPr>
          <w:rFonts w:ascii="Times New Roman" w:hAnsi="Times New Roman" w:cs="Times New Roman"/>
        </w:rPr>
        <w:t>)</w:t>
      </w:r>
      <w:r>
        <w:rPr>
          <w:rFonts w:ascii="Times New Roman" w:hAnsi="Times New Roman" w:cs="Times New Roman"/>
        </w:rPr>
        <w:t xml:space="preserve">: The phrase “as necessary” should be limited to system-wide needs </w:t>
      </w:r>
      <w:r w:rsidR="0023671E" w:rsidRPr="000E43FC">
        <w:rPr>
          <w:rFonts w:ascii="Times New Roman" w:hAnsi="Times New Roman" w:cs="Times New Roman"/>
        </w:rPr>
        <w:t xml:space="preserve">and </w:t>
      </w:r>
      <w:r>
        <w:rPr>
          <w:rFonts w:ascii="Times New Roman" w:hAnsi="Times New Roman" w:cs="Times New Roman"/>
        </w:rPr>
        <w:t xml:space="preserve">state </w:t>
      </w:r>
      <w:r w:rsidR="0023671E" w:rsidRPr="000E43FC">
        <w:rPr>
          <w:rFonts w:ascii="Times New Roman" w:hAnsi="Times New Roman" w:cs="Times New Roman"/>
        </w:rPr>
        <w:t xml:space="preserve">that </w:t>
      </w:r>
      <w:r w:rsidR="0023671E" w:rsidRPr="00457638">
        <w:rPr>
          <w:rFonts w:ascii="Times New Roman" w:hAnsi="Times New Roman" w:cs="Times New Roman"/>
        </w:rPr>
        <w:t>that ERCOT may not deploy ERS to resolve local transmission congestion or constraints.</w:t>
      </w:r>
    </w:p>
    <w:p w14:paraId="4F7D9976" w14:textId="479A1517" w:rsidR="00215C75" w:rsidRPr="000E43FC" w:rsidRDefault="0023671E" w:rsidP="00C96642">
      <w:pPr>
        <w:pStyle w:val="ListParagraph"/>
        <w:numPr>
          <w:ilvl w:val="0"/>
          <w:numId w:val="26"/>
        </w:numPr>
        <w:spacing w:after="240"/>
        <w:jc w:val="both"/>
        <w:rPr>
          <w:rFonts w:ascii="Times New Roman" w:hAnsi="Times New Roman" w:cs="Times New Roman"/>
        </w:rPr>
      </w:pPr>
      <w:r w:rsidRPr="000E43FC">
        <w:rPr>
          <w:rFonts w:ascii="Times New Roman" w:hAnsi="Times New Roman" w:cs="Times New Roman"/>
        </w:rPr>
        <w:t>§25.507(g</w:t>
      </w:r>
      <w:r w:rsidR="00215C75" w:rsidRPr="000E43FC">
        <w:rPr>
          <w:rFonts w:ascii="Times New Roman" w:hAnsi="Times New Roman" w:cs="Times New Roman"/>
        </w:rPr>
        <w:t xml:space="preserve">): </w:t>
      </w:r>
      <w:r w:rsidR="00215C75" w:rsidRPr="00457638">
        <w:rPr>
          <w:rFonts w:ascii="Times New Roman" w:hAnsi="Times New Roman" w:cs="Times New Roman"/>
          <w:spacing w:val="-2"/>
        </w:rPr>
        <w:t>The Commission should have a mechanism for evaluating and comparing the effectiveness of ERS with that of utility load management programs</w:t>
      </w:r>
      <w:r w:rsidR="00E61864" w:rsidRPr="00457638">
        <w:rPr>
          <w:rFonts w:ascii="Times New Roman" w:hAnsi="Times New Roman" w:cs="Times New Roman"/>
          <w:spacing w:val="-2"/>
        </w:rPr>
        <w:t xml:space="preserve"> that serve similar </w:t>
      </w:r>
      <w:r w:rsidR="00E61864" w:rsidRPr="00457638">
        <w:rPr>
          <w:rFonts w:ascii="Times New Roman" w:hAnsi="Times New Roman" w:cs="Times New Roman"/>
          <w:spacing w:val="-2"/>
        </w:rPr>
        <w:lastRenderedPageBreak/>
        <w:t>functions</w:t>
      </w:r>
      <w:r w:rsidR="00215C75" w:rsidRPr="00457638">
        <w:rPr>
          <w:rFonts w:ascii="Times New Roman" w:hAnsi="Times New Roman" w:cs="Times New Roman"/>
          <w:spacing w:val="-2"/>
        </w:rPr>
        <w:t>, and therefore should receive performance reports as contemplated by the discussion draft for both ERS and load management programs</w:t>
      </w:r>
      <w:r w:rsidRPr="00457638">
        <w:rPr>
          <w:rFonts w:ascii="Times New Roman" w:hAnsi="Times New Roman" w:cs="Times New Roman"/>
          <w:spacing w:val="-2"/>
        </w:rPr>
        <w:t>.</w:t>
      </w:r>
    </w:p>
    <w:p w14:paraId="2FB46889" w14:textId="7662ABBC" w:rsidR="00E5083B" w:rsidRPr="00FC0D4D" w:rsidRDefault="00E5083B" w:rsidP="00FC0D4D">
      <w:pPr>
        <w:pStyle w:val="ListParagraph"/>
        <w:spacing w:after="240"/>
        <w:jc w:val="both"/>
        <w:rPr>
          <w:rFonts w:ascii="Times New Roman" w:hAnsi="Times New Roman" w:cs="Times New Roman"/>
        </w:rPr>
      </w:pPr>
    </w:p>
    <w:sectPr w:rsidR="00E5083B" w:rsidRPr="00FC0D4D" w:rsidSect="00DC3469">
      <w:footerReference w:type="default" r:id="rId12"/>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DAB9" w14:textId="77777777" w:rsidR="00745EDF" w:rsidRDefault="00745EDF" w:rsidP="00AF1446">
      <w:r>
        <w:separator/>
      </w:r>
    </w:p>
  </w:endnote>
  <w:endnote w:type="continuationSeparator" w:id="0">
    <w:p w14:paraId="31DB4B23" w14:textId="77777777" w:rsidR="00745EDF" w:rsidRDefault="00745EDF" w:rsidP="00AF1446">
      <w:r>
        <w:continuationSeparator/>
      </w:r>
    </w:p>
  </w:endnote>
  <w:endnote w:type="continuationNotice" w:id="1">
    <w:p w14:paraId="1E78EF4A" w14:textId="77777777" w:rsidR="00745EDF" w:rsidRDefault="00745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98A6" w14:textId="34D45CB2" w:rsidR="00D00A3A" w:rsidRPr="00D8346C" w:rsidRDefault="006141FF" w:rsidP="00DC3469">
    <w:pPr>
      <w:pStyle w:val="Footer"/>
      <w:rPr>
        <w:rFonts w:ascii="Times New Roman" w:hAnsi="Times New Roman" w:cs="Times New Roman"/>
      </w:rPr>
    </w:pPr>
    <w:r>
      <w:rPr>
        <w:rFonts w:ascii="Times New Roman" w:hAnsi="Times New Roman" w:cs="Times New Roman"/>
      </w:rPr>
      <w:t>TCPA</w:t>
    </w:r>
    <w:r w:rsidR="00D00A3A" w:rsidRPr="00D8346C">
      <w:rPr>
        <w:rFonts w:ascii="Times New Roman" w:hAnsi="Times New Roman" w:cs="Times New Roman"/>
      </w:rPr>
      <w:t xml:space="preserve"> </w:t>
    </w:r>
    <w:r w:rsidR="00306E68">
      <w:rPr>
        <w:rFonts w:ascii="Times New Roman" w:hAnsi="Times New Roman" w:cs="Times New Roman"/>
      </w:rPr>
      <w:t xml:space="preserve">Discussion Draft </w:t>
    </w:r>
    <w:r w:rsidR="00D00A3A" w:rsidRPr="00D8346C">
      <w:rPr>
        <w:rFonts w:ascii="Times New Roman" w:hAnsi="Times New Roman" w:cs="Times New Roman"/>
      </w:rPr>
      <w:t xml:space="preserve">Comments in Project </w:t>
    </w:r>
    <w:r w:rsidR="00306E68">
      <w:rPr>
        <w:rFonts w:ascii="Times New Roman" w:hAnsi="Times New Roman" w:cs="Times New Roman"/>
      </w:rPr>
      <w:t>53493</w:t>
    </w:r>
    <w:r w:rsidR="00D00A3A" w:rsidRPr="00D8346C">
      <w:rPr>
        <w:rFonts w:ascii="Times New Roman" w:hAnsi="Times New Roman" w:cs="Times New Roman"/>
      </w:rPr>
      <w:tab/>
      <w:t xml:space="preserve">Page </w:t>
    </w:r>
    <w:r w:rsidR="00D00A3A" w:rsidRPr="00D8346C">
      <w:rPr>
        <w:rFonts w:ascii="Times New Roman" w:hAnsi="Times New Roman" w:cs="Times New Roman"/>
      </w:rPr>
      <w:fldChar w:fldCharType="begin"/>
    </w:r>
    <w:r w:rsidR="00D00A3A" w:rsidRPr="00D8346C">
      <w:rPr>
        <w:rFonts w:ascii="Times New Roman" w:hAnsi="Times New Roman" w:cs="Times New Roman"/>
      </w:rPr>
      <w:instrText xml:space="preserve"> PAGE   \* MERGEFORMAT </w:instrText>
    </w:r>
    <w:r w:rsidR="00D00A3A" w:rsidRPr="00D8346C">
      <w:rPr>
        <w:rFonts w:ascii="Times New Roman" w:hAnsi="Times New Roman" w:cs="Times New Roman"/>
      </w:rPr>
      <w:fldChar w:fldCharType="separate"/>
    </w:r>
    <w:r w:rsidR="00412FF2">
      <w:rPr>
        <w:rFonts w:ascii="Times New Roman" w:hAnsi="Times New Roman" w:cs="Times New Roman"/>
        <w:noProof/>
      </w:rPr>
      <w:t>8</w:t>
    </w:r>
    <w:r w:rsidR="00D00A3A" w:rsidRPr="00D8346C">
      <w:rPr>
        <w:rFonts w:ascii="Times New Roman" w:hAnsi="Times New Roman" w:cs="Times New Roman"/>
        <w:noProof/>
      </w:rPr>
      <w:fldChar w:fldCharType="end"/>
    </w:r>
  </w:p>
  <w:p w14:paraId="0F70DEEE" w14:textId="77777777" w:rsidR="00D00A3A" w:rsidRDefault="00D00A3A">
    <w:pPr>
      <w:pStyle w:val="Footer"/>
    </w:pPr>
  </w:p>
  <w:p w14:paraId="77AE2FF0" w14:textId="77777777" w:rsidR="00436101" w:rsidRDefault="00436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78B1" w14:textId="77777777" w:rsidR="00745EDF" w:rsidRDefault="00745EDF" w:rsidP="00AF1446">
      <w:r>
        <w:separator/>
      </w:r>
    </w:p>
  </w:footnote>
  <w:footnote w:type="continuationSeparator" w:id="0">
    <w:p w14:paraId="0DC14CBE" w14:textId="77777777" w:rsidR="00745EDF" w:rsidRDefault="00745EDF" w:rsidP="00AF1446">
      <w:r>
        <w:continuationSeparator/>
      </w:r>
    </w:p>
  </w:footnote>
  <w:footnote w:type="continuationNotice" w:id="1">
    <w:p w14:paraId="49F999A1" w14:textId="77777777" w:rsidR="00745EDF" w:rsidRDefault="00745EDF"/>
  </w:footnote>
  <w:footnote w:id="2">
    <w:p w14:paraId="6A344EFC" w14:textId="62F982F8" w:rsidR="0011418A" w:rsidRPr="00855095" w:rsidRDefault="0011418A" w:rsidP="00C31608">
      <w:pPr>
        <w:pStyle w:val="FootnoteText"/>
        <w:ind w:firstLine="720"/>
        <w:rPr>
          <w:rFonts w:ascii="Times New Roman" w:hAnsi="Times New Roman" w:cs="Times New Roman"/>
          <w:sz w:val="20"/>
          <w:szCs w:val="20"/>
        </w:rPr>
      </w:pPr>
      <w:r w:rsidRPr="00855095">
        <w:rPr>
          <w:rStyle w:val="FootnoteReference"/>
          <w:rFonts w:ascii="Times New Roman" w:hAnsi="Times New Roman" w:cs="Times New Roman"/>
          <w:sz w:val="20"/>
          <w:szCs w:val="20"/>
        </w:rPr>
        <w:footnoteRef/>
      </w:r>
      <w:r w:rsidRPr="00855095">
        <w:rPr>
          <w:rFonts w:ascii="Times New Roman" w:hAnsi="Times New Roman" w:cs="Times New Roman"/>
          <w:sz w:val="20"/>
          <w:szCs w:val="20"/>
        </w:rPr>
        <w:t xml:space="preserve"> TCPA is a trade association representing power generation companies and wholesale power marketers with investments in Texas and the Electric Reliability Council of Texas (ERCOT) wholesale electric market. TCPA members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provide nearly ninety percent (90%) of the non-wind electric generating capacity in ERCOT, representing billions of dollars of investment in the state, and employing thousands of Texans. </w:t>
      </w:r>
      <w:r w:rsidRPr="0011418A">
        <w:rPr>
          <w:rFonts w:ascii="Times New Roman" w:hAnsi="Times New Roman" w:cs="Times New Roman"/>
          <w:sz w:val="20"/>
          <w:szCs w:val="20"/>
        </w:rPr>
        <w:t>TCPA member companies participating in these comments include: Calpine, Cogentrix, Constellation (formerly Exelon), EDF Trading North America, Luminant, NRG,, Talen Energy, Tenaska, TexGen Power, and WattBridge.</w:t>
      </w:r>
    </w:p>
  </w:footnote>
  <w:footnote w:id="3">
    <w:p w14:paraId="0121B896" w14:textId="581E1C4D" w:rsidR="00D712D7" w:rsidRPr="007B357D" w:rsidRDefault="00D712D7" w:rsidP="007B357D">
      <w:pPr>
        <w:pStyle w:val="FootnoteText"/>
        <w:spacing w:after="120"/>
        <w:ind w:firstLine="720"/>
        <w:jc w:val="both"/>
        <w:rPr>
          <w:rFonts w:ascii="Times New Roman" w:hAnsi="Times New Roman" w:cs="Times New Roman"/>
          <w:sz w:val="20"/>
          <w:szCs w:val="20"/>
        </w:rPr>
      </w:pPr>
      <w:r>
        <w:rPr>
          <w:rStyle w:val="FootnoteReference"/>
        </w:rPr>
        <w:footnoteRef/>
      </w:r>
      <w:r>
        <w:t xml:space="preserve"> </w:t>
      </w:r>
      <w:r w:rsidR="00E353EF">
        <w:rPr>
          <w:rStyle w:val="Hyperlink"/>
          <w:rFonts w:ascii="Times New Roman" w:hAnsi="Times New Roman" w:cs="Times New Roman"/>
          <w:color w:val="auto"/>
          <w:sz w:val="20"/>
          <w:szCs w:val="20"/>
          <w:u w:val="none"/>
        </w:rPr>
        <w:t xml:space="preserve">Staff Discussion Draft Proposed Changes to </w:t>
      </w:r>
      <w:r w:rsidR="001A49C5" w:rsidRPr="009C2257">
        <w:rPr>
          <w:rStyle w:val="Hyperlink"/>
          <w:rFonts w:ascii="Times New Roman" w:hAnsi="Times New Roman" w:cs="Times New Roman"/>
          <w:color w:val="auto"/>
          <w:sz w:val="20"/>
          <w:szCs w:val="20"/>
          <w:u w:val="none"/>
        </w:rPr>
        <w:t>§ 25.50</w:t>
      </w:r>
      <w:r w:rsidR="00E353EF">
        <w:rPr>
          <w:rStyle w:val="Hyperlink"/>
          <w:rFonts w:ascii="Times New Roman" w:hAnsi="Times New Roman" w:cs="Times New Roman"/>
          <w:color w:val="auto"/>
          <w:sz w:val="20"/>
          <w:szCs w:val="20"/>
          <w:u w:val="none"/>
        </w:rPr>
        <w:t>7, Project No. 53493</w:t>
      </w:r>
      <w:r w:rsidR="001A49C5" w:rsidRPr="009C2257">
        <w:rPr>
          <w:rStyle w:val="Hyperlink"/>
          <w:rFonts w:ascii="Times New Roman" w:hAnsi="Times New Roman" w:cs="Times New Roman"/>
          <w:color w:val="auto"/>
          <w:sz w:val="20"/>
          <w:szCs w:val="20"/>
          <w:u w:val="none"/>
        </w:rPr>
        <w:t xml:space="preserve"> </w:t>
      </w:r>
      <w:r w:rsidR="00E353EF">
        <w:rPr>
          <w:rStyle w:val="Hyperlink"/>
          <w:rFonts w:ascii="Times New Roman" w:hAnsi="Times New Roman" w:cs="Times New Roman"/>
          <w:color w:val="auto"/>
          <w:sz w:val="20"/>
          <w:szCs w:val="20"/>
          <w:u w:val="none"/>
        </w:rPr>
        <w:t>(Apr</w:t>
      </w:r>
      <w:r w:rsidR="001A49C5" w:rsidRPr="009C2257">
        <w:rPr>
          <w:rStyle w:val="Hyperlink"/>
          <w:rFonts w:ascii="Times New Roman" w:hAnsi="Times New Roman" w:cs="Times New Roman"/>
          <w:color w:val="auto"/>
          <w:sz w:val="20"/>
          <w:szCs w:val="20"/>
          <w:u w:val="none"/>
        </w:rPr>
        <w:t>. 2</w:t>
      </w:r>
      <w:r w:rsidR="00E353EF">
        <w:rPr>
          <w:rStyle w:val="Hyperlink"/>
          <w:rFonts w:ascii="Times New Roman" w:hAnsi="Times New Roman" w:cs="Times New Roman"/>
          <w:color w:val="auto"/>
          <w:sz w:val="20"/>
          <w:szCs w:val="20"/>
          <w:u w:val="none"/>
        </w:rPr>
        <w:t>8</w:t>
      </w:r>
      <w:r w:rsidR="001A49C5" w:rsidRPr="009C2257">
        <w:rPr>
          <w:rStyle w:val="Hyperlink"/>
          <w:rFonts w:ascii="Times New Roman" w:hAnsi="Times New Roman" w:cs="Times New Roman"/>
          <w:color w:val="auto"/>
          <w:sz w:val="20"/>
          <w:szCs w:val="20"/>
          <w:u w:val="none"/>
        </w:rPr>
        <w:t>, 2022).</w:t>
      </w:r>
    </w:p>
  </w:footnote>
  <w:footnote w:id="4">
    <w:p w14:paraId="3668BC40" w14:textId="3C85FDD6" w:rsidR="00DE36A1" w:rsidRPr="00FC0D4D" w:rsidRDefault="00DE36A1" w:rsidP="007D6A03">
      <w:pPr>
        <w:pStyle w:val="FootnoteText"/>
        <w:ind w:firstLine="720"/>
        <w:rPr>
          <w:rFonts w:ascii="Times New Roman" w:hAnsi="Times New Roman" w:cs="Times New Roman"/>
          <w:sz w:val="20"/>
          <w:szCs w:val="20"/>
        </w:rPr>
      </w:pPr>
      <w:r w:rsidRPr="00FC0D4D">
        <w:rPr>
          <w:rStyle w:val="FootnoteReference"/>
          <w:rFonts w:ascii="Times New Roman" w:hAnsi="Times New Roman" w:cs="Times New Roman"/>
          <w:sz w:val="20"/>
          <w:szCs w:val="20"/>
        </w:rPr>
        <w:footnoteRef/>
      </w:r>
      <w:r w:rsidRPr="00FC0D4D">
        <w:rPr>
          <w:rFonts w:ascii="Times New Roman" w:hAnsi="Times New Roman" w:cs="Times New Roman"/>
          <w:sz w:val="20"/>
          <w:szCs w:val="20"/>
        </w:rPr>
        <w:t xml:space="preserve"> </w:t>
      </w:r>
      <w:r w:rsidR="00990EE2" w:rsidRPr="007D6A03">
        <w:rPr>
          <w:rFonts w:ascii="Times New Roman" w:hAnsi="Times New Roman" w:cs="Times New Roman"/>
          <w:i/>
          <w:iCs/>
          <w:sz w:val="20"/>
          <w:szCs w:val="20"/>
        </w:rPr>
        <w:t>See Electric Reliability Council of Texas, Inc.’s 2021 Annual Report on Emergency Response Service</w:t>
      </w:r>
      <w:r w:rsidR="00990EE2" w:rsidRPr="007D6A03">
        <w:rPr>
          <w:rFonts w:ascii="Times New Roman" w:hAnsi="Times New Roman" w:cs="Times New Roman"/>
          <w:sz w:val="20"/>
          <w:szCs w:val="20"/>
        </w:rPr>
        <w:t xml:space="preserve"> </w:t>
      </w:r>
      <w:r w:rsidRPr="00FC0D4D">
        <w:rPr>
          <w:rFonts w:ascii="Times New Roman" w:hAnsi="Times New Roman" w:cs="Times New Roman"/>
          <w:sz w:val="20"/>
          <w:szCs w:val="20"/>
        </w:rPr>
        <w:t>at 7</w:t>
      </w:r>
      <w:r w:rsidR="00990EE2" w:rsidRPr="007D6A03">
        <w:rPr>
          <w:rFonts w:ascii="Times New Roman" w:hAnsi="Times New Roman" w:cs="Times New Roman"/>
          <w:sz w:val="20"/>
          <w:szCs w:val="20"/>
        </w:rPr>
        <w:t>, filed on April 15, 2022 in Project No. 52933</w:t>
      </w:r>
      <w:r w:rsidR="003B4AA5">
        <w:rPr>
          <w:rFonts w:ascii="Times New Roman" w:hAnsi="Times New Roman" w:cs="Times New Roman"/>
          <w:sz w:val="20"/>
          <w:szCs w:val="20"/>
        </w:rPr>
        <w:t xml:space="preserve"> (“ERCOT 2021 ERS Report</w:t>
      </w:r>
      <w:r w:rsidR="003B4AA5" w:rsidRPr="002E5221">
        <w:rPr>
          <w:rFonts w:ascii="Times New Roman" w:hAnsi="Times New Roman" w:cs="Times New Roman"/>
          <w:sz w:val="20"/>
          <w:szCs w:val="20"/>
        </w:rPr>
        <w:t>”)</w:t>
      </w:r>
      <w:r w:rsidR="007128A1" w:rsidRPr="00FC0D4D">
        <w:rPr>
          <w:rFonts w:ascii="Times New Roman" w:hAnsi="Times New Roman" w:cs="Times New Roman"/>
          <w:sz w:val="20"/>
          <w:szCs w:val="20"/>
        </w:rPr>
        <w:t xml:space="preserve"> </w:t>
      </w:r>
    </w:p>
  </w:footnote>
  <w:footnote w:id="5">
    <w:p w14:paraId="6755DE4A" w14:textId="45C8746F" w:rsidR="00516409" w:rsidRPr="00FC0D4D" w:rsidRDefault="00516409" w:rsidP="00DE36A1">
      <w:pPr>
        <w:pStyle w:val="FootnoteText"/>
        <w:ind w:firstLine="720"/>
      </w:pPr>
      <w:r w:rsidRPr="00FC0D4D">
        <w:rPr>
          <w:rStyle w:val="FootnoteReference"/>
        </w:rPr>
        <w:footnoteRef/>
      </w:r>
      <w:r w:rsidRPr="00FC0D4D">
        <w:t xml:space="preserve"> </w:t>
      </w:r>
      <w:r w:rsidR="00E94BFB" w:rsidRPr="007D6A03">
        <w:rPr>
          <w:i/>
          <w:iCs/>
        </w:rPr>
        <w:t>See Reorganization of 25.505</w:t>
      </w:r>
      <w:r w:rsidR="00E94BFB" w:rsidRPr="007D6A03">
        <w:t xml:space="preserve">, </w:t>
      </w:r>
      <w:r w:rsidRPr="00FC0D4D">
        <w:t>Project No. 53191</w:t>
      </w:r>
      <w:r w:rsidR="00E94BFB" w:rsidRPr="007D6A03">
        <w:t>,</w:t>
      </w:r>
      <w:r w:rsidRPr="00FC0D4D">
        <w:t xml:space="preserve"> Order at 3, 9, and 10</w:t>
      </w:r>
      <w:r w:rsidR="00E94BFB" w:rsidRPr="007D6A03">
        <w:t xml:space="preserve"> (April 29, 2022)</w:t>
      </w:r>
      <w:r w:rsidRPr="00FC0D4D">
        <w:t>.</w:t>
      </w:r>
    </w:p>
  </w:footnote>
  <w:footnote w:id="6">
    <w:p w14:paraId="3377535B" w14:textId="2982F992" w:rsidR="00816A5A" w:rsidRDefault="00816A5A" w:rsidP="00816A5A">
      <w:pPr>
        <w:pStyle w:val="FootnoteText"/>
        <w:ind w:firstLine="720"/>
      </w:pPr>
      <w:r w:rsidRPr="00FC0D4D">
        <w:rPr>
          <w:rStyle w:val="FootnoteReference"/>
        </w:rPr>
        <w:footnoteRef/>
      </w:r>
      <w:r w:rsidRPr="00FC0D4D">
        <w:t xml:space="preserve"> </w:t>
      </w:r>
      <w:r w:rsidR="00E94BFB" w:rsidRPr="007D6A03">
        <w:rPr>
          <w:i/>
          <w:iCs/>
        </w:rPr>
        <w:t>See</w:t>
      </w:r>
      <w:r w:rsidR="00E94BFB" w:rsidRPr="007D6A03">
        <w:t xml:space="preserve"> </w:t>
      </w:r>
      <w:r w:rsidRPr="00FC0D4D">
        <w:t xml:space="preserve">16 TAC </w:t>
      </w:r>
      <w:r w:rsidR="00E94BFB" w:rsidRPr="007D6A03">
        <w:t xml:space="preserve">§ </w:t>
      </w:r>
      <w:r w:rsidRPr="00FC0D4D">
        <w:t>25.507(b)</w:t>
      </w:r>
    </w:p>
  </w:footnote>
  <w:footnote w:id="7">
    <w:p w14:paraId="52DB4618" w14:textId="7A98DF74" w:rsidR="00416D96" w:rsidRPr="00FC0D4D" w:rsidRDefault="00416D96" w:rsidP="00416D96">
      <w:pPr>
        <w:pStyle w:val="FootnoteText"/>
        <w:ind w:firstLine="720"/>
        <w:rPr>
          <w:rFonts w:ascii="Times New Roman" w:hAnsi="Times New Roman" w:cs="Times New Roman"/>
          <w:sz w:val="20"/>
          <w:szCs w:val="20"/>
        </w:rPr>
      </w:pPr>
      <w:r w:rsidRPr="00FC0D4D">
        <w:rPr>
          <w:rStyle w:val="FootnoteReference"/>
          <w:rFonts w:ascii="Times New Roman" w:hAnsi="Times New Roman" w:cs="Times New Roman"/>
          <w:sz w:val="20"/>
          <w:szCs w:val="20"/>
        </w:rPr>
        <w:footnoteRef/>
      </w:r>
      <w:r w:rsidRPr="00FC0D4D">
        <w:rPr>
          <w:rFonts w:ascii="Times New Roman" w:hAnsi="Times New Roman" w:cs="Times New Roman"/>
          <w:sz w:val="20"/>
          <w:szCs w:val="20"/>
        </w:rPr>
        <w:t xml:space="preserve"> </w:t>
      </w:r>
      <w:r w:rsidR="001B3C81" w:rsidRPr="007D6A03">
        <w:rPr>
          <w:rFonts w:ascii="Times New Roman" w:hAnsi="Times New Roman" w:cs="Times New Roman"/>
          <w:i/>
          <w:iCs/>
          <w:sz w:val="20"/>
          <w:szCs w:val="20"/>
        </w:rPr>
        <w:t>See Review of Wholesale Electric Market Design</w:t>
      </w:r>
      <w:r w:rsidR="001B3C81" w:rsidRPr="007D6A03">
        <w:rPr>
          <w:rFonts w:ascii="Times New Roman" w:hAnsi="Times New Roman" w:cs="Times New Roman"/>
          <w:sz w:val="20"/>
          <w:szCs w:val="20"/>
        </w:rPr>
        <w:t>,</w:t>
      </w:r>
      <w:r w:rsidR="001B3C81" w:rsidRPr="007D6A03">
        <w:rPr>
          <w:rFonts w:ascii="Times New Roman" w:hAnsi="Times New Roman" w:cs="Times New Roman"/>
          <w:i/>
          <w:iCs/>
          <w:sz w:val="20"/>
          <w:szCs w:val="20"/>
        </w:rPr>
        <w:t xml:space="preserve"> </w:t>
      </w:r>
      <w:r w:rsidR="001B3C81" w:rsidRPr="007D6A03">
        <w:rPr>
          <w:rFonts w:ascii="Times New Roman" w:hAnsi="Times New Roman" w:cs="Times New Roman"/>
          <w:sz w:val="20"/>
          <w:szCs w:val="20"/>
        </w:rPr>
        <w:t xml:space="preserve">Project No. 52373, </w:t>
      </w:r>
      <w:r w:rsidR="001B3C81" w:rsidRPr="007D6A03">
        <w:rPr>
          <w:rFonts w:ascii="Times New Roman" w:hAnsi="Times New Roman" w:cs="Times New Roman"/>
          <w:i/>
          <w:iCs/>
          <w:sz w:val="20"/>
          <w:szCs w:val="20"/>
        </w:rPr>
        <w:t xml:space="preserve">Commission Staff’s Motion for Good Cause Exception </w:t>
      </w:r>
      <w:r w:rsidR="001B3C81" w:rsidRPr="007D6A03">
        <w:rPr>
          <w:rFonts w:ascii="Times New Roman" w:hAnsi="Times New Roman" w:cs="Times New Roman"/>
          <w:sz w:val="20"/>
          <w:szCs w:val="20"/>
        </w:rPr>
        <w:t>(October 27, 2021)</w:t>
      </w:r>
      <w:r w:rsidRPr="00FC0D4D">
        <w:rPr>
          <w:rFonts w:ascii="Times New Roman" w:hAnsi="Times New Roman" w:cs="Times New Roman"/>
          <w:sz w:val="20"/>
          <w:szCs w:val="20"/>
        </w:rPr>
        <w:t xml:space="preserve"> and </w:t>
      </w:r>
      <w:r w:rsidR="001B3C81" w:rsidRPr="007D6A03">
        <w:rPr>
          <w:rFonts w:ascii="Times New Roman" w:hAnsi="Times New Roman" w:cs="Times New Roman"/>
          <w:i/>
          <w:iCs/>
          <w:sz w:val="20"/>
          <w:szCs w:val="20"/>
        </w:rPr>
        <w:t>Order Granting Good Cause Exception</w:t>
      </w:r>
      <w:r w:rsidR="001B3C81" w:rsidRPr="007D6A03">
        <w:rPr>
          <w:rFonts w:ascii="Times New Roman" w:hAnsi="Times New Roman" w:cs="Times New Roman"/>
          <w:sz w:val="20"/>
          <w:szCs w:val="20"/>
        </w:rPr>
        <w:t xml:space="preserve"> (November 4, 2021).</w:t>
      </w:r>
      <w:r w:rsidR="001B3C81" w:rsidRPr="007D6A03">
        <w:rPr>
          <w:rFonts w:ascii="Times New Roman" w:hAnsi="Times New Roman" w:cs="Times New Roman"/>
          <w:i/>
          <w:iCs/>
          <w:sz w:val="20"/>
          <w:szCs w:val="20"/>
        </w:rPr>
        <w:t xml:space="preserve"> </w:t>
      </w:r>
    </w:p>
  </w:footnote>
  <w:footnote w:id="8">
    <w:p w14:paraId="759E8DD3" w14:textId="2A262574" w:rsidR="00345503" w:rsidRPr="00FC0D4D" w:rsidRDefault="00345503" w:rsidP="00345503">
      <w:pPr>
        <w:pStyle w:val="FootnoteText"/>
        <w:ind w:firstLine="720"/>
        <w:rPr>
          <w:rFonts w:ascii="Times New Roman" w:hAnsi="Times New Roman" w:cs="Times New Roman"/>
          <w:sz w:val="20"/>
          <w:szCs w:val="20"/>
        </w:rPr>
      </w:pPr>
      <w:r w:rsidRPr="00FC0D4D">
        <w:rPr>
          <w:rStyle w:val="FootnoteReference"/>
          <w:rFonts w:ascii="Times New Roman" w:hAnsi="Times New Roman" w:cs="Times New Roman"/>
          <w:sz w:val="20"/>
          <w:szCs w:val="20"/>
        </w:rPr>
        <w:footnoteRef/>
      </w:r>
      <w:r w:rsidRPr="00FC0D4D">
        <w:rPr>
          <w:rFonts w:ascii="Times New Roman" w:hAnsi="Times New Roman" w:cs="Times New Roman"/>
          <w:sz w:val="20"/>
          <w:szCs w:val="20"/>
        </w:rPr>
        <w:t xml:space="preserve"> </w:t>
      </w:r>
      <w:r w:rsidR="003B4AA5" w:rsidRPr="007D6A03">
        <w:rPr>
          <w:rFonts w:ascii="Times New Roman" w:hAnsi="Times New Roman" w:cs="Times New Roman"/>
          <w:sz w:val="20"/>
          <w:szCs w:val="20"/>
        </w:rPr>
        <w:t xml:space="preserve">ERCOT Nodal Protocols, </w:t>
      </w:r>
      <w:r w:rsidRPr="00FC0D4D">
        <w:rPr>
          <w:rFonts w:ascii="Times New Roman" w:hAnsi="Times New Roman" w:cs="Times New Roman"/>
          <w:sz w:val="20"/>
          <w:szCs w:val="20"/>
        </w:rPr>
        <w:t>Sec</w:t>
      </w:r>
      <w:r w:rsidR="003B4AA5" w:rsidRPr="007D6A03">
        <w:rPr>
          <w:rFonts w:ascii="Times New Roman" w:hAnsi="Times New Roman" w:cs="Times New Roman"/>
          <w:sz w:val="20"/>
          <w:szCs w:val="20"/>
        </w:rPr>
        <w:t>tion</w:t>
      </w:r>
      <w:r w:rsidRPr="00FC0D4D">
        <w:rPr>
          <w:rFonts w:ascii="Times New Roman" w:hAnsi="Times New Roman" w:cs="Times New Roman"/>
          <w:sz w:val="20"/>
          <w:szCs w:val="20"/>
        </w:rPr>
        <w:t xml:space="preserve"> 2</w:t>
      </w:r>
      <w:r w:rsidR="003B4AA5" w:rsidRPr="007D6A03">
        <w:rPr>
          <w:rFonts w:ascii="Times New Roman" w:hAnsi="Times New Roman" w:cs="Times New Roman"/>
          <w:sz w:val="20"/>
          <w:szCs w:val="20"/>
        </w:rPr>
        <w:t xml:space="preserve"> at </w:t>
      </w:r>
      <w:r w:rsidRPr="00FC0D4D">
        <w:rPr>
          <w:rFonts w:ascii="Times New Roman" w:hAnsi="Times New Roman" w:cs="Times New Roman"/>
          <w:sz w:val="20"/>
          <w:szCs w:val="20"/>
        </w:rPr>
        <w:t xml:space="preserve"> 28</w:t>
      </w:r>
      <w:r w:rsidR="003B4AA5" w:rsidRPr="007D6A03">
        <w:rPr>
          <w:rFonts w:ascii="Times New Roman" w:hAnsi="Times New Roman" w:cs="Times New Roman"/>
          <w:sz w:val="20"/>
          <w:szCs w:val="20"/>
        </w:rPr>
        <w:t xml:space="preserve"> (May 13, 2022).</w:t>
      </w:r>
    </w:p>
  </w:footnote>
  <w:footnote w:id="9">
    <w:p w14:paraId="282E694E" w14:textId="251225E8" w:rsidR="00EB6D3B" w:rsidRDefault="00EB6D3B" w:rsidP="00EB6D3B">
      <w:pPr>
        <w:pStyle w:val="FootnoteText"/>
        <w:ind w:firstLine="720"/>
      </w:pPr>
      <w:r w:rsidRPr="00FC0D4D">
        <w:rPr>
          <w:rStyle w:val="FootnoteReference"/>
          <w:rFonts w:ascii="Times New Roman" w:hAnsi="Times New Roman" w:cs="Times New Roman"/>
          <w:sz w:val="20"/>
          <w:szCs w:val="20"/>
        </w:rPr>
        <w:footnoteRef/>
      </w:r>
      <w:r w:rsidRPr="00FC0D4D">
        <w:rPr>
          <w:rFonts w:ascii="Times New Roman" w:hAnsi="Times New Roman" w:cs="Times New Roman"/>
          <w:sz w:val="20"/>
          <w:szCs w:val="20"/>
        </w:rPr>
        <w:t xml:space="preserve"> </w:t>
      </w:r>
      <w:r w:rsidR="003B4AA5" w:rsidRPr="007D6A03">
        <w:rPr>
          <w:rFonts w:ascii="Times New Roman" w:hAnsi="Times New Roman" w:cs="Times New Roman"/>
          <w:sz w:val="20"/>
          <w:szCs w:val="20"/>
        </w:rPr>
        <w:t xml:space="preserve">ERCOT 2021 ERS Report </w:t>
      </w:r>
      <w:r w:rsidRPr="00FC0D4D">
        <w:rPr>
          <w:rFonts w:ascii="Times New Roman" w:hAnsi="Times New Roman" w:cs="Times New Roman"/>
          <w:sz w:val="20"/>
          <w:szCs w:val="20"/>
        </w:rPr>
        <w:t>at 8.</w:t>
      </w:r>
    </w:p>
  </w:footnote>
  <w:footnote w:id="10">
    <w:p w14:paraId="02BAC3A1" w14:textId="77777777" w:rsidR="006829A0" w:rsidRPr="007D6A03" w:rsidRDefault="006829A0" w:rsidP="006829A0">
      <w:pPr>
        <w:pStyle w:val="FootnoteText"/>
        <w:spacing w:after="120"/>
        <w:ind w:firstLine="720"/>
        <w:jc w:val="both"/>
        <w:rPr>
          <w:rFonts w:ascii="Times New Roman" w:hAnsi="Times New Roman" w:cs="Times New Roman"/>
          <w:sz w:val="20"/>
          <w:szCs w:val="20"/>
        </w:rPr>
      </w:pPr>
      <w:r w:rsidRPr="007D6A03">
        <w:rPr>
          <w:rStyle w:val="FootnoteReference"/>
          <w:rFonts w:ascii="Times New Roman" w:hAnsi="Times New Roman" w:cs="Times New Roman"/>
          <w:sz w:val="20"/>
          <w:szCs w:val="20"/>
        </w:rPr>
        <w:footnoteRef/>
      </w:r>
      <w:r w:rsidRPr="007D6A03">
        <w:rPr>
          <w:rFonts w:ascii="Times New Roman" w:hAnsi="Times New Roman" w:cs="Times New Roman"/>
          <w:sz w:val="20"/>
          <w:szCs w:val="20"/>
        </w:rPr>
        <w:t xml:space="preserve"> </w:t>
      </w:r>
      <w:r w:rsidRPr="007D6A03">
        <w:rPr>
          <w:rFonts w:ascii="Times New Roman" w:hAnsi="Times New Roman" w:cs="Times New Roman"/>
          <w:i/>
          <w:iCs/>
          <w:sz w:val="20"/>
          <w:szCs w:val="20"/>
        </w:rPr>
        <w:t>See e.g. Rulemaking Regarding Emergency Response Service</w:t>
      </w:r>
      <w:r w:rsidRPr="007D6A03">
        <w:rPr>
          <w:rFonts w:ascii="Times New Roman" w:hAnsi="Times New Roman" w:cs="Times New Roman"/>
          <w:sz w:val="20"/>
          <w:szCs w:val="20"/>
        </w:rPr>
        <w:t>, Project No. 45927, Order Adopting Amendments to § 25.507 at 8 (Mar. 30, 2017) (“The commission understands the concern expressed by the IMM that the creation of a separate local deployment product for ERS is a complex undertaking, and agrees with ERCOT that the existing ERS program is not well-suited to local deployment to address transmission emergencies”).</w:t>
      </w:r>
    </w:p>
  </w:footnote>
  <w:footnote w:id="11">
    <w:p w14:paraId="51EFABF0" w14:textId="77777777" w:rsidR="006829A0" w:rsidRPr="007D6A03" w:rsidRDefault="006829A0" w:rsidP="006829A0">
      <w:pPr>
        <w:pStyle w:val="FootnoteText"/>
        <w:spacing w:after="120"/>
        <w:ind w:firstLine="720"/>
        <w:jc w:val="both"/>
        <w:rPr>
          <w:rFonts w:ascii="Times New Roman" w:hAnsi="Times New Roman" w:cs="Times New Roman"/>
          <w:sz w:val="20"/>
          <w:szCs w:val="20"/>
        </w:rPr>
      </w:pPr>
      <w:r w:rsidRPr="007D6A03">
        <w:rPr>
          <w:rStyle w:val="FootnoteReference"/>
          <w:rFonts w:ascii="Times New Roman" w:hAnsi="Times New Roman" w:cs="Times New Roman"/>
          <w:sz w:val="20"/>
          <w:szCs w:val="20"/>
        </w:rPr>
        <w:footnoteRef/>
      </w:r>
      <w:r w:rsidRPr="007D6A03">
        <w:rPr>
          <w:rFonts w:ascii="Times New Roman" w:hAnsi="Times New Roman" w:cs="Times New Roman"/>
          <w:sz w:val="20"/>
          <w:szCs w:val="20"/>
        </w:rPr>
        <w:t xml:space="preserve"> </w:t>
      </w:r>
      <w:r w:rsidRPr="007D6A03">
        <w:rPr>
          <w:rFonts w:ascii="Times New Roman" w:hAnsi="Times New Roman" w:cs="Times New Roman"/>
          <w:i/>
          <w:iCs/>
          <w:sz w:val="20"/>
          <w:szCs w:val="20"/>
        </w:rPr>
        <w:t>See id</w:t>
      </w:r>
      <w:r w:rsidRPr="007D6A03">
        <w:rPr>
          <w:rFonts w:ascii="Times New Roman" w:hAnsi="Times New Roman" w:cs="Times New Roman"/>
          <w:sz w:val="20"/>
          <w:szCs w:val="20"/>
        </w:rPr>
        <w:t xml:space="preserve"> at 9 (“Several parties pointed to the potential for localized price suppression when ERS is deployed to address local congestion issues, and argued that this effect would not be addressed through existing mechanisms, such as the Reliability Deployment Price Adder. The commission agrees that the effects of out-of-market reliability actions on local price formation is a concern, and the effects on nodal prices of the deployment of ERS to forestall local transmission emergencies would not be addressed through existing pricing mechanisms”).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1F"/>
    <w:multiLevelType w:val="hybridMultilevel"/>
    <w:tmpl w:val="6042265C"/>
    <w:lvl w:ilvl="0" w:tplc="F8104106">
      <w:start w:val="7"/>
      <w:numFmt w:val="lowerLetter"/>
      <w:lvlText w:val="(%1)"/>
      <w:lvlJc w:val="left"/>
    </w:lvl>
    <w:lvl w:ilvl="1" w:tplc="EAAEBA7A">
      <w:numFmt w:val="decimal"/>
      <w:lvlText w:val=""/>
      <w:lvlJc w:val="left"/>
    </w:lvl>
    <w:lvl w:ilvl="2" w:tplc="8E84F138">
      <w:numFmt w:val="decimal"/>
      <w:lvlText w:val=""/>
      <w:lvlJc w:val="left"/>
    </w:lvl>
    <w:lvl w:ilvl="3" w:tplc="96E2CABA">
      <w:numFmt w:val="decimal"/>
      <w:lvlText w:val=""/>
      <w:lvlJc w:val="left"/>
    </w:lvl>
    <w:lvl w:ilvl="4" w:tplc="C3F4EFE0">
      <w:numFmt w:val="decimal"/>
      <w:lvlText w:val=""/>
      <w:lvlJc w:val="left"/>
    </w:lvl>
    <w:lvl w:ilvl="5" w:tplc="0F3CAE60">
      <w:numFmt w:val="decimal"/>
      <w:lvlText w:val=""/>
      <w:lvlJc w:val="left"/>
    </w:lvl>
    <w:lvl w:ilvl="6" w:tplc="476ED36A">
      <w:numFmt w:val="decimal"/>
      <w:lvlText w:val=""/>
      <w:lvlJc w:val="left"/>
    </w:lvl>
    <w:lvl w:ilvl="7" w:tplc="049E74FA">
      <w:numFmt w:val="decimal"/>
      <w:lvlText w:val=""/>
      <w:lvlJc w:val="left"/>
    </w:lvl>
    <w:lvl w:ilvl="8" w:tplc="FF90FDE2">
      <w:numFmt w:val="decimal"/>
      <w:lvlText w:val=""/>
      <w:lvlJc w:val="left"/>
    </w:lvl>
  </w:abstractNum>
  <w:abstractNum w:abstractNumId="1" w15:restartNumberingAfterBreak="0">
    <w:nsid w:val="00004D06"/>
    <w:multiLevelType w:val="hybridMultilevel"/>
    <w:tmpl w:val="E660B834"/>
    <w:lvl w:ilvl="0" w:tplc="45D46368">
      <w:start w:val="1"/>
      <w:numFmt w:val="lowerLetter"/>
      <w:lvlText w:val="(%1)"/>
      <w:lvlJc w:val="left"/>
    </w:lvl>
    <w:lvl w:ilvl="1" w:tplc="00E8112A">
      <w:start w:val="1"/>
      <w:numFmt w:val="decimal"/>
      <w:lvlText w:val="(%2)"/>
      <w:lvlJc w:val="left"/>
    </w:lvl>
    <w:lvl w:ilvl="2" w:tplc="BBAA2036">
      <w:numFmt w:val="decimal"/>
      <w:lvlText w:val=""/>
      <w:lvlJc w:val="left"/>
    </w:lvl>
    <w:lvl w:ilvl="3" w:tplc="3112C754">
      <w:numFmt w:val="decimal"/>
      <w:lvlText w:val=""/>
      <w:lvlJc w:val="left"/>
    </w:lvl>
    <w:lvl w:ilvl="4" w:tplc="7A242630">
      <w:numFmt w:val="decimal"/>
      <w:lvlText w:val=""/>
      <w:lvlJc w:val="left"/>
    </w:lvl>
    <w:lvl w:ilvl="5" w:tplc="56685954">
      <w:numFmt w:val="decimal"/>
      <w:lvlText w:val=""/>
      <w:lvlJc w:val="left"/>
    </w:lvl>
    <w:lvl w:ilvl="6" w:tplc="699AB008">
      <w:numFmt w:val="decimal"/>
      <w:lvlText w:val=""/>
      <w:lvlJc w:val="left"/>
    </w:lvl>
    <w:lvl w:ilvl="7" w:tplc="A246F7D2">
      <w:numFmt w:val="decimal"/>
      <w:lvlText w:val=""/>
      <w:lvlJc w:val="left"/>
    </w:lvl>
    <w:lvl w:ilvl="8" w:tplc="ECC6106A">
      <w:numFmt w:val="decimal"/>
      <w:lvlText w:val=""/>
      <w:lvlJc w:val="left"/>
    </w:lvl>
  </w:abstractNum>
  <w:abstractNum w:abstractNumId="2" w15:restartNumberingAfterBreak="0">
    <w:nsid w:val="054B38DA"/>
    <w:multiLevelType w:val="hybridMultilevel"/>
    <w:tmpl w:val="2662E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B115C"/>
    <w:multiLevelType w:val="hybridMultilevel"/>
    <w:tmpl w:val="6D8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78B1"/>
    <w:multiLevelType w:val="hybridMultilevel"/>
    <w:tmpl w:val="BDAE5724"/>
    <w:lvl w:ilvl="0" w:tplc="3FC02F12">
      <w:start w:val="4"/>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7AFB"/>
    <w:multiLevelType w:val="hybridMultilevel"/>
    <w:tmpl w:val="BDAE5724"/>
    <w:lvl w:ilvl="0" w:tplc="FFFFFFFF">
      <w:start w:val="4"/>
      <w:numFmt w:val="lowerRoman"/>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F205EC"/>
    <w:multiLevelType w:val="hybridMultilevel"/>
    <w:tmpl w:val="B7B4ED5C"/>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5A83"/>
    <w:multiLevelType w:val="hybridMultilevel"/>
    <w:tmpl w:val="1910D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73B31"/>
    <w:multiLevelType w:val="hybridMultilevel"/>
    <w:tmpl w:val="EE8C0296"/>
    <w:lvl w:ilvl="0" w:tplc="ECA6328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27A80"/>
    <w:multiLevelType w:val="hybridMultilevel"/>
    <w:tmpl w:val="C480D92E"/>
    <w:lvl w:ilvl="0" w:tplc="93BAAA84">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977C7"/>
    <w:multiLevelType w:val="hybridMultilevel"/>
    <w:tmpl w:val="30AA4BE2"/>
    <w:lvl w:ilvl="0" w:tplc="D662FF42">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15989"/>
    <w:multiLevelType w:val="hybridMultilevel"/>
    <w:tmpl w:val="5B007748"/>
    <w:lvl w:ilvl="0" w:tplc="9412F9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A3C75"/>
    <w:multiLevelType w:val="hybridMultilevel"/>
    <w:tmpl w:val="4934B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6603B"/>
    <w:multiLevelType w:val="hybridMultilevel"/>
    <w:tmpl w:val="1C4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E0585"/>
    <w:multiLevelType w:val="hybridMultilevel"/>
    <w:tmpl w:val="02B2D9BE"/>
    <w:lvl w:ilvl="0" w:tplc="754C431E">
      <w:start w:val="3"/>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30E70"/>
    <w:multiLevelType w:val="hybridMultilevel"/>
    <w:tmpl w:val="58CAC864"/>
    <w:lvl w:ilvl="0" w:tplc="19C852C4">
      <w:start w:val="7"/>
      <w:numFmt w:val="upperLetter"/>
      <w:lvlText w:val="(%1)"/>
      <w:lvlJc w:val="left"/>
      <w:pPr>
        <w:ind w:left="1890" w:hanging="180"/>
      </w:pPr>
      <w:rPr>
        <w:rFonts w:hint="default"/>
        <w:strike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4EF74A1"/>
    <w:multiLevelType w:val="hybridMultilevel"/>
    <w:tmpl w:val="296EC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BC4FBE"/>
    <w:multiLevelType w:val="hybridMultilevel"/>
    <w:tmpl w:val="373434F8"/>
    <w:lvl w:ilvl="0" w:tplc="38209DB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9F3266"/>
    <w:multiLevelType w:val="hybridMultilevel"/>
    <w:tmpl w:val="1870034E"/>
    <w:lvl w:ilvl="0" w:tplc="455C6A7C">
      <w:start w:val="1"/>
      <w:numFmt w:val="upperLetter"/>
      <w:lvlText w:val="%1."/>
      <w:lvlJc w:val="left"/>
      <w:pPr>
        <w:ind w:left="720" w:hanging="360"/>
      </w:pPr>
      <w:rPr>
        <w:b/>
        <w:bCs w:val="0"/>
      </w:rPr>
    </w:lvl>
    <w:lvl w:ilvl="1" w:tplc="0409000F">
      <w:start w:val="1"/>
      <w:numFmt w:val="decimal"/>
      <w:lvlText w:val="%2."/>
      <w:lvlJc w:val="left"/>
      <w:pPr>
        <w:ind w:left="1440" w:hanging="360"/>
      </w:pPr>
      <w:rPr>
        <w:b/>
        <w:bCs/>
      </w:rPr>
    </w:lvl>
    <w:lvl w:ilvl="2" w:tplc="AC42F8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077F8"/>
    <w:multiLevelType w:val="hybridMultilevel"/>
    <w:tmpl w:val="BA0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0471F"/>
    <w:multiLevelType w:val="hybridMultilevel"/>
    <w:tmpl w:val="62D4F122"/>
    <w:lvl w:ilvl="0" w:tplc="BCDE3A64">
      <w:start w:val="5"/>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917C4"/>
    <w:multiLevelType w:val="hybridMultilevel"/>
    <w:tmpl w:val="1870034E"/>
    <w:lvl w:ilvl="0" w:tplc="FFFFFFFF">
      <w:start w:val="1"/>
      <w:numFmt w:val="upperLetter"/>
      <w:lvlText w:val="%1."/>
      <w:lvlJc w:val="left"/>
      <w:pPr>
        <w:ind w:left="720" w:hanging="360"/>
      </w:pPr>
      <w:rPr>
        <w:b/>
        <w:bCs w:val="0"/>
      </w:rPr>
    </w:lvl>
    <w:lvl w:ilvl="1" w:tplc="FFFFFFFF">
      <w:start w:val="1"/>
      <w:numFmt w:val="decimal"/>
      <w:lvlText w:val="%2."/>
      <w:lvlJc w:val="left"/>
      <w:pPr>
        <w:ind w:left="1440" w:hanging="360"/>
      </w:pPr>
      <w:rPr>
        <w:b/>
        <w:bCs/>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1950EA"/>
    <w:multiLevelType w:val="hybridMultilevel"/>
    <w:tmpl w:val="B0564D3C"/>
    <w:lvl w:ilvl="0" w:tplc="FFFFFFFF">
      <w:numFmt w:val="decimal"/>
      <w:lvlText w:val=""/>
      <w:lvlJc w:val="left"/>
    </w:lvl>
    <w:lvl w:ilvl="1" w:tplc="FFFFFFFF">
      <w:start w:val="1"/>
      <w:numFmt w:val="decimal"/>
      <w:lvlText w:val="(%2)"/>
      <w:lvlJc w:val="left"/>
      <w:pPr>
        <w:ind w:left="1440" w:hanging="360"/>
      </w:pPr>
    </w:lvl>
    <w:lvl w:ilvl="2" w:tplc="FFFFFFFF">
      <w:start w:val="1"/>
      <w:numFmt w:val="upperLetter"/>
      <w:lvlText w:val="(%3)"/>
      <w:lvlJc w:val="left"/>
      <w:pPr>
        <w:ind w:left="2160" w:hanging="180"/>
      </w:pPr>
    </w:lvl>
    <w:lvl w:ilvl="3" w:tplc="BC965232">
      <w:start w:val="1"/>
      <w:numFmt w:val="lowerRoman"/>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9E3698"/>
    <w:multiLevelType w:val="hybridMultilevel"/>
    <w:tmpl w:val="6A98A752"/>
    <w:lvl w:ilvl="0" w:tplc="149ACDA4">
      <w:start w:val="1"/>
      <w:numFmt w:val="lowerLetter"/>
      <w:lvlText w:val="(%1)"/>
      <w:lvlJc w:val="left"/>
      <w:pPr>
        <w:ind w:left="1080" w:hanging="360"/>
      </w:pPr>
      <w:rPr>
        <w:rFonts w:hint="default"/>
        <w:u w:val="none"/>
      </w:rPr>
    </w:lvl>
    <w:lvl w:ilvl="1" w:tplc="DFD8F0DE">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AF26BF"/>
    <w:multiLevelType w:val="hybridMultilevel"/>
    <w:tmpl w:val="79645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940F6"/>
    <w:multiLevelType w:val="hybridMultilevel"/>
    <w:tmpl w:val="7CC2C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F24C3"/>
    <w:multiLevelType w:val="hybridMultilevel"/>
    <w:tmpl w:val="FCFE36B8"/>
    <w:lvl w:ilvl="0" w:tplc="CA884796">
      <w:start w:val="9"/>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23436"/>
    <w:multiLevelType w:val="hybridMultilevel"/>
    <w:tmpl w:val="5DC25FD8"/>
    <w:lvl w:ilvl="0" w:tplc="39420F0E">
      <w:start w:val="3"/>
      <w:numFmt w:val="decimal"/>
      <w:lvlText w:val="(%1)"/>
      <w:lvlJc w:val="left"/>
      <w:pPr>
        <w:ind w:left="144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46CC8"/>
    <w:multiLevelType w:val="hybridMultilevel"/>
    <w:tmpl w:val="450EB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E5E21"/>
    <w:multiLevelType w:val="hybridMultilevel"/>
    <w:tmpl w:val="B1F48600"/>
    <w:lvl w:ilvl="0" w:tplc="BC965232">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4D274A0"/>
    <w:multiLevelType w:val="hybridMultilevel"/>
    <w:tmpl w:val="6E6A6C2E"/>
    <w:lvl w:ilvl="0" w:tplc="699AB008">
      <w:numFmt w:val="decimal"/>
      <w:lvlText w:val=""/>
      <w:lvlJc w:val="left"/>
    </w:lvl>
    <w:lvl w:ilvl="1" w:tplc="DFD8F0DE">
      <w:start w:val="1"/>
      <w:numFmt w:val="decimal"/>
      <w:lvlText w:val="(%2)"/>
      <w:lvlJc w:val="left"/>
      <w:pPr>
        <w:ind w:left="1440" w:hanging="360"/>
      </w:pPr>
    </w:lvl>
    <w:lvl w:ilvl="2" w:tplc="465EF95E">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D4763"/>
    <w:multiLevelType w:val="hybridMultilevel"/>
    <w:tmpl w:val="E4E6FD94"/>
    <w:lvl w:ilvl="0" w:tplc="E31AFDF2">
      <w:start w:val="8"/>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C1F47"/>
    <w:multiLevelType w:val="hybridMultilevel"/>
    <w:tmpl w:val="59A69714"/>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C7ADA"/>
    <w:multiLevelType w:val="hybridMultilevel"/>
    <w:tmpl w:val="EB1E7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928349">
    <w:abstractNumId w:val="13"/>
  </w:num>
  <w:num w:numId="2" w16cid:durableId="1424448643">
    <w:abstractNumId w:val="3"/>
  </w:num>
  <w:num w:numId="3" w16cid:durableId="153766529">
    <w:abstractNumId w:val="23"/>
  </w:num>
  <w:num w:numId="4" w16cid:durableId="151484035">
    <w:abstractNumId w:val="1"/>
  </w:num>
  <w:num w:numId="5" w16cid:durableId="228880393">
    <w:abstractNumId w:val="30"/>
  </w:num>
  <w:num w:numId="6" w16cid:durableId="554585577">
    <w:abstractNumId w:val="18"/>
  </w:num>
  <w:num w:numId="7" w16cid:durableId="1290359993">
    <w:abstractNumId w:val="11"/>
  </w:num>
  <w:num w:numId="8" w16cid:durableId="489297001">
    <w:abstractNumId w:val="2"/>
  </w:num>
  <w:num w:numId="9" w16cid:durableId="598373515">
    <w:abstractNumId w:val="25"/>
  </w:num>
  <w:num w:numId="10" w16cid:durableId="675496908">
    <w:abstractNumId w:val="28"/>
  </w:num>
  <w:num w:numId="11" w16cid:durableId="2016959285">
    <w:abstractNumId w:val="33"/>
  </w:num>
  <w:num w:numId="12" w16cid:durableId="263271618">
    <w:abstractNumId w:val="12"/>
  </w:num>
  <w:num w:numId="13" w16cid:durableId="1368405552">
    <w:abstractNumId w:val="24"/>
  </w:num>
  <w:num w:numId="14" w16cid:durableId="873886428">
    <w:abstractNumId w:val="7"/>
  </w:num>
  <w:num w:numId="15" w16cid:durableId="874081447">
    <w:abstractNumId w:val="8"/>
  </w:num>
  <w:num w:numId="16" w16cid:durableId="1931238588">
    <w:abstractNumId w:val="26"/>
  </w:num>
  <w:num w:numId="17" w16cid:durableId="1356541976">
    <w:abstractNumId w:val="22"/>
  </w:num>
  <w:num w:numId="18" w16cid:durableId="1067531787">
    <w:abstractNumId w:val="4"/>
  </w:num>
  <w:num w:numId="19" w16cid:durableId="131100724">
    <w:abstractNumId w:val="29"/>
  </w:num>
  <w:num w:numId="20" w16cid:durableId="1053189971">
    <w:abstractNumId w:val="5"/>
  </w:num>
  <w:num w:numId="21" w16cid:durableId="601259996">
    <w:abstractNumId w:val="15"/>
  </w:num>
  <w:num w:numId="22" w16cid:durableId="532813185">
    <w:abstractNumId w:val="6"/>
  </w:num>
  <w:num w:numId="23" w16cid:durableId="202256340">
    <w:abstractNumId w:val="31"/>
  </w:num>
  <w:num w:numId="24" w16cid:durableId="171143256">
    <w:abstractNumId w:val="9"/>
  </w:num>
  <w:num w:numId="25" w16cid:durableId="957108365">
    <w:abstractNumId w:val="0"/>
  </w:num>
  <w:num w:numId="26" w16cid:durableId="713887097">
    <w:abstractNumId w:val="19"/>
  </w:num>
  <w:num w:numId="27" w16cid:durableId="342513052">
    <w:abstractNumId w:val="27"/>
  </w:num>
  <w:num w:numId="28" w16cid:durableId="1946574862">
    <w:abstractNumId w:val="32"/>
  </w:num>
  <w:num w:numId="29" w16cid:durableId="279723331">
    <w:abstractNumId w:val="14"/>
  </w:num>
  <w:num w:numId="30" w16cid:durableId="230391109">
    <w:abstractNumId w:val="20"/>
  </w:num>
  <w:num w:numId="31" w16cid:durableId="94328194">
    <w:abstractNumId w:val="10"/>
  </w:num>
  <w:num w:numId="32" w16cid:durableId="835196101">
    <w:abstractNumId w:val="16"/>
  </w:num>
  <w:num w:numId="33" w16cid:durableId="233782366">
    <w:abstractNumId w:val="21"/>
  </w:num>
  <w:num w:numId="34" w16cid:durableId="6161797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46"/>
    <w:rsid w:val="0002171A"/>
    <w:rsid w:val="00027D49"/>
    <w:rsid w:val="00034906"/>
    <w:rsid w:val="00046C46"/>
    <w:rsid w:val="000470B5"/>
    <w:rsid w:val="00047366"/>
    <w:rsid w:val="000541D4"/>
    <w:rsid w:val="00061A66"/>
    <w:rsid w:val="0006560A"/>
    <w:rsid w:val="00067076"/>
    <w:rsid w:val="00072FB6"/>
    <w:rsid w:val="0008738F"/>
    <w:rsid w:val="000A250F"/>
    <w:rsid w:val="000A46BE"/>
    <w:rsid w:val="000A7927"/>
    <w:rsid w:val="000B1615"/>
    <w:rsid w:val="000B4910"/>
    <w:rsid w:val="000B7E64"/>
    <w:rsid w:val="000C0948"/>
    <w:rsid w:val="000C0B1A"/>
    <w:rsid w:val="000C6468"/>
    <w:rsid w:val="000D006A"/>
    <w:rsid w:val="000D0598"/>
    <w:rsid w:val="000D0AA0"/>
    <w:rsid w:val="000D18BA"/>
    <w:rsid w:val="000D3B55"/>
    <w:rsid w:val="000D3D91"/>
    <w:rsid w:val="000D529C"/>
    <w:rsid w:val="000E3D45"/>
    <w:rsid w:val="000E3FFB"/>
    <w:rsid w:val="000E43FC"/>
    <w:rsid w:val="000E4D8E"/>
    <w:rsid w:val="000E64BF"/>
    <w:rsid w:val="000F1924"/>
    <w:rsid w:val="00107439"/>
    <w:rsid w:val="00113EB3"/>
    <w:rsid w:val="0011418A"/>
    <w:rsid w:val="00114DD9"/>
    <w:rsid w:val="00116907"/>
    <w:rsid w:val="0012041D"/>
    <w:rsid w:val="001253C7"/>
    <w:rsid w:val="00126DA7"/>
    <w:rsid w:val="001279D6"/>
    <w:rsid w:val="00132E60"/>
    <w:rsid w:val="001348A4"/>
    <w:rsid w:val="00140CC3"/>
    <w:rsid w:val="00144AC4"/>
    <w:rsid w:val="001460B0"/>
    <w:rsid w:val="001516D7"/>
    <w:rsid w:val="00151F74"/>
    <w:rsid w:val="001555F5"/>
    <w:rsid w:val="0015675E"/>
    <w:rsid w:val="00157B84"/>
    <w:rsid w:val="00163C20"/>
    <w:rsid w:val="00171941"/>
    <w:rsid w:val="00173DC7"/>
    <w:rsid w:val="001765C5"/>
    <w:rsid w:val="001875EC"/>
    <w:rsid w:val="001918F1"/>
    <w:rsid w:val="001952A5"/>
    <w:rsid w:val="001A371A"/>
    <w:rsid w:val="001A4191"/>
    <w:rsid w:val="001A49C5"/>
    <w:rsid w:val="001A4D72"/>
    <w:rsid w:val="001A6228"/>
    <w:rsid w:val="001A666C"/>
    <w:rsid w:val="001B3C81"/>
    <w:rsid w:val="001B5D20"/>
    <w:rsid w:val="001B6850"/>
    <w:rsid w:val="001C14E7"/>
    <w:rsid w:val="001C227C"/>
    <w:rsid w:val="001C4B7A"/>
    <w:rsid w:val="001C4C46"/>
    <w:rsid w:val="001C5A5D"/>
    <w:rsid w:val="001D4BE3"/>
    <w:rsid w:val="001D69D6"/>
    <w:rsid w:val="001D7EF2"/>
    <w:rsid w:val="001E1D10"/>
    <w:rsid w:val="001E44EB"/>
    <w:rsid w:val="001F5B44"/>
    <w:rsid w:val="00203BF9"/>
    <w:rsid w:val="00203E69"/>
    <w:rsid w:val="002040B5"/>
    <w:rsid w:val="002114EC"/>
    <w:rsid w:val="00213FE4"/>
    <w:rsid w:val="002152F6"/>
    <w:rsid w:val="00215C75"/>
    <w:rsid w:val="002174A6"/>
    <w:rsid w:val="00225E91"/>
    <w:rsid w:val="0022662C"/>
    <w:rsid w:val="00226B43"/>
    <w:rsid w:val="0023671E"/>
    <w:rsid w:val="00236A61"/>
    <w:rsid w:val="002379E1"/>
    <w:rsid w:val="00240B0D"/>
    <w:rsid w:val="00242B62"/>
    <w:rsid w:val="00243613"/>
    <w:rsid w:val="00243B0F"/>
    <w:rsid w:val="00244341"/>
    <w:rsid w:val="0024634D"/>
    <w:rsid w:val="00267EA8"/>
    <w:rsid w:val="00281E7B"/>
    <w:rsid w:val="00284883"/>
    <w:rsid w:val="00294C11"/>
    <w:rsid w:val="00296296"/>
    <w:rsid w:val="002A1FCB"/>
    <w:rsid w:val="002A57F7"/>
    <w:rsid w:val="002C4F86"/>
    <w:rsid w:val="002C5A90"/>
    <w:rsid w:val="002C7B5A"/>
    <w:rsid w:val="002D756B"/>
    <w:rsid w:val="002E2F76"/>
    <w:rsid w:val="002E4463"/>
    <w:rsid w:val="002E49A9"/>
    <w:rsid w:val="002E5221"/>
    <w:rsid w:val="002F0AC0"/>
    <w:rsid w:val="002F43AF"/>
    <w:rsid w:val="002F750C"/>
    <w:rsid w:val="00306E68"/>
    <w:rsid w:val="00307D53"/>
    <w:rsid w:val="00311AA4"/>
    <w:rsid w:val="0031721D"/>
    <w:rsid w:val="0032018B"/>
    <w:rsid w:val="003222A6"/>
    <w:rsid w:val="00323186"/>
    <w:rsid w:val="003279E9"/>
    <w:rsid w:val="00330929"/>
    <w:rsid w:val="003322CD"/>
    <w:rsid w:val="00333188"/>
    <w:rsid w:val="003332D1"/>
    <w:rsid w:val="0034355A"/>
    <w:rsid w:val="00345503"/>
    <w:rsid w:val="0035218A"/>
    <w:rsid w:val="00352E52"/>
    <w:rsid w:val="003772FD"/>
    <w:rsid w:val="00382B92"/>
    <w:rsid w:val="00382E73"/>
    <w:rsid w:val="00386ABE"/>
    <w:rsid w:val="0039088D"/>
    <w:rsid w:val="003A186B"/>
    <w:rsid w:val="003A3A8C"/>
    <w:rsid w:val="003A5C58"/>
    <w:rsid w:val="003B26A9"/>
    <w:rsid w:val="003B3AC6"/>
    <w:rsid w:val="003B4AA5"/>
    <w:rsid w:val="003B776B"/>
    <w:rsid w:val="003C310D"/>
    <w:rsid w:val="003C48FC"/>
    <w:rsid w:val="003C516E"/>
    <w:rsid w:val="003D0743"/>
    <w:rsid w:val="003D0E9C"/>
    <w:rsid w:val="003D184E"/>
    <w:rsid w:val="003D4730"/>
    <w:rsid w:val="003D4E7D"/>
    <w:rsid w:val="003D5964"/>
    <w:rsid w:val="003D6470"/>
    <w:rsid w:val="003D793F"/>
    <w:rsid w:val="003E261E"/>
    <w:rsid w:val="003E400F"/>
    <w:rsid w:val="003E423B"/>
    <w:rsid w:val="003E4F58"/>
    <w:rsid w:val="003E6FD7"/>
    <w:rsid w:val="003F23C6"/>
    <w:rsid w:val="003F5719"/>
    <w:rsid w:val="004070DB"/>
    <w:rsid w:val="00412FF2"/>
    <w:rsid w:val="00415A88"/>
    <w:rsid w:val="00416D96"/>
    <w:rsid w:val="0042151B"/>
    <w:rsid w:val="00422E07"/>
    <w:rsid w:val="00436101"/>
    <w:rsid w:val="00443948"/>
    <w:rsid w:val="004465BB"/>
    <w:rsid w:val="004512AC"/>
    <w:rsid w:val="00452B90"/>
    <w:rsid w:val="0045379F"/>
    <w:rsid w:val="00453FD0"/>
    <w:rsid w:val="0045682A"/>
    <w:rsid w:val="00457638"/>
    <w:rsid w:val="00460079"/>
    <w:rsid w:val="0046186E"/>
    <w:rsid w:val="00461AFE"/>
    <w:rsid w:val="004676FA"/>
    <w:rsid w:val="0046788E"/>
    <w:rsid w:val="0047439E"/>
    <w:rsid w:val="00476005"/>
    <w:rsid w:val="0048030D"/>
    <w:rsid w:val="00485239"/>
    <w:rsid w:val="0048691B"/>
    <w:rsid w:val="00492DAE"/>
    <w:rsid w:val="00497FA2"/>
    <w:rsid w:val="004A21ED"/>
    <w:rsid w:val="004A78F5"/>
    <w:rsid w:val="004B039D"/>
    <w:rsid w:val="004B0B68"/>
    <w:rsid w:val="004B0D75"/>
    <w:rsid w:val="004B69A8"/>
    <w:rsid w:val="004B6DBF"/>
    <w:rsid w:val="004C7ED8"/>
    <w:rsid w:val="004E0391"/>
    <w:rsid w:val="004E40FB"/>
    <w:rsid w:val="00502A57"/>
    <w:rsid w:val="0050324E"/>
    <w:rsid w:val="00505C81"/>
    <w:rsid w:val="00515C88"/>
    <w:rsid w:val="00516409"/>
    <w:rsid w:val="0052332C"/>
    <w:rsid w:val="00523B95"/>
    <w:rsid w:val="00524889"/>
    <w:rsid w:val="005303C1"/>
    <w:rsid w:val="00530DBF"/>
    <w:rsid w:val="00531E61"/>
    <w:rsid w:val="005335AE"/>
    <w:rsid w:val="005342B4"/>
    <w:rsid w:val="00536F34"/>
    <w:rsid w:val="005426D4"/>
    <w:rsid w:val="005454F8"/>
    <w:rsid w:val="00552DA1"/>
    <w:rsid w:val="0055376A"/>
    <w:rsid w:val="0055594D"/>
    <w:rsid w:val="00555FEE"/>
    <w:rsid w:val="00561EF7"/>
    <w:rsid w:val="00575393"/>
    <w:rsid w:val="00577B92"/>
    <w:rsid w:val="00580715"/>
    <w:rsid w:val="0058126E"/>
    <w:rsid w:val="005818FD"/>
    <w:rsid w:val="00581F2F"/>
    <w:rsid w:val="0058331F"/>
    <w:rsid w:val="00584142"/>
    <w:rsid w:val="00586AD2"/>
    <w:rsid w:val="00587507"/>
    <w:rsid w:val="00590B8A"/>
    <w:rsid w:val="00595624"/>
    <w:rsid w:val="00595A68"/>
    <w:rsid w:val="005978E6"/>
    <w:rsid w:val="005A08AB"/>
    <w:rsid w:val="005A49FC"/>
    <w:rsid w:val="005A7902"/>
    <w:rsid w:val="005B0B7C"/>
    <w:rsid w:val="005B1BB2"/>
    <w:rsid w:val="005B31B4"/>
    <w:rsid w:val="005B3E62"/>
    <w:rsid w:val="005C075F"/>
    <w:rsid w:val="005D0221"/>
    <w:rsid w:val="005D0B40"/>
    <w:rsid w:val="005D3BB9"/>
    <w:rsid w:val="005D5C11"/>
    <w:rsid w:val="005D766C"/>
    <w:rsid w:val="005E2D62"/>
    <w:rsid w:val="005E490E"/>
    <w:rsid w:val="005E7294"/>
    <w:rsid w:val="005E7992"/>
    <w:rsid w:val="005F7A80"/>
    <w:rsid w:val="00601E3D"/>
    <w:rsid w:val="00604AA4"/>
    <w:rsid w:val="0060552F"/>
    <w:rsid w:val="00607EDE"/>
    <w:rsid w:val="006141FF"/>
    <w:rsid w:val="006154D4"/>
    <w:rsid w:val="00624B4C"/>
    <w:rsid w:val="00630852"/>
    <w:rsid w:val="00634E60"/>
    <w:rsid w:val="00644763"/>
    <w:rsid w:val="006477F0"/>
    <w:rsid w:val="00651509"/>
    <w:rsid w:val="00652430"/>
    <w:rsid w:val="00654EF0"/>
    <w:rsid w:val="00656E6B"/>
    <w:rsid w:val="00662559"/>
    <w:rsid w:val="00662F8E"/>
    <w:rsid w:val="00666970"/>
    <w:rsid w:val="00674E65"/>
    <w:rsid w:val="00680691"/>
    <w:rsid w:val="006829A0"/>
    <w:rsid w:val="00683345"/>
    <w:rsid w:val="00684B58"/>
    <w:rsid w:val="00691F6C"/>
    <w:rsid w:val="006A56EF"/>
    <w:rsid w:val="006B6B0B"/>
    <w:rsid w:val="006C175A"/>
    <w:rsid w:val="006C28C9"/>
    <w:rsid w:val="006C3A47"/>
    <w:rsid w:val="006C4297"/>
    <w:rsid w:val="006C556C"/>
    <w:rsid w:val="006C5B41"/>
    <w:rsid w:val="006C72D3"/>
    <w:rsid w:val="006D0B47"/>
    <w:rsid w:val="006D1322"/>
    <w:rsid w:val="006D2AE6"/>
    <w:rsid w:val="006D3983"/>
    <w:rsid w:val="006D5A99"/>
    <w:rsid w:val="006D6383"/>
    <w:rsid w:val="006D7229"/>
    <w:rsid w:val="006E0391"/>
    <w:rsid w:val="006E40FF"/>
    <w:rsid w:val="006F109C"/>
    <w:rsid w:val="00700569"/>
    <w:rsid w:val="007024E1"/>
    <w:rsid w:val="00702556"/>
    <w:rsid w:val="00704ACE"/>
    <w:rsid w:val="00706573"/>
    <w:rsid w:val="007128A1"/>
    <w:rsid w:val="00714D2C"/>
    <w:rsid w:val="00726C20"/>
    <w:rsid w:val="00727E97"/>
    <w:rsid w:val="0073087C"/>
    <w:rsid w:val="00731811"/>
    <w:rsid w:val="007426DF"/>
    <w:rsid w:val="0074534C"/>
    <w:rsid w:val="00745EDF"/>
    <w:rsid w:val="00751AA5"/>
    <w:rsid w:val="00752A81"/>
    <w:rsid w:val="0075638D"/>
    <w:rsid w:val="007601EA"/>
    <w:rsid w:val="00762903"/>
    <w:rsid w:val="007633B1"/>
    <w:rsid w:val="00766964"/>
    <w:rsid w:val="00770787"/>
    <w:rsid w:val="007822A4"/>
    <w:rsid w:val="007851D7"/>
    <w:rsid w:val="007903AE"/>
    <w:rsid w:val="00792178"/>
    <w:rsid w:val="00792B92"/>
    <w:rsid w:val="0079543B"/>
    <w:rsid w:val="007960F5"/>
    <w:rsid w:val="007A741F"/>
    <w:rsid w:val="007B26E3"/>
    <w:rsid w:val="007B357D"/>
    <w:rsid w:val="007D0349"/>
    <w:rsid w:val="007D3A09"/>
    <w:rsid w:val="007D6A03"/>
    <w:rsid w:val="007E25FA"/>
    <w:rsid w:val="007E56EE"/>
    <w:rsid w:val="007F44E1"/>
    <w:rsid w:val="007F735C"/>
    <w:rsid w:val="00803980"/>
    <w:rsid w:val="008070E5"/>
    <w:rsid w:val="00810F37"/>
    <w:rsid w:val="00814A7D"/>
    <w:rsid w:val="00816A5A"/>
    <w:rsid w:val="008245D1"/>
    <w:rsid w:val="00830ECC"/>
    <w:rsid w:val="008410D0"/>
    <w:rsid w:val="00843D73"/>
    <w:rsid w:val="00854451"/>
    <w:rsid w:val="00855095"/>
    <w:rsid w:val="008566AF"/>
    <w:rsid w:val="00862F13"/>
    <w:rsid w:val="00872CAE"/>
    <w:rsid w:val="00875A04"/>
    <w:rsid w:val="0087670E"/>
    <w:rsid w:val="0088086C"/>
    <w:rsid w:val="00880FA4"/>
    <w:rsid w:val="00886C61"/>
    <w:rsid w:val="008877F3"/>
    <w:rsid w:val="00894643"/>
    <w:rsid w:val="00897D2B"/>
    <w:rsid w:val="008A21FD"/>
    <w:rsid w:val="008B7546"/>
    <w:rsid w:val="008C5B78"/>
    <w:rsid w:val="008C6808"/>
    <w:rsid w:val="008D112E"/>
    <w:rsid w:val="008D49E2"/>
    <w:rsid w:val="008D51ED"/>
    <w:rsid w:val="008E2C7A"/>
    <w:rsid w:val="008F15ED"/>
    <w:rsid w:val="008F4952"/>
    <w:rsid w:val="008F602C"/>
    <w:rsid w:val="008F7D2C"/>
    <w:rsid w:val="00900EC0"/>
    <w:rsid w:val="009010BC"/>
    <w:rsid w:val="00901AEB"/>
    <w:rsid w:val="00902594"/>
    <w:rsid w:val="009063D3"/>
    <w:rsid w:val="00912839"/>
    <w:rsid w:val="00920D16"/>
    <w:rsid w:val="00921B24"/>
    <w:rsid w:val="00923F22"/>
    <w:rsid w:val="0093796B"/>
    <w:rsid w:val="009463E2"/>
    <w:rsid w:val="0095327F"/>
    <w:rsid w:val="0095439D"/>
    <w:rsid w:val="0095621B"/>
    <w:rsid w:val="00957EA7"/>
    <w:rsid w:val="009622D0"/>
    <w:rsid w:val="009725DA"/>
    <w:rsid w:val="00974130"/>
    <w:rsid w:val="00990EE2"/>
    <w:rsid w:val="009927A8"/>
    <w:rsid w:val="00994270"/>
    <w:rsid w:val="00995FA2"/>
    <w:rsid w:val="00996CA9"/>
    <w:rsid w:val="009A1E5E"/>
    <w:rsid w:val="009A4303"/>
    <w:rsid w:val="009A62BF"/>
    <w:rsid w:val="009A6F20"/>
    <w:rsid w:val="009B5999"/>
    <w:rsid w:val="009B767E"/>
    <w:rsid w:val="009C2257"/>
    <w:rsid w:val="009C5528"/>
    <w:rsid w:val="009C6279"/>
    <w:rsid w:val="009C784D"/>
    <w:rsid w:val="009E0E45"/>
    <w:rsid w:val="009E4566"/>
    <w:rsid w:val="009F03A5"/>
    <w:rsid w:val="009F08DF"/>
    <w:rsid w:val="009F16AF"/>
    <w:rsid w:val="009F3961"/>
    <w:rsid w:val="009F7055"/>
    <w:rsid w:val="00A01140"/>
    <w:rsid w:val="00A03DD6"/>
    <w:rsid w:val="00A15454"/>
    <w:rsid w:val="00A157F6"/>
    <w:rsid w:val="00A16E58"/>
    <w:rsid w:val="00A260A9"/>
    <w:rsid w:val="00A267AA"/>
    <w:rsid w:val="00A27E43"/>
    <w:rsid w:val="00A360FD"/>
    <w:rsid w:val="00A36F03"/>
    <w:rsid w:val="00A44108"/>
    <w:rsid w:val="00A61351"/>
    <w:rsid w:val="00A73861"/>
    <w:rsid w:val="00A7721F"/>
    <w:rsid w:val="00A82E3B"/>
    <w:rsid w:val="00A82EDA"/>
    <w:rsid w:val="00A87133"/>
    <w:rsid w:val="00A93847"/>
    <w:rsid w:val="00A957E5"/>
    <w:rsid w:val="00AA5438"/>
    <w:rsid w:val="00AA68C6"/>
    <w:rsid w:val="00AA6A6A"/>
    <w:rsid w:val="00AB1B8E"/>
    <w:rsid w:val="00AB5447"/>
    <w:rsid w:val="00AC3C14"/>
    <w:rsid w:val="00AC4196"/>
    <w:rsid w:val="00AC48B0"/>
    <w:rsid w:val="00AC5CCE"/>
    <w:rsid w:val="00AD5D21"/>
    <w:rsid w:val="00AE2FEF"/>
    <w:rsid w:val="00AE5F34"/>
    <w:rsid w:val="00AF1446"/>
    <w:rsid w:val="00AF7DE9"/>
    <w:rsid w:val="00B0163A"/>
    <w:rsid w:val="00B0351A"/>
    <w:rsid w:val="00B04E05"/>
    <w:rsid w:val="00B10D9B"/>
    <w:rsid w:val="00B12004"/>
    <w:rsid w:val="00B1566D"/>
    <w:rsid w:val="00B15763"/>
    <w:rsid w:val="00B2247F"/>
    <w:rsid w:val="00B256BD"/>
    <w:rsid w:val="00B25A21"/>
    <w:rsid w:val="00B271DE"/>
    <w:rsid w:val="00B46245"/>
    <w:rsid w:val="00B47E44"/>
    <w:rsid w:val="00B55797"/>
    <w:rsid w:val="00B72D17"/>
    <w:rsid w:val="00B74475"/>
    <w:rsid w:val="00B77185"/>
    <w:rsid w:val="00B8182C"/>
    <w:rsid w:val="00B82446"/>
    <w:rsid w:val="00B83829"/>
    <w:rsid w:val="00B844B7"/>
    <w:rsid w:val="00B869B4"/>
    <w:rsid w:val="00B9205D"/>
    <w:rsid w:val="00B93DC6"/>
    <w:rsid w:val="00B945A3"/>
    <w:rsid w:val="00B94BF7"/>
    <w:rsid w:val="00BA0869"/>
    <w:rsid w:val="00BA515B"/>
    <w:rsid w:val="00BB0F16"/>
    <w:rsid w:val="00BB184B"/>
    <w:rsid w:val="00BB44D2"/>
    <w:rsid w:val="00BB646D"/>
    <w:rsid w:val="00BC5BD2"/>
    <w:rsid w:val="00BC72CF"/>
    <w:rsid w:val="00BD1F97"/>
    <w:rsid w:val="00BD376B"/>
    <w:rsid w:val="00BD4DF2"/>
    <w:rsid w:val="00BD506B"/>
    <w:rsid w:val="00BD70E8"/>
    <w:rsid w:val="00BE1379"/>
    <w:rsid w:val="00BE5EEB"/>
    <w:rsid w:val="00BE6AA7"/>
    <w:rsid w:val="00BF0081"/>
    <w:rsid w:val="00BF0A06"/>
    <w:rsid w:val="00BF2FC9"/>
    <w:rsid w:val="00C11C4B"/>
    <w:rsid w:val="00C17077"/>
    <w:rsid w:val="00C243EC"/>
    <w:rsid w:val="00C31608"/>
    <w:rsid w:val="00C36738"/>
    <w:rsid w:val="00C4363E"/>
    <w:rsid w:val="00C43BE2"/>
    <w:rsid w:val="00C5165B"/>
    <w:rsid w:val="00C56455"/>
    <w:rsid w:val="00C5691A"/>
    <w:rsid w:val="00C57A55"/>
    <w:rsid w:val="00C605D7"/>
    <w:rsid w:val="00C72D17"/>
    <w:rsid w:val="00C76C9B"/>
    <w:rsid w:val="00C77095"/>
    <w:rsid w:val="00C811D6"/>
    <w:rsid w:val="00C8319F"/>
    <w:rsid w:val="00C85154"/>
    <w:rsid w:val="00C864F2"/>
    <w:rsid w:val="00C86957"/>
    <w:rsid w:val="00C87F10"/>
    <w:rsid w:val="00C9169B"/>
    <w:rsid w:val="00C92AA5"/>
    <w:rsid w:val="00C92DD3"/>
    <w:rsid w:val="00C9435D"/>
    <w:rsid w:val="00C948B8"/>
    <w:rsid w:val="00C96642"/>
    <w:rsid w:val="00C97492"/>
    <w:rsid w:val="00CA397A"/>
    <w:rsid w:val="00CA4476"/>
    <w:rsid w:val="00CA55DD"/>
    <w:rsid w:val="00CA65BA"/>
    <w:rsid w:val="00CC665E"/>
    <w:rsid w:val="00CE1254"/>
    <w:rsid w:val="00CF34C9"/>
    <w:rsid w:val="00CF50C6"/>
    <w:rsid w:val="00D00A3A"/>
    <w:rsid w:val="00D014B9"/>
    <w:rsid w:val="00D016E7"/>
    <w:rsid w:val="00D069EE"/>
    <w:rsid w:val="00D16116"/>
    <w:rsid w:val="00D16CDB"/>
    <w:rsid w:val="00D233D6"/>
    <w:rsid w:val="00D244EB"/>
    <w:rsid w:val="00D27CEF"/>
    <w:rsid w:val="00D30ED9"/>
    <w:rsid w:val="00D33855"/>
    <w:rsid w:val="00D373DF"/>
    <w:rsid w:val="00D41F3B"/>
    <w:rsid w:val="00D42033"/>
    <w:rsid w:val="00D43F6E"/>
    <w:rsid w:val="00D52AE1"/>
    <w:rsid w:val="00D548DF"/>
    <w:rsid w:val="00D57C50"/>
    <w:rsid w:val="00D57CDD"/>
    <w:rsid w:val="00D661E9"/>
    <w:rsid w:val="00D66971"/>
    <w:rsid w:val="00D712D7"/>
    <w:rsid w:val="00D714B8"/>
    <w:rsid w:val="00D74CC8"/>
    <w:rsid w:val="00D75495"/>
    <w:rsid w:val="00D777DF"/>
    <w:rsid w:val="00D825EA"/>
    <w:rsid w:val="00D825ED"/>
    <w:rsid w:val="00D8346C"/>
    <w:rsid w:val="00D836CA"/>
    <w:rsid w:val="00D8657D"/>
    <w:rsid w:val="00D90EF5"/>
    <w:rsid w:val="00D91202"/>
    <w:rsid w:val="00D93636"/>
    <w:rsid w:val="00D976C3"/>
    <w:rsid w:val="00DA5B87"/>
    <w:rsid w:val="00DB4028"/>
    <w:rsid w:val="00DC1CBE"/>
    <w:rsid w:val="00DC275D"/>
    <w:rsid w:val="00DC3469"/>
    <w:rsid w:val="00DD12BF"/>
    <w:rsid w:val="00DD1657"/>
    <w:rsid w:val="00DE2558"/>
    <w:rsid w:val="00DE2623"/>
    <w:rsid w:val="00DE36A1"/>
    <w:rsid w:val="00DE4437"/>
    <w:rsid w:val="00DF0A49"/>
    <w:rsid w:val="00DF4050"/>
    <w:rsid w:val="00DF5762"/>
    <w:rsid w:val="00E0100E"/>
    <w:rsid w:val="00E03248"/>
    <w:rsid w:val="00E039B0"/>
    <w:rsid w:val="00E102C4"/>
    <w:rsid w:val="00E11DEE"/>
    <w:rsid w:val="00E14B1C"/>
    <w:rsid w:val="00E17B69"/>
    <w:rsid w:val="00E17B6D"/>
    <w:rsid w:val="00E21723"/>
    <w:rsid w:val="00E21A70"/>
    <w:rsid w:val="00E21B1E"/>
    <w:rsid w:val="00E301B4"/>
    <w:rsid w:val="00E3052E"/>
    <w:rsid w:val="00E353EF"/>
    <w:rsid w:val="00E47D33"/>
    <w:rsid w:val="00E5083B"/>
    <w:rsid w:val="00E51397"/>
    <w:rsid w:val="00E5390C"/>
    <w:rsid w:val="00E54C81"/>
    <w:rsid w:val="00E57351"/>
    <w:rsid w:val="00E61864"/>
    <w:rsid w:val="00E674F5"/>
    <w:rsid w:val="00E705E0"/>
    <w:rsid w:val="00E8164B"/>
    <w:rsid w:val="00E8287B"/>
    <w:rsid w:val="00E84897"/>
    <w:rsid w:val="00E93082"/>
    <w:rsid w:val="00E942D3"/>
    <w:rsid w:val="00E94BFB"/>
    <w:rsid w:val="00EA4E02"/>
    <w:rsid w:val="00EA7401"/>
    <w:rsid w:val="00EB193D"/>
    <w:rsid w:val="00EB3AC7"/>
    <w:rsid w:val="00EB562A"/>
    <w:rsid w:val="00EB6D3B"/>
    <w:rsid w:val="00EB6EE5"/>
    <w:rsid w:val="00EC5230"/>
    <w:rsid w:val="00EC6178"/>
    <w:rsid w:val="00EC6513"/>
    <w:rsid w:val="00EC6FE4"/>
    <w:rsid w:val="00EC75D1"/>
    <w:rsid w:val="00ED108D"/>
    <w:rsid w:val="00ED1BFF"/>
    <w:rsid w:val="00ED5D65"/>
    <w:rsid w:val="00EE435B"/>
    <w:rsid w:val="00EF12F0"/>
    <w:rsid w:val="00F125FF"/>
    <w:rsid w:val="00F155A8"/>
    <w:rsid w:val="00F30BE0"/>
    <w:rsid w:val="00F3627A"/>
    <w:rsid w:val="00F40502"/>
    <w:rsid w:val="00F40753"/>
    <w:rsid w:val="00F46E7C"/>
    <w:rsid w:val="00F55F97"/>
    <w:rsid w:val="00F84B65"/>
    <w:rsid w:val="00F974DF"/>
    <w:rsid w:val="00FA0E4C"/>
    <w:rsid w:val="00FA39ED"/>
    <w:rsid w:val="00FA50F0"/>
    <w:rsid w:val="00FC077A"/>
    <w:rsid w:val="00FC0D4D"/>
    <w:rsid w:val="00FC4EA0"/>
    <w:rsid w:val="00FC5F76"/>
    <w:rsid w:val="00FD0915"/>
    <w:rsid w:val="00FD23E8"/>
    <w:rsid w:val="00FE1976"/>
    <w:rsid w:val="00FF3BEA"/>
    <w:rsid w:val="00FF76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6EFCB"/>
  <w15:docId w15:val="{0C5CDDF8-A6CF-E142-9E1E-C203720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9A0"/>
    <w:pPr>
      <w:widowControl w:val="0"/>
      <w:autoSpaceDE w:val="0"/>
      <w:autoSpaceDN w:val="0"/>
      <w:ind w:left="1200" w:hanging="360"/>
      <w:outlineLvl w:val="0"/>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46"/>
    <w:pPr>
      <w:tabs>
        <w:tab w:val="center" w:pos="4320"/>
        <w:tab w:val="right" w:pos="8640"/>
      </w:tabs>
    </w:pPr>
  </w:style>
  <w:style w:type="character" w:customStyle="1" w:styleId="HeaderChar">
    <w:name w:val="Header Char"/>
    <w:basedOn w:val="DefaultParagraphFont"/>
    <w:link w:val="Header"/>
    <w:uiPriority w:val="99"/>
    <w:rsid w:val="00AF1446"/>
  </w:style>
  <w:style w:type="paragraph" w:styleId="Footer">
    <w:name w:val="footer"/>
    <w:basedOn w:val="Normal"/>
    <w:link w:val="FooterChar"/>
    <w:uiPriority w:val="99"/>
    <w:unhideWhenUsed/>
    <w:rsid w:val="00AF1446"/>
    <w:pPr>
      <w:tabs>
        <w:tab w:val="center" w:pos="4320"/>
        <w:tab w:val="right" w:pos="8640"/>
      </w:tabs>
    </w:pPr>
  </w:style>
  <w:style w:type="character" w:customStyle="1" w:styleId="FooterChar">
    <w:name w:val="Footer Char"/>
    <w:basedOn w:val="DefaultParagraphFont"/>
    <w:link w:val="Footer"/>
    <w:uiPriority w:val="99"/>
    <w:rsid w:val="00AF1446"/>
  </w:style>
  <w:style w:type="paragraph" w:styleId="ListParagraph">
    <w:name w:val="List Paragraph"/>
    <w:basedOn w:val="Normal"/>
    <w:link w:val="ListParagraphChar"/>
    <w:uiPriority w:val="34"/>
    <w:qFormat/>
    <w:rsid w:val="00DF5762"/>
    <w:pPr>
      <w:ind w:left="720"/>
      <w:contextualSpacing/>
    </w:pPr>
  </w:style>
  <w:style w:type="paragraph" w:styleId="FootnoteText">
    <w:name w:val="footnote text"/>
    <w:basedOn w:val="Normal"/>
    <w:link w:val="FootnoteTextChar"/>
    <w:uiPriority w:val="99"/>
    <w:unhideWhenUsed/>
    <w:rsid w:val="006B6B0B"/>
  </w:style>
  <w:style w:type="character" w:customStyle="1" w:styleId="FootnoteTextChar">
    <w:name w:val="Footnote Text Char"/>
    <w:basedOn w:val="DefaultParagraphFont"/>
    <w:link w:val="FootnoteText"/>
    <w:uiPriority w:val="99"/>
    <w:rsid w:val="006B6B0B"/>
  </w:style>
  <w:style w:type="character" w:styleId="FootnoteReference">
    <w:name w:val="footnote reference"/>
    <w:basedOn w:val="DefaultParagraphFont"/>
    <w:uiPriority w:val="99"/>
    <w:unhideWhenUsed/>
    <w:rsid w:val="006B6B0B"/>
    <w:rPr>
      <w:vertAlign w:val="superscript"/>
    </w:rPr>
  </w:style>
  <w:style w:type="table" w:styleId="TableGrid">
    <w:name w:val="Table Grid"/>
    <w:basedOn w:val="TableNormal"/>
    <w:uiPriority w:val="59"/>
    <w:rsid w:val="009A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DF"/>
    <w:rPr>
      <w:rFonts w:ascii="Segoe UI" w:hAnsi="Segoe UI" w:cs="Segoe UI"/>
      <w:sz w:val="18"/>
      <w:szCs w:val="18"/>
    </w:rPr>
  </w:style>
  <w:style w:type="character" w:styleId="CommentReference">
    <w:name w:val="annotation reference"/>
    <w:basedOn w:val="DefaultParagraphFont"/>
    <w:uiPriority w:val="99"/>
    <w:semiHidden/>
    <w:unhideWhenUsed/>
    <w:rsid w:val="00BF0A06"/>
    <w:rPr>
      <w:sz w:val="16"/>
      <w:szCs w:val="16"/>
    </w:rPr>
  </w:style>
  <w:style w:type="paragraph" w:styleId="CommentText">
    <w:name w:val="annotation text"/>
    <w:basedOn w:val="Normal"/>
    <w:link w:val="CommentTextChar"/>
    <w:uiPriority w:val="99"/>
    <w:unhideWhenUsed/>
    <w:rsid w:val="00BF0A06"/>
    <w:rPr>
      <w:sz w:val="20"/>
      <w:szCs w:val="20"/>
    </w:rPr>
  </w:style>
  <w:style w:type="character" w:customStyle="1" w:styleId="CommentTextChar">
    <w:name w:val="Comment Text Char"/>
    <w:basedOn w:val="DefaultParagraphFont"/>
    <w:link w:val="CommentText"/>
    <w:uiPriority w:val="99"/>
    <w:rsid w:val="00BF0A06"/>
    <w:rPr>
      <w:sz w:val="20"/>
      <w:szCs w:val="20"/>
    </w:rPr>
  </w:style>
  <w:style w:type="paragraph" w:styleId="CommentSubject">
    <w:name w:val="annotation subject"/>
    <w:basedOn w:val="CommentText"/>
    <w:next w:val="CommentText"/>
    <w:link w:val="CommentSubjectChar"/>
    <w:uiPriority w:val="99"/>
    <w:semiHidden/>
    <w:unhideWhenUsed/>
    <w:rsid w:val="00BF0A06"/>
    <w:rPr>
      <w:b/>
      <w:bCs/>
    </w:rPr>
  </w:style>
  <w:style w:type="character" w:customStyle="1" w:styleId="CommentSubjectChar">
    <w:name w:val="Comment Subject Char"/>
    <w:basedOn w:val="CommentTextChar"/>
    <w:link w:val="CommentSubject"/>
    <w:uiPriority w:val="99"/>
    <w:semiHidden/>
    <w:rsid w:val="00BF0A06"/>
    <w:rPr>
      <w:b/>
      <w:bCs/>
      <w:sz w:val="20"/>
      <w:szCs w:val="20"/>
    </w:rPr>
  </w:style>
  <w:style w:type="character" w:styleId="Hyperlink">
    <w:name w:val="Hyperlink"/>
    <w:basedOn w:val="DefaultParagraphFont"/>
    <w:uiPriority w:val="99"/>
    <w:unhideWhenUsed/>
    <w:rsid w:val="00294C11"/>
    <w:rPr>
      <w:color w:val="0000FF" w:themeColor="hyperlink"/>
      <w:u w:val="single"/>
    </w:rPr>
  </w:style>
  <w:style w:type="character" w:customStyle="1" w:styleId="UnresolvedMention1">
    <w:name w:val="Unresolved Mention1"/>
    <w:basedOn w:val="DefaultParagraphFont"/>
    <w:uiPriority w:val="99"/>
    <w:semiHidden/>
    <w:unhideWhenUsed/>
    <w:rsid w:val="00294C11"/>
    <w:rPr>
      <w:color w:val="605E5C"/>
      <w:shd w:val="clear" w:color="auto" w:fill="E1DFDD"/>
    </w:rPr>
  </w:style>
  <w:style w:type="character" w:customStyle="1" w:styleId="ListParagraphChar">
    <w:name w:val="List Paragraph Char"/>
    <w:basedOn w:val="DefaultParagraphFont"/>
    <w:link w:val="ListParagraph"/>
    <w:uiPriority w:val="34"/>
    <w:rsid w:val="0088086C"/>
  </w:style>
  <w:style w:type="paragraph" w:styleId="Revision">
    <w:name w:val="Revision"/>
    <w:hidden/>
    <w:uiPriority w:val="99"/>
    <w:semiHidden/>
    <w:rsid w:val="00B82446"/>
  </w:style>
  <w:style w:type="character" w:styleId="FollowedHyperlink">
    <w:name w:val="FollowedHyperlink"/>
    <w:basedOn w:val="DefaultParagraphFont"/>
    <w:uiPriority w:val="99"/>
    <w:semiHidden/>
    <w:unhideWhenUsed/>
    <w:rsid w:val="001A666C"/>
    <w:rPr>
      <w:color w:val="800080" w:themeColor="followedHyperlink"/>
      <w:u w:val="single"/>
    </w:rPr>
  </w:style>
  <w:style w:type="character" w:customStyle="1" w:styleId="UnresolvedMention2">
    <w:name w:val="Unresolved Mention2"/>
    <w:basedOn w:val="DefaultParagraphFont"/>
    <w:uiPriority w:val="99"/>
    <w:semiHidden/>
    <w:unhideWhenUsed/>
    <w:rsid w:val="00DC275D"/>
    <w:rPr>
      <w:color w:val="605E5C"/>
      <w:shd w:val="clear" w:color="auto" w:fill="E1DFDD"/>
    </w:rPr>
  </w:style>
  <w:style w:type="character" w:customStyle="1" w:styleId="Heading1Char">
    <w:name w:val="Heading 1 Char"/>
    <w:basedOn w:val="DefaultParagraphFont"/>
    <w:link w:val="Heading1"/>
    <w:uiPriority w:val="9"/>
    <w:rsid w:val="006829A0"/>
    <w:rPr>
      <w:rFonts w:ascii="Times New Roman" w:eastAsia="Times New Roman" w:hAnsi="Times New Roman" w:cs="Times New Roman"/>
      <w:b/>
      <w:bCs/>
      <w:lang w:eastAsia="en-US"/>
    </w:rPr>
  </w:style>
  <w:style w:type="paragraph" w:styleId="BodyText">
    <w:name w:val="Body Text"/>
    <w:basedOn w:val="Normal"/>
    <w:link w:val="BodyTextChar"/>
    <w:uiPriority w:val="1"/>
    <w:qFormat/>
    <w:rsid w:val="00215C75"/>
    <w:pPr>
      <w:widowControl w:val="0"/>
      <w:autoSpaceDE w:val="0"/>
      <w:autoSpaceDN w:val="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215C75"/>
    <w:rPr>
      <w:rFonts w:ascii="Times New Roman" w:eastAsia="Times New Roman" w:hAnsi="Times New Roman" w:cs="Times New Roman"/>
      <w:lang w:eastAsia="en-US"/>
    </w:rPr>
  </w:style>
  <w:style w:type="character" w:customStyle="1" w:styleId="UnresolvedMention3">
    <w:name w:val="Unresolved Mention3"/>
    <w:basedOn w:val="DefaultParagraphFont"/>
    <w:uiPriority w:val="99"/>
    <w:semiHidden/>
    <w:unhideWhenUsed/>
    <w:rsid w:val="001B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5519">
      <w:bodyDiv w:val="1"/>
      <w:marLeft w:val="0"/>
      <w:marRight w:val="0"/>
      <w:marTop w:val="0"/>
      <w:marBottom w:val="0"/>
      <w:divBdr>
        <w:top w:val="none" w:sz="0" w:space="0" w:color="auto"/>
        <w:left w:val="none" w:sz="0" w:space="0" w:color="auto"/>
        <w:bottom w:val="none" w:sz="0" w:space="0" w:color="auto"/>
        <w:right w:val="none" w:sz="0" w:space="0" w:color="auto"/>
      </w:divBdr>
    </w:div>
    <w:div w:id="193897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competitivepower.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513F-CC2B-42F3-906E-D86D660310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Shellman</dc:creator>
  <cp:keywords/>
  <dc:description/>
  <cp:lastModifiedBy>Michele Richmond</cp:lastModifiedBy>
  <cp:revision>2</cp:revision>
  <dcterms:created xsi:type="dcterms:W3CDTF">2022-05-18T20:50:00Z</dcterms:created>
  <dcterms:modified xsi:type="dcterms:W3CDTF">2022-05-18T20:50:00Z</dcterms:modified>
</cp:coreProperties>
</file>