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D74C8" w14:paraId="11A8C225"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E4F7D56" w14:textId="77777777" w:rsidR="00AD74C8" w:rsidRDefault="00AD74C8">
            <w:pPr>
              <w:pStyle w:val="Header"/>
            </w:pPr>
            <w:r>
              <w:t>Title</w:t>
            </w:r>
          </w:p>
        </w:tc>
        <w:tc>
          <w:tcPr>
            <w:tcW w:w="7560" w:type="dxa"/>
            <w:tcBorders>
              <w:top w:val="single" w:sz="4" w:space="0" w:color="auto"/>
              <w:left w:val="single" w:sz="4" w:space="0" w:color="auto"/>
              <w:bottom w:val="single" w:sz="4" w:space="0" w:color="auto"/>
              <w:right w:val="single" w:sz="4" w:space="0" w:color="auto"/>
            </w:tcBorders>
            <w:vAlign w:val="center"/>
          </w:tcPr>
          <w:p w14:paraId="3A88155F" w14:textId="4AF21C0E" w:rsidR="00AD74C8" w:rsidRDefault="00641F1E">
            <w:pPr>
              <w:pStyle w:val="NormalArial"/>
            </w:pPr>
            <w:r>
              <w:t xml:space="preserve">Joint </w:t>
            </w:r>
            <w:r w:rsidR="00AD74C8">
              <w:t xml:space="preserve">Comments on </w:t>
            </w:r>
            <w:r w:rsidR="00045409">
              <w:t>ERCOT’s</w:t>
            </w:r>
            <w:r w:rsidR="00AD74C8">
              <w:t xml:space="preserve"> Proposed Amendment to ERCOT Bylaws</w:t>
            </w:r>
            <w:r w:rsidR="00403246">
              <w:t xml:space="preserve"> </w:t>
            </w:r>
          </w:p>
        </w:tc>
      </w:tr>
      <w:tr w:rsidR="00152993" w14:paraId="2FD23D8F"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22CB6B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86B84CB" w14:textId="77777777" w:rsidR="00152993" w:rsidRDefault="00AD74C8">
            <w:pPr>
              <w:pStyle w:val="NormalArial"/>
            </w:pPr>
            <w:r>
              <w:t>September 30, 2022</w:t>
            </w:r>
          </w:p>
        </w:tc>
      </w:tr>
      <w:tr w:rsidR="00152993" w14:paraId="2FB42647" w14:textId="77777777">
        <w:trPr>
          <w:trHeight w:val="467"/>
        </w:trPr>
        <w:tc>
          <w:tcPr>
            <w:tcW w:w="2880" w:type="dxa"/>
            <w:tcBorders>
              <w:top w:val="single" w:sz="4" w:space="0" w:color="auto"/>
              <w:left w:val="nil"/>
              <w:bottom w:val="nil"/>
              <w:right w:val="nil"/>
            </w:tcBorders>
            <w:shd w:val="clear" w:color="auto" w:fill="FFFFFF"/>
            <w:vAlign w:val="center"/>
          </w:tcPr>
          <w:p w14:paraId="2F905A50" w14:textId="77777777" w:rsidR="00152993" w:rsidRDefault="00152993">
            <w:pPr>
              <w:pStyle w:val="NormalArial"/>
            </w:pPr>
          </w:p>
        </w:tc>
        <w:tc>
          <w:tcPr>
            <w:tcW w:w="7560" w:type="dxa"/>
            <w:tcBorders>
              <w:top w:val="nil"/>
              <w:left w:val="nil"/>
              <w:bottom w:val="nil"/>
              <w:right w:val="nil"/>
            </w:tcBorders>
            <w:vAlign w:val="center"/>
          </w:tcPr>
          <w:p w14:paraId="4FE56DDA" w14:textId="77777777" w:rsidR="00152993" w:rsidRDefault="00152993">
            <w:pPr>
              <w:pStyle w:val="NormalArial"/>
            </w:pPr>
          </w:p>
        </w:tc>
      </w:tr>
      <w:tr w:rsidR="00152993" w14:paraId="3C6546EA" w14:textId="77777777">
        <w:trPr>
          <w:trHeight w:val="440"/>
        </w:trPr>
        <w:tc>
          <w:tcPr>
            <w:tcW w:w="10440" w:type="dxa"/>
            <w:gridSpan w:val="2"/>
            <w:tcBorders>
              <w:top w:val="single" w:sz="4" w:space="0" w:color="auto"/>
            </w:tcBorders>
            <w:shd w:val="clear" w:color="auto" w:fill="FFFFFF"/>
            <w:vAlign w:val="center"/>
          </w:tcPr>
          <w:p w14:paraId="2D2D42B8" w14:textId="77777777" w:rsidR="00152993" w:rsidRDefault="00152993">
            <w:pPr>
              <w:pStyle w:val="Header"/>
              <w:jc w:val="center"/>
            </w:pPr>
            <w:r>
              <w:t>Submitter’s Information</w:t>
            </w:r>
          </w:p>
        </w:tc>
      </w:tr>
      <w:tr w:rsidR="00152993" w14:paraId="1C391F0C" w14:textId="77777777">
        <w:trPr>
          <w:trHeight w:val="350"/>
        </w:trPr>
        <w:tc>
          <w:tcPr>
            <w:tcW w:w="2880" w:type="dxa"/>
            <w:shd w:val="clear" w:color="auto" w:fill="FFFFFF"/>
            <w:vAlign w:val="center"/>
          </w:tcPr>
          <w:p w14:paraId="145E5015" w14:textId="77777777" w:rsidR="00152993" w:rsidRPr="00EC55B3" w:rsidRDefault="00152993" w:rsidP="00EC55B3">
            <w:pPr>
              <w:pStyle w:val="Header"/>
            </w:pPr>
            <w:r w:rsidRPr="00EC55B3">
              <w:t>Name</w:t>
            </w:r>
          </w:p>
        </w:tc>
        <w:tc>
          <w:tcPr>
            <w:tcW w:w="7560" w:type="dxa"/>
            <w:vAlign w:val="center"/>
          </w:tcPr>
          <w:p w14:paraId="0132FDA4" w14:textId="7DC2BF45" w:rsidR="00152993" w:rsidRDefault="00A13882">
            <w:pPr>
              <w:pStyle w:val="NormalArial"/>
            </w:pPr>
            <w:r>
              <w:t xml:space="preserve">Caitlin Smith </w:t>
            </w:r>
            <w:r w:rsidR="00935694">
              <w:t xml:space="preserve">on behalf of </w:t>
            </w:r>
            <w:r w:rsidR="000850EB">
              <w:t xml:space="preserve">Companies </w:t>
            </w:r>
          </w:p>
        </w:tc>
      </w:tr>
      <w:tr w:rsidR="00152993" w14:paraId="696E39F4" w14:textId="77777777">
        <w:trPr>
          <w:trHeight w:val="350"/>
        </w:trPr>
        <w:tc>
          <w:tcPr>
            <w:tcW w:w="2880" w:type="dxa"/>
            <w:shd w:val="clear" w:color="auto" w:fill="FFFFFF"/>
            <w:vAlign w:val="center"/>
          </w:tcPr>
          <w:p w14:paraId="5668D81D" w14:textId="77777777" w:rsidR="00152993" w:rsidRPr="00EC55B3" w:rsidRDefault="00152993" w:rsidP="00EC55B3">
            <w:pPr>
              <w:pStyle w:val="Header"/>
            </w:pPr>
            <w:r w:rsidRPr="00EC55B3">
              <w:t>E-mail Address</w:t>
            </w:r>
          </w:p>
        </w:tc>
        <w:tc>
          <w:tcPr>
            <w:tcW w:w="7560" w:type="dxa"/>
            <w:vAlign w:val="center"/>
          </w:tcPr>
          <w:p w14:paraId="0F37C431" w14:textId="5A00FE32" w:rsidR="00152993" w:rsidRDefault="00A13882">
            <w:pPr>
              <w:pStyle w:val="NormalArial"/>
            </w:pPr>
            <w:r>
              <w:t>Caitlin.Smith@JupiterPower.io</w:t>
            </w:r>
          </w:p>
        </w:tc>
      </w:tr>
      <w:tr w:rsidR="00152993" w14:paraId="181EB198" w14:textId="77777777">
        <w:trPr>
          <w:trHeight w:val="350"/>
        </w:trPr>
        <w:tc>
          <w:tcPr>
            <w:tcW w:w="2880" w:type="dxa"/>
            <w:shd w:val="clear" w:color="auto" w:fill="FFFFFF"/>
            <w:vAlign w:val="center"/>
          </w:tcPr>
          <w:p w14:paraId="44B241A6" w14:textId="77777777" w:rsidR="00152993" w:rsidRPr="00EC55B3" w:rsidRDefault="00152993" w:rsidP="00EC55B3">
            <w:pPr>
              <w:pStyle w:val="Header"/>
            </w:pPr>
            <w:r w:rsidRPr="00EC55B3">
              <w:t>Company</w:t>
            </w:r>
          </w:p>
        </w:tc>
        <w:tc>
          <w:tcPr>
            <w:tcW w:w="7560" w:type="dxa"/>
            <w:vAlign w:val="center"/>
          </w:tcPr>
          <w:p w14:paraId="058D4863" w14:textId="075D37DD" w:rsidR="00152993" w:rsidRDefault="00C25E06">
            <w:pPr>
              <w:pStyle w:val="NormalArial"/>
            </w:pPr>
            <w:r>
              <w:t>Joint Commenters</w:t>
            </w:r>
            <w:r w:rsidR="00AB6D98">
              <w:t xml:space="preserve"> (</w:t>
            </w:r>
            <w:r w:rsidR="000850EB">
              <w:t>see</w:t>
            </w:r>
            <w:r w:rsidR="00970226">
              <w:t xml:space="preserve"> below for Company Names and see</w:t>
            </w:r>
            <w:r w:rsidR="000850EB">
              <w:t xml:space="preserve"> </w:t>
            </w:r>
            <w:r w:rsidR="003056A2">
              <w:t>“</w:t>
            </w:r>
            <w:r w:rsidR="000850EB">
              <w:t xml:space="preserve">Appendix </w:t>
            </w:r>
            <w:r w:rsidR="003056A2">
              <w:t>A”</w:t>
            </w:r>
            <w:r w:rsidR="000850EB">
              <w:t xml:space="preserve"> for full Joint Commenters’ Submitters Information</w:t>
            </w:r>
            <w:r w:rsidR="00AB6D98">
              <w:t>)</w:t>
            </w:r>
          </w:p>
        </w:tc>
      </w:tr>
      <w:tr w:rsidR="00152993" w14:paraId="5C229B49" w14:textId="77777777">
        <w:trPr>
          <w:trHeight w:val="350"/>
        </w:trPr>
        <w:tc>
          <w:tcPr>
            <w:tcW w:w="2880" w:type="dxa"/>
            <w:tcBorders>
              <w:bottom w:val="single" w:sz="4" w:space="0" w:color="auto"/>
            </w:tcBorders>
            <w:shd w:val="clear" w:color="auto" w:fill="FFFFFF"/>
            <w:vAlign w:val="center"/>
          </w:tcPr>
          <w:p w14:paraId="6C8FCD76"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63CA1F60" w14:textId="3330B254" w:rsidR="00152993" w:rsidRDefault="00152993">
            <w:pPr>
              <w:pStyle w:val="NormalArial"/>
            </w:pPr>
          </w:p>
        </w:tc>
      </w:tr>
      <w:tr w:rsidR="00152993" w14:paraId="2C28FCCB" w14:textId="77777777">
        <w:trPr>
          <w:trHeight w:val="350"/>
        </w:trPr>
        <w:tc>
          <w:tcPr>
            <w:tcW w:w="2880" w:type="dxa"/>
            <w:shd w:val="clear" w:color="auto" w:fill="FFFFFF"/>
            <w:vAlign w:val="center"/>
          </w:tcPr>
          <w:p w14:paraId="36AC3190"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06F62653" w14:textId="1795BD89" w:rsidR="00152993" w:rsidRDefault="00A13882">
            <w:pPr>
              <w:pStyle w:val="NormalArial"/>
            </w:pPr>
            <w:r>
              <w:t>832-326-1238</w:t>
            </w:r>
          </w:p>
        </w:tc>
      </w:tr>
      <w:tr w:rsidR="00075A94" w14:paraId="4EDD69F5" w14:textId="77777777">
        <w:trPr>
          <w:trHeight w:val="350"/>
        </w:trPr>
        <w:tc>
          <w:tcPr>
            <w:tcW w:w="2880" w:type="dxa"/>
            <w:tcBorders>
              <w:bottom w:val="single" w:sz="4" w:space="0" w:color="auto"/>
            </w:tcBorders>
            <w:shd w:val="clear" w:color="auto" w:fill="FFFFFF"/>
            <w:vAlign w:val="center"/>
          </w:tcPr>
          <w:p w14:paraId="3B76CBE4"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5778C2FE" w14:textId="0975EDD8" w:rsidR="00075A94" w:rsidRDefault="00A13882">
            <w:pPr>
              <w:pStyle w:val="NormalArial"/>
            </w:pPr>
            <w:r>
              <w:t>Independent Generator</w:t>
            </w:r>
            <w:r w:rsidR="00970226" w:rsidRPr="00970226">
              <w:t xml:space="preserve">; Independent Retail Electric Provider; Municipal; Independent Power Marketer; Cooperative; </w:t>
            </w:r>
            <w:r w:rsidR="00970226">
              <w:t xml:space="preserve">Industrial Consumer; Commercial </w:t>
            </w:r>
            <w:r w:rsidR="00970226" w:rsidRPr="00970226">
              <w:t>Consumer</w:t>
            </w:r>
          </w:p>
        </w:tc>
      </w:tr>
    </w:tbl>
    <w:p w14:paraId="1F36B41F" w14:textId="77777777" w:rsidR="00152993" w:rsidRDefault="00152993">
      <w:pPr>
        <w:pStyle w:val="NormalArial"/>
      </w:pPr>
    </w:p>
    <w:p w14:paraId="10A8D41E"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57C5427" w14:textId="77777777" w:rsidTr="001466DD">
        <w:trPr>
          <w:trHeight w:val="422"/>
        </w:trPr>
        <w:tc>
          <w:tcPr>
            <w:tcW w:w="10440" w:type="dxa"/>
            <w:vAlign w:val="center"/>
          </w:tcPr>
          <w:p w14:paraId="37DE47FC" w14:textId="77777777" w:rsidR="00075A94" w:rsidRPr="00075A94" w:rsidRDefault="00075A94" w:rsidP="00B5080A">
            <w:pPr>
              <w:pStyle w:val="Header"/>
              <w:jc w:val="center"/>
            </w:pPr>
            <w:r w:rsidRPr="00075A94">
              <w:t>Comments</w:t>
            </w:r>
          </w:p>
        </w:tc>
      </w:tr>
    </w:tbl>
    <w:p w14:paraId="6DB5528D" w14:textId="77777777" w:rsidR="00152993" w:rsidRDefault="00AD74C8" w:rsidP="003A0D72">
      <w:pPr>
        <w:pStyle w:val="NormalArial"/>
        <w:spacing w:before="240"/>
        <w:jc w:val="center"/>
        <w:rPr>
          <w:b/>
          <w:bCs/>
        </w:rPr>
      </w:pPr>
      <w:r>
        <w:rPr>
          <w:b/>
          <w:bCs/>
          <w:u w:val="single"/>
        </w:rPr>
        <w:t>Introduction</w:t>
      </w:r>
    </w:p>
    <w:p w14:paraId="4618997A" w14:textId="77777777" w:rsidR="003056A2" w:rsidRDefault="00AD74C8" w:rsidP="003056A2">
      <w:pPr>
        <w:pStyle w:val="NormalArial"/>
        <w:spacing w:before="240"/>
        <w:jc w:val="both"/>
      </w:pPr>
      <w:r>
        <w:t>The Corporate Members of the identified companies and market segments (collectively</w:t>
      </w:r>
      <w:r w:rsidR="00045409">
        <w:t xml:space="preserve">, </w:t>
      </w:r>
      <w:r>
        <w:t>“Joint Commenters”) respectfully submit these comments to</w:t>
      </w:r>
      <w:r w:rsidR="001673C6">
        <w:t xml:space="preserve"> </w:t>
      </w:r>
      <w:r w:rsidR="001673C6" w:rsidRPr="001673C6">
        <w:t xml:space="preserve">ERCOT’s </w:t>
      </w:r>
      <w:r w:rsidR="00A244E0">
        <w:t>September</w:t>
      </w:r>
      <w:r w:rsidR="001673C6" w:rsidRPr="001673C6">
        <w:t xml:space="preserve"> 9, 2022,</w:t>
      </w:r>
      <w:r>
        <w:t xml:space="preserve"> </w:t>
      </w:r>
      <w:hyperlink r:id="rId8" w:history="1">
        <w:r w:rsidR="001673C6">
          <w:rPr>
            <w:rStyle w:val="Hyperlink"/>
          </w:rPr>
          <w:t>proposed amendments</w:t>
        </w:r>
      </w:hyperlink>
      <w:r w:rsidR="001673C6">
        <w:t xml:space="preserve"> </w:t>
      </w:r>
      <w:r w:rsidR="00045409">
        <w:t>to the</w:t>
      </w:r>
      <w:r w:rsidR="009A021F">
        <w:t xml:space="preserve">  </w:t>
      </w:r>
      <w:r w:rsidR="009A021F" w:rsidRPr="009A021F">
        <w:t>Amended and Restated Bylaws of Electric Reliability Council of Texas, Inc. (</w:t>
      </w:r>
      <w:r w:rsidR="009A021F">
        <w:t>effective</w:t>
      </w:r>
      <w:r w:rsidR="009A021F" w:rsidRPr="009A021F">
        <w:t xml:space="preserve"> October 12, 2021)</w:t>
      </w:r>
      <w:r w:rsidR="00045409">
        <w:t xml:space="preserve"> </w:t>
      </w:r>
      <w:r w:rsidR="009A021F">
        <w:t>(“</w:t>
      </w:r>
      <w:hyperlink r:id="rId9" w:history="1">
        <w:r w:rsidR="009A021F">
          <w:rPr>
            <w:rStyle w:val="Hyperlink"/>
          </w:rPr>
          <w:t>ERCOT Bylaws</w:t>
        </w:r>
      </w:hyperlink>
      <w:r w:rsidR="009A021F">
        <w:t>”)</w:t>
      </w:r>
      <w:r w:rsidR="00045409">
        <w:t xml:space="preserve">. </w:t>
      </w:r>
    </w:p>
    <w:p w14:paraId="602CEB20" w14:textId="3ABF8723" w:rsidR="00746506" w:rsidRPr="003056A2" w:rsidRDefault="00545B42" w:rsidP="003056A2">
      <w:pPr>
        <w:pStyle w:val="NormalArial"/>
        <w:spacing w:before="240"/>
        <w:jc w:val="both"/>
        <w:rPr>
          <w:i/>
          <w:iCs/>
        </w:rPr>
      </w:pPr>
      <w:r w:rsidRPr="00E86ECD">
        <w:rPr>
          <w:b/>
          <w:bCs/>
        </w:rPr>
        <w:t xml:space="preserve">Joint Commenters comprise of </w:t>
      </w:r>
      <w:r w:rsidR="003056A2" w:rsidRPr="00E86ECD">
        <w:rPr>
          <w:b/>
          <w:bCs/>
        </w:rPr>
        <w:t>2</w:t>
      </w:r>
      <w:r w:rsidR="00E86ECD" w:rsidRPr="00E86ECD">
        <w:rPr>
          <w:b/>
          <w:bCs/>
        </w:rPr>
        <w:t>7</w:t>
      </w:r>
      <w:r w:rsidR="00796EAA" w:rsidRPr="00E86ECD">
        <w:rPr>
          <w:b/>
          <w:bCs/>
        </w:rPr>
        <w:t xml:space="preserve"> number of</w:t>
      </w:r>
      <w:r w:rsidRPr="00E86ECD">
        <w:rPr>
          <w:b/>
          <w:bCs/>
        </w:rPr>
        <w:t xml:space="preserve"> </w:t>
      </w:r>
      <w:r w:rsidR="000C3758" w:rsidRPr="00E86ECD">
        <w:rPr>
          <w:b/>
          <w:bCs/>
        </w:rPr>
        <w:t xml:space="preserve">separate </w:t>
      </w:r>
      <w:r w:rsidRPr="00E86ECD">
        <w:rPr>
          <w:b/>
          <w:bCs/>
        </w:rPr>
        <w:t>2022 ERCOT Corporate Members</w:t>
      </w:r>
      <w:r w:rsidR="000850EB" w:rsidRPr="00E86ECD">
        <w:rPr>
          <w:b/>
          <w:bCs/>
        </w:rPr>
        <w:t>:</w:t>
      </w:r>
      <w:r w:rsidR="000850EB">
        <w:t xml:space="preserve"> </w:t>
      </w:r>
      <w:r w:rsidR="00A13882" w:rsidRPr="00650A83">
        <w:rPr>
          <w:i/>
          <w:iCs/>
        </w:rPr>
        <w:t>Jupiter Power LLC; Reliant Energy Retail Services LLC;</w:t>
      </w:r>
      <w:r w:rsidR="003056A2">
        <w:rPr>
          <w:i/>
          <w:iCs/>
        </w:rPr>
        <w:t xml:space="preserve"> </w:t>
      </w:r>
      <w:r w:rsidR="003056A2" w:rsidRPr="003056A2">
        <w:rPr>
          <w:i/>
          <w:iCs/>
        </w:rPr>
        <w:t>Calpine Corporation</w:t>
      </w:r>
      <w:r w:rsidR="003056A2">
        <w:rPr>
          <w:i/>
          <w:iCs/>
        </w:rPr>
        <w:t xml:space="preserve">; </w:t>
      </w:r>
      <w:r w:rsidR="003056A2" w:rsidRPr="003056A2">
        <w:rPr>
          <w:i/>
          <w:iCs/>
        </w:rPr>
        <w:t>Luminant Generation Company LLC</w:t>
      </w:r>
      <w:r w:rsidR="003056A2">
        <w:rPr>
          <w:i/>
          <w:iCs/>
        </w:rPr>
        <w:t xml:space="preserve">; </w:t>
      </w:r>
      <w:r w:rsidR="003056A2" w:rsidRPr="003056A2">
        <w:rPr>
          <w:i/>
          <w:iCs/>
        </w:rPr>
        <w:t>CPS Energy</w:t>
      </w:r>
      <w:r w:rsidR="003056A2">
        <w:rPr>
          <w:i/>
          <w:iCs/>
        </w:rPr>
        <w:t xml:space="preserve">; </w:t>
      </w:r>
      <w:r w:rsidR="003056A2" w:rsidRPr="003056A2">
        <w:rPr>
          <w:i/>
          <w:iCs/>
        </w:rPr>
        <w:t>Austin Energy</w:t>
      </w:r>
      <w:r w:rsidR="003056A2">
        <w:rPr>
          <w:i/>
          <w:iCs/>
        </w:rPr>
        <w:t xml:space="preserve">; </w:t>
      </w:r>
      <w:r w:rsidR="003056A2" w:rsidRPr="003056A2">
        <w:rPr>
          <w:i/>
          <w:iCs/>
        </w:rPr>
        <w:t>Golden Spread Electric Cooperative Inc.; EDF Trading North America LLC; Tenaska Power Services Co.; GEUS; Fayette Electric Cooperative Inc.; Air Liquide Large Industries U.S. LLP; WattBridge Texas LLC; City of Eastland; RWE Renewables Americas LLC; Southern Power Company; Kerrville Public Utility Board; City of Garland; Demand Control 2, LLC; Eolian, L.P.; Denton Municipal Electric; OhmConnect Texas LLC; AP Gas &amp; Electric (TX) LLC dba APG&amp;E; Shell Energy North America (US) LP; Key Capture Energy LLC; and Apex Clean Energy Holdings</w:t>
      </w:r>
      <w:r w:rsidR="00E86ECD">
        <w:rPr>
          <w:i/>
          <w:iCs/>
        </w:rPr>
        <w:t>; Buffalo Gap Wind LLC</w:t>
      </w:r>
      <w:r w:rsidR="000850EB" w:rsidRPr="003056A2">
        <w:t>.</w:t>
      </w:r>
      <w:r w:rsidR="003162B6">
        <w:rPr>
          <w:rStyle w:val="FootnoteReference"/>
        </w:rPr>
        <w:footnoteReference w:id="1"/>
      </w:r>
      <w:r w:rsidR="00ED6C9C">
        <w:rPr>
          <w:vertAlign w:val="superscript"/>
        </w:rPr>
        <w:t>,</w:t>
      </w:r>
      <w:r w:rsidR="00ED6C9C">
        <w:rPr>
          <w:rStyle w:val="FootnoteReference"/>
        </w:rPr>
        <w:footnoteReference w:id="2"/>
      </w:r>
      <w:r w:rsidR="000850EB" w:rsidRPr="003056A2">
        <w:t xml:space="preserve"> </w:t>
      </w:r>
      <w:r w:rsidR="000850EB" w:rsidRPr="00E86ECD">
        <w:rPr>
          <w:b/>
          <w:bCs/>
        </w:rPr>
        <w:t>Joint Commenters’ ERCOT Corporate Members represent</w:t>
      </w:r>
      <w:r w:rsidR="000461E4" w:rsidRPr="00E86ECD">
        <w:rPr>
          <w:b/>
          <w:bCs/>
        </w:rPr>
        <w:t xml:space="preserve"> </w:t>
      </w:r>
      <w:r w:rsidR="00796EAA" w:rsidRPr="00E86ECD">
        <w:rPr>
          <w:b/>
          <w:bCs/>
        </w:rPr>
        <w:t xml:space="preserve">six </w:t>
      </w:r>
      <w:r w:rsidR="00685852" w:rsidRPr="00E86ECD">
        <w:rPr>
          <w:b/>
          <w:bCs/>
        </w:rPr>
        <w:t xml:space="preserve">different </w:t>
      </w:r>
      <w:r w:rsidR="00796EAA" w:rsidRPr="00E86ECD">
        <w:rPr>
          <w:b/>
          <w:bCs/>
        </w:rPr>
        <w:t>(non-Adjunct)</w:t>
      </w:r>
      <w:r w:rsidR="00101E5D" w:rsidRPr="00E86ECD">
        <w:rPr>
          <w:b/>
          <w:bCs/>
        </w:rPr>
        <w:t xml:space="preserve"> </w:t>
      </w:r>
      <w:r w:rsidRPr="00E86ECD">
        <w:rPr>
          <w:b/>
          <w:bCs/>
        </w:rPr>
        <w:t>Market Segments</w:t>
      </w:r>
      <w:r w:rsidR="000850EB" w:rsidRPr="003056A2">
        <w:t xml:space="preserve">: </w:t>
      </w:r>
      <w:r w:rsidR="00A13882" w:rsidRPr="003056A2">
        <w:rPr>
          <w:i/>
          <w:iCs/>
        </w:rPr>
        <w:t>Independent Generator; Independent Retail Electric Provider; Municipal; Independent Power Marketer; Cooperative;</w:t>
      </w:r>
      <w:r w:rsidR="000850EB" w:rsidRPr="003056A2">
        <w:rPr>
          <w:i/>
          <w:iCs/>
        </w:rPr>
        <w:t xml:space="preserve"> and</w:t>
      </w:r>
      <w:r w:rsidR="00A13882" w:rsidRPr="003056A2">
        <w:rPr>
          <w:i/>
          <w:iCs/>
        </w:rPr>
        <w:t xml:space="preserve"> Consumers</w:t>
      </w:r>
      <w:r w:rsidR="000850EB" w:rsidRPr="003056A2">
        <w:rPr>
          <w:i/>
          <w:iCs/>
        </w:rPr>
        <w:t xml:space="preserve"> (including Industrial Consumers and </w:t>
      </w:r>
      <w:r w:rsidR="000850EB" w:rsidRPr="003056A2">
        <w:rPr>
          <w:i/>
          <w:iCs/>
        </w:rPr>
        <w:lastRenderedPageBreak/>
        <w:t>Commercial Consumers)</w:t>
      </w:r>
      <w:r w:rsidRPr="003056A2">
        <w:t>.</w:t>
      </w:r>
      <w:r w:rsidR="003056A2" w:rsidRPr="003056A2">
        <w:t xml:space="preserve"> </w:t>
      </w:r>
      <w:r w:rsidR="00F2381E" w:rsidRPr="003056A2">
        <w:t>Joint Commenters</w:t>
      </w:r>
      <w:r w:rsidR="007F5B43">
        <w:t xml:space="preserve"> appreciate the opportunity to comment on ERCOT’s proposed amendments.</w:t>
      </w:r>
      <w:r w:rsidR="003162B6">
        <w:rPr>
          <w:rStyle w:val="FootnoteReference"/>
        </w:rPr>
        <w:footnoteReference w:id="3"/>
      </w:r>
    </w:p>
    <w:p w14:paraId="364506DD" w14:textId="39201137" w:rsidR="00A244E0" w:rsidRDefault="00045409" w:rsidP="00045409">
      <w:pPr>
        <w:pStyle w:val="NormalArial"/>
        <w:spacing w:before="240"/>
        <w:jc w:val="both"/>
      </w:pPr>
      <w:r>
        <w:t>At the August 1</w:t>
      </w:r>
      <w:r w:rsidR="00E57BDD">
        <w:t>5</w:t>
      </w:r>
      <w:r>
        <w:t xml:space="preserve">, 2022, meeting of the </w:t>
      </w:r>
      <w:r w:rsidR="00E57BDD">
        <w:t>Human Resources and Governance (“HR&amp;G</w:t>
      </w:r>
      <w:r w:rsidR="00AF6F19">
        <w:t>”</w:t>
      </w:r>
      <w:r w:rsidR="00E57BDD">
        <w:t xml:space="preserve">) Committee of the </w:t>
      </w:r>
      <w:r>
        <w:t xml:space="preserve">ERCOT Board of Directors (“ERCOT Board”), the </w:t>
      </w:r>
      <w:r w:rsidR="00E57BDD">
        <w:t xml:space="preserve">HR&amp;G Committee directed ERCOT staff to propose amendments to </w:t>
      </w:r>
      <w:r w:rsidR="00746506">
        <w:t xml:space="preserve">the </w:t>
      </w:r>
      <w:r w:rsidR="00E57BDD">
        <w:t>ERCOT Bylaws</w:t>
      </w:r>
      <w:r w:rsidR="007F5B43">
        <w:t xml:space="preserve"> such that future amendments to ERCOT’s governing documents</w:t>
      </w:r>
      <w:r w:rsidR="007F5B43" w:rsidRPr="007F5B43">
        <w:t>—i.e., the Amended and Restated Certificate of Formation of Electric Reliability Council of Texas, Inc. (effective Jan</w:t>
      </w:r>
      <w:r w:rsidR="00F83660">
        <w:t>uary</w:t>
      </w:r>
      <w:r w:rsidR="007F5B43" w:rsidRPr="007F5B43">
        <w:t xml:space="preserve"> 31, 2019) (“ERCOT COF”) and the ERCOT Bylaws</w:t>
      </w:r>
      <w:r w:rsidR="007F5B43">
        <w:t>—</w:t>
      </w:r>
      <w:r w:rsidR="007F5B43" w:rsidRPr="007F5B43">
        <w:t>would not require approval by the Corporate Members</w:t>
      </w:r>
      <w:r w:rsidR="007F5B43">
        <w:t xml:space="preserve">, thereby providing that Corporate Members would only retain </w:t>
      </w:r>
      <w:r w:rsidR="007F5B43" w:rsidRPr="007F5B43">
        <w:t xml:space="preserve">the right to elect </w:t>
      </w:r>
      <w:r w:rsidR="007F5B43">
        <w:t>representatives of the Technical Advisory Committee (“TAC”) of ERCOT</w:t>
      </w:r>
      <w:r w:rsidR="00F83660">
        <w:t>, and no other voting rights</w:t>
      </w:r>
      <w:r w:rsidR="00331517">
        <w:t xml:space="preserve"> related to ERCOT governance matters</w:t>
      </w:r>
      <w:r w:rsidR="007F5B43" w:rsidRPr="007F5B43">
        <w:t>.</w:t>
      </w:r>
      <w:r w:rsidR="007F5B43">
        <w:t xml:space="preserve"> </w:t>
      </w:r>
    </w:p>
    <w:p w14:paraId="112516C4" w14:textId="6F62C975" w:rsidR="00746506" w:rsidRDefault="00746506" w:rsidP="00045409">
      <w:pPr>
        <w:pStyle w:val="NormalArial"/>
        <w:spacing w:before="240"/>
        <w:jc w:val="both"/>
      </w:pPr>
      <w:r>
        <w:t>On September 9, 2022</w:t>
      </w:r>
      <w:r w:rsidR="00DE3351">
        <w:t xml:space="preserve"> (following the August HR&amp;G</w:t>
      </w:r>
      <w:r w:rsidR="00F2381E">
        <w:t xml:space="preserve"> </w:t>
      </w:r>
      <w:r w:rsidR="00DE3351">
        <w:t>and</w:t>
      </w:r>
      <w:r w:rsidR="00F2381E">
        <w:t xml:space="preserve"> </w:t>
      </w:r>
      <w:r w:rsidR="00DE3351">
        <w:t>ERCOT Board meeting</w:t>
      </w:r>
      <w:r w:rsidR="00AB6D98">
        <w:t>s</w:t>
      </w:r>
      <w:r w:rsidR="00DE3351">
        <w:t>)</w:t>
      </w:r>
      <w:r w:rsidR="00AB6D98">
        <w:t>,</w:t>
      </w:r>
      <w:r w:rsidR="00F2381E">
        <w:t xml:space="preserve"> </w:t>
      </w:r>
      <w:r>
        <w:t xml:space="preserve">ERCOT staff posted </w:t>
      </w:r>
      <w:r w:rsidR="001673C6">
        <w:t xml:space="preserve">proposed amendments </w:t>
      </w:r>
      <w:r>
        <w:t>to the ERCOT Bylaws</w:t>
      </w:r>
      <w:r w:rsidR="001673C6">
        <w:t xml:space="preserve"> and </w:t>
      </w:r>
      <w:r>
        <w:t xml:space="preserve">issued </w:t>
      </w:r>
      <w:r w:rsidR="00AF6F19">
        <w:t xml:space="preserve">a </w:t>
      </w:r>
      <w:hyperlink r:id="rId10" w:history="1">
        <w:r w:rsidR="00AF6F19">
          <w:rPr>
            <w:rStyle w:val="Hyperlink"/>
          </w:rPr>
          <w:t>Market Notice</w:t>
        </w:r>
      </w:hyperlink>
      <w:r w:rsidR="001673C6">
        <w:t xml:space="preserve"> inviting Corporate Members to comment on the proposed amendments by </w:t>
      </w:r>
      <w:r w:rsidR="00A244E0">
        <w:t>September</w:t>
      </w:r>
      <w:r w:rsidR="001673C6">
        <w:t xml:space="preserve"> 30, 2022</w:t>
      </w:r>
      <w:r w:rsidR="00AF6F19">
        <w:t xml:space="preserve">. </w:t>
      </w:r>
      <w:r w:rsidR="00A244E0">
        <w:t xml:space="preserve">Although </w:t>
      </w:r>
      <w:r w:rsidR="00C70AC7">
        <w:t>the Market Notice</w:t>
      </w:r>
      <w:r w:rsidR="00AF6F19">
        <w:t xml:space="preserve"> noted</w:t>
      </w:r>
      <w:r w:rsidR="001673C6">
        <w:t xml:space="preserve"> an expected discussion of the proposed amendments and </w:t>
      </w:r>
      <w:r w:rsidR="00C70AC7">
        <w:t xml:space="preserve">Corporate Member </w:t>
      </w:r>
      <w:r w:rsidR="001673C6">
        <w:t xml:space="preserve">comments at the </w:t>
      </w:r>
      <w:r w:rsidR="00A244E0">
        <w:t>October</w:t>
      </w:r>
      <w:r w:rsidR="001673C6">
        <w:t xml:space="preserve"> 17 </w:t>
      </w:r>
      <w:r w:rsidR="00A244E0">
        <w:t>and</w:t>
      </w:r>
      <w:r w:rsidR="001673C6">
        <w:t xml:space="preserve"> 18, 2022 HR&amp;G Committee and ERCOT Board meetings</w:t>
      </w:r>
      <w:r w:rsidR="00770559">
        <w:t>,</w:t>
      </w:r>
      <w:r w:rsidR="003064C8">
        <w:t xml:space="preserve"> a subsequent </w:t>
      </w:r>
      <w:hyperlink r:id="rId11" w:history="1">
        <w:r w:rsidR="003064C8" w:rsidRPr="003064C8">
          <w:rPr>
            <w:rStyle w:val="Hyperlink"/>
          </w:rPr>
          <w:t>Market Notice</w:t>
        </w:r>
      </w:hyperlink>
      <w:r w:rsidR="003064C8">
        <w:t xml:space="preserve"> on September 29, 2022, indicated that the </w:t>
      </w:r>
      <w:r w:rsidR="003064C8" w:rsidRPr="003064C8">
        <w:t>HR&amp;G Committee and Board do not intend to vote on the proposed amendment at the October 17 and 18, 2022 meetings</w:t>
      </w:r>
      <w:r w:rsidR="003064C8">
        <w:t>,</w:t>
      </w:r>
      <w:r w:rsidR="003064C8" w:rsidRPr="003064C8">
        <w:t xml:space="preserve"> </w:t>
      </w:r>
      <w:r w:rsidR="003056A2">
        <w:t xml:space="preserve">and intend to </w:t>
      </w:r>
      <w:r w:rsidR="003064C8" w:rsidRPr="003064C8">
        <w:t>continue to discuss overall corporate governance matters,</w:t>
      </w:r>
      <w:r w:rsidR="003064C8">
        <w:t xml:space="preserve"> in conjunction with the Reliability and Markets Committee (R&amp;M),</w:t>
      </w:r>
      <w:r w:rsidR="003064C8" w:rsidRPr="003064C8">
        <w:t xml:space="preserve"> including the proposed Bylaws amendment and stakeholder process enhancements as part of the TAC Structural and Procedural Review.</w:t>
      </w:r>
      <w:r w:rsidR="00770559">
        <w:t xml:space="preserve"> </w:t>
      </w:r>
      <w:r w:rsidR="003064C8">
        <w:t>Joint Commenters appreciate the intent for “</w:t>
      </w:r>
      <w:r w:rsidR="003064C8" w:rsidRPr="003064C8">
        <w:t>enhancing stakeholder input and involvement in the R&amp;M Committee and Board processes</w:t>
      </w:r>
      <w:r w:rsidR="003064C8">
        <w:t>.”</w:t>
      </w:r>
      <w:r w:rsidR="003064C8">
        <w:rPr>
          <w:rStyle w:val="FootnoteReference"/>
        </w:rPr>
        <w:footnoteReference w:id="4"/>
      </w:r>
      <w:r w:rsidR="003064C8">
        <w:t xml:space="preserve"> However, </w:t>
      </w:r>
      <w:r w:rsidR="00770559">
        <w:t>it has</w:t>
      </w:r>
      <w:r w:rsidR="003C02A0">
        <w:t xml:space="preserve"> not</w:t>
      </w:r>
      <w:r w:rsidR="00770559">
        <w:t xml:space="preserve"> been </w:t>
      </w:r>
      <w:r w:rsidR="00D46A84">
        <w:t>clearly communicated</w:t>
      </w:r>
      <w:r w:rsidR="00770559">
        <w:t xml:space="preserve"> </w:t>
      </w:r>
      <w:r w:rsidR="00D46A84">
        <w:t>to</w:t>
      </w:r>
      <w:r w:rsidR="00770559">
        <w:t xml:space="preserve"> </w:t>
      </w:r>
      <w:r w:rsidR="00AF6F19">
        <w:t xml:space="preserve">the </w:t>
      </w:r>
      <w:r w:rsidR="00770559">
        <w:t>Corporate Members</w:t>
      </w:r>
      <w:r w:rsidR="00D46A84">
        <w:t xml:space="preserve"> that they</w:t>
      </w:r>
      <w:r w:rsidR="00770559">
        <w:t xml:space="preserve"> will be given an opportunity to vote on any such ERCOT</w:t>
      </w:r>
      <w:r w:rsidR="00AB6D98">
        <w:t xml:space="preserve"> </w:t>
      </w:r>
      <w:r w:rsidR="00770559">
        <w:t>Board</w:t>
      </w:r>
      <w:r w:rsidR="00AB6D98">
        <w:t>-</w:t>
      </w:r>
      <w:r w:rsidR="00770559">
        <w:t xml:space="preserve">approved </w:t>
      </w:r>
      <w:r w:rsidR="00AF6F19">
        <w:t xml:space="preserve">amendments </w:t>
      </w:r>
      <w:r w:rsidR="00770559">
        <w:t>to the ERCOT Bylaws, as is required by ERCOT’s governing documents</w:t>
      </w:r>
      <w:r w:rsidR="00AF6F19" w:rsidRPr="000A5228">
        <w:t>.</w:t>
      </w:r>
      <w:r w:rsidR="00DE3351" w:rsidDel="00DE3351">
        <w:rPr>
          <w:rStyle w:val="FootnoteReference"/>
        </w:rPr>
        <w:t xml:space="preserve"> </w:t>
      </w:r>
    </w:p>
    <w:p w14:paraId="56E725CF" w14:textId="270B65B3" w:rsidR="00770559" w:rsidRDefault="00C21A13" w:rsidP="00AD74C8">
      <w:pPr>
        <w:pStyle w:val="NormalArial"/>
        <w:spacing w:before="240"/>
        <w:jc w:val="both"/>
      </w:pPr>
      <w:r>
        <w:t xml:space="preserve">Joint Commenters appreciate the </w:t>
      </w:r>
      <w:r w:rsidR="00082926">
        <w:t xml:space="preserve">continued </w:t>
      </w:r>
      <w:r>
        <w:t>ability to comment</w:t>
      </w:r>
      <w:r w:rsidR="00DE3351">
        <w:t xml:space="preserve"> on the proposed amendments to the ERCOT Bylaws</w:t>
      </w:r>
      <w:r>
        <w:t xml:space="preserve"> and have spent </w:t>
      </w:r>
      <w:r w:rsidR="00AB6D98">
        <w:t>a considerable amount</w:t>
      </w:r>
      <w:r w:rsidR="00CE4426">
        <w:t xml:space="preserve"> of</w:t>
      </w:r>
      <w:r w:rsidR="00AB6D98">
        <w:t xml:space="preserve"> </w:t>
      </w:r>
      <w:r>
        <w:t>time to</w:t>
      </w:r>
      <w:r w:rsidR="005233C4">
        <w:t xml:space="preserve"> provide </w:t>
      </w:r>
      <w:r>
        <w:t xml:space="preserve">guidance on potential issues arising from </w:t>
      </w:r>
      <w:r w:rsidR="00DE3351">
        <w:t>the proposed</w:t>
      </w:r>
      <w:r>
        <w:t xml:space="preserve"> amendment</w:t>
      </w:r>
      <w:r w:rsidR="00DE3351">
        <w:t>s</w:t>
      </w:r>
      <w:r>
        <w:t xml:space="preserve">. </w:t>
      </w:r>
      <w:r w:rsidR="00770559">
        <w:t xml:space="preserve">These comments identify policy implications and legal questions concerning the proposed amendments to the ERCOT Bylaws and the process by which such amendments </w:t>
      </w:r>
      <w:r w:rsidR="00331517">
        <w:t xml:space="preserve">are </w:t>
      </w:r>
      <w:r w:rsidR="00DE3351">
        <w:t>effectuated</w:t>
      </w:r>
      <w:r w:rsidR="00770559">
        <w:t xml:space="preserve">. </w:t>
      </w:r>
      <w:r w:rsidR="006F62FC">
        <w:t>The</w:t>
      </w:r>
      <w:r w:rsidR="00D1460F">
        <w:t xml:space="preserve"> continued and increased</w:t>
      </w:r>
      <w:r w:rsidR="006F62FC">
        <w:t xml:space="preserve"> health and </w:t>
      </w:r>
      <w:r w:rsidR="00A244E0">
        <w:t>reliability</w:t>
      </w:r>
      <w:r w:rsidR="006F62FC">
        <w:t xml:space="preserve"> of the ERCOT market and grid are of the utmost importance to all market segments, as evidenced by the collaboration of representatives from each segment </w:t>
      </w:r>
      <w:r w:rsidR="00F83660">
        <w:t>on</w:t>
      </w:r>
      <w:r w:rsidR="006F62FC">
        <w:t xml:space="preserve"> these comments. </w:t>
      </w:r>
      <w:r w:rsidR="006F62FC" w:rsidRPr="00E3467E">
        <w:t xml:space="preserve">To help ensure that any amendments to ERCOT’s governing documents avoid adverse impacts to the </w:t>
      </w:r>
      <w:r w:rsidR="006F62FC" w:rsidRPr="00E3467E">
        <w:lastRenderedPageBreak/>
        <w:t>ERCOT market and gri</w:t>
      </w:r>
      <w:r w:rsidR="00335052">
        <w:t>d and satisfy legal requirements</w:t>
      </w:r>
      <w:r w:rsidR="006F62FC" w:rsidRPr="00E3467E">
        <w:t xml:space="preserve">, the </w:t>
      </w:r>
      <w:r w:rsidR="00770559" w:rsidRPr="00E3467E">
        <w:t xml:space="preserve">Joint Commenters respectfully request </w:t>
      </w:r>
      <w:r w:rsidR="00E3467E" w:rsidRPr="00E3467E">
        <w:t xml:space="preserve">that the ERCOT Board fully consider </w:t>
      </w:r>
      <w:r w:rsidR="006F62FC" w:rsidRPr="0019603A">
        <w:t xml:space="preserve">these comments </w:t>
      </w:r>
      <w:r w:rsidR="00E3467E" w:rsidRPr="00E3467E">
        <w:t xml:space="preserve">and present </w:t>
      </w:r>
      <w:r w:rsidR="00A15AB4">
        <w:t>any</w:t>
      </w:r>
      <w:r w:rsidR="00E3467E" w:rsidRPr="00E3467E">
        <w:t xml:space="preserve"> </w:t>
      </w:r>
      <w:r w:rsidR="00AB6D98">
        <w:t xml:space="preserve">ERCOT </w:t>
      </w:r>
      <w:r w:rsidR="00E3467E" w:rsidRPr="00E3467E">
        <w:t>Board-approved amendments for a full vote of the Corporate Members</w:t>
      </w:r>
      <w:r w:rsidR="00E3467E">
        <w:t xml:space="preserve"> as </w:t>
      </w:r>
      <w:r w:rsidR="0012316E">
        <w:t xml:space="preserve">set forth in </w:t>
      </w:r>
      <w:r w:rsidR="00E3467E">
        <w:t>the ERCOT Bylaws</w:t>
      </w:r>
      <w:r w:rsidR="00E3467E" w:rsidRPr="00E3467E">
        <w:t xml:space="preserve">. </w:t>
      </w:r>
    </w:p>
    <w:p w14:paraId="7CA25069" w14:textId="77777777" w:rsidR="00770559" w:rsidRPr="00151B47" w:rsidRDefault="00770559" w:rsidP="00BC1DAD">
      <w:pPr>
        <w:pStyle w:val="NormalArial"/>
        <w:numPr>
          <w:ilvl w:val="0"/>
          <w:numId w:val="9"/>
        </w:numPr>
        <w:spacing w:before="240"/>
        <w:ind w:left="0" w:firstLine="0"/>
        <w:jc w:val="center"/>
        <w:rPr>
          <w:b/>
          <w:bCs/>
        </w:rPr>
      </w:pPr>
      <w:r>
        <w:rPr>
          <w:b/>
          <w:bCs/>
        </w:rPr>
        <w:t>Policy Considerations</w:t>
      </w:r>
    </w:p>
    <w:p w14:paraId="79F3C0A8" w14:textId="56C93B77" w:rsidR="006F62FC" w:rsidRDefault="006F62FC" w:rsidP="00BC1DAD">
      <w:pPr>
        <w:pStyle w:val="NormalArial"/>
        <w:spacing w:before="240"/>
        <w:jc w:val="both"/>
      </w:pPr>
      <w:r>
        <w:t xml:space="preserve">The Joint Commenters believe it </w:t>
      </w:r>
      <w:r w:rsidR="00FD6FE3" w:rsidRPr="00FD6FE3">
        <w:t>imperative to emphasize the chilling effect the proposed amendments could have on decisions to enhance and maintain the health and reliability of the ERCOT grid, including</w:t>
      </w:r>
      <w:r w:rsidR="0012316E">
        <w:t xml:space="preserve"> continued investment in</w:t>
      </w:r>
      <w:r w:rsidR="00FD6FE3" w:rsidRPr="00FD6FE3">
        <w:t xml:space="preserve"> generation</w:t>
      </w:r>
      <w:r w:rsidR="00E92E2B">
        <w:t>, maintenance of reliable grid operations, and the fostering of</w:t>
      </w:r>
      <w:r w:rsidR="00FD6FE3" w:rsidRPr="00FD6FE3">
        <w:t xml:space="preserve"> innovative </w:t>
      </w:r>
      <w:r w:rsidR="00E92E2B">
        <w:t xml:space="preserve">and affordable </w:t>
      </w:r>
      <w:r w:rsidR="00FD6FE3" w:rsidRPr="00FD6FE3">
        <w:t xml:space="preserve">offerings </w:t>
      </w:r>
      <w:r w:rsidR="00E92E2B">
        <w:t>for current and prospective Texas consumers</w:t>
      </w:r>
      <w:r w:rsidR="00146A32">
        <w:t xml:space="preserve"> by the members who provide those </w:t>
      </w:r>
      <w:r w:rsidR="00AB6D98">
        <w:t xml:space="preserve">offerings </w:t>
      </w:r>
      <w:r w:rsidR="00146A32">
        <w:t>to end-use customers</w:t>
      </w:r>
      <w:r w:rsidR="00E92E2B">
        <w:t>.</w:t>
      </w:r>
      <w:r w:rsidR="00440BCF">
        <w:t xml:space="preserve"> </w:t>
      </w:r>
      <w:r w:rsidR="00275474">
        <w:t xml:space="preserve">This section highlights policy considerations identified by Joint Commenters as reasons for the </w:t>
      </w:r>
      <w:r w:rsidR="00AB6D98">
        <w:t xml:space="preserve">ERCOT </w:t>
      </w:r>
      <w:r w:rsidR="00275474">
        <w:t xml:space="preserve">Board to </w:t>
      </w:r>
      <w:r w:rsidR="00A15AB4">
        <w:t xml:space="preserve">carefully </w:t>
      </w:r>
      <w:r w:rsidR="00275474">
        <w:t>consider the proposed amendments.</w:t>
      </w:r>
    </w:p>
    <w:p w14:paraId="2219B842" w14:textId="77777777" w:rsidR="005A21EE" w:rsidRDefault="005A21EE" w:rsidP="00FB0CE8">
      <w:pPr>
        <w:pStyle w:val="NormalArial"/>
        <w:numPr>
          <w:ilvl w:val="0"/>
          <w:numId w:val="23"/>
        </w:numPr>
        <w:spacing w:before="240"/>
        <w:ind w:hanging="720"/>
        <w:jc w:val="both"/>
        <w:rPr>
          <w:b/>
          <w:bCs/>
        </w:rPr>
      </w:pPr>
      <w:r>
        <w:rPr>
          <w:b/>
          <w:bCs/>
        </w:rPr>
        <w:t>A successful energy-only market requires that its participants have a vested interest in the activities of the organization—i.e., in the development and refinement of market policy and rules.</w:t>
      </w:r>
    </w:p>
    <w:p w14:paraId="4FBE8555" w14:textId="09662D57" w:rsidR="005A21EE" w:rsidRDefault="005A21EE" w:rsidP="005A21EE">
      <w:pPr>
        <w:pStyle w:val="NormalArial"/>
        <w:spacing w:before="240"/>
        <w:jc w:val="both"/>
      </w:pPr>
      <w:r w:rsidRPr="000C3284">
        <w:t>ERCOT</w:t>
      </w:r>
      <w:r w:rsidRPr="00151B47">
        <w:t>’s</w:t>
      </w:r>
      <w:r>
        <w:t xml:space="preserve"> Corporate Members (i.e., ERCOT stakeholders) exist to have an interest—a stake—in the operation and success of the ERCOT market and grid. </w:t>
      </w:r>
      <w:r w:rsidR="00582C76">
        <w:t>B</w:t>
      </w:r>
      <w:r>
        <w:t xml:space="preserve">ecause membership is voluntary, ERCOT also depends on Corporate Members for success. Corporate Members are defined by ERCOT Bylaws § 3.2(a)(1) as ERCOT Members with “the rights and obligations as described in these bylaws including the right to vote on all matters submitted to the general membership (such as selection of TAC Representatives and amendments to the Certificate of Formation and these Bylaws).” Under the aegis of </w:t>
      </w:r>
      <w:r w:rsidR="00FB0CE8">
        <w:t xml:space="preserve">Public Utility </w:t>
      </w:r>
      <w:r>
        <w:t>Commission</w:t>
      </w:r>
      <w:r w:rsidR="00FB0CE8">
        <w:t xml:space="preserve"> of Texas (“PUCT” or “Commission”)</w:t>
      </w:r>
      <w:r>
        <w:t>-determined boundaries</w:t>
      </w:r>
      <w:r w:rsidR="00536556">
        <w:t xml:space="preserve"> and policies</w:t>
      </w:r>
      <w:r>
        <w:t xml:space="preserve">, ERCOT stakeholders, through collaboration with ERCOT, the Commission, the Office of Public Utility Counsel (“OPUC”), and </w:t>
      </w:r>
      <w:r w:rsidR="00536556">
        <w:t xml:space="preserve">other </w:t>
      </w:r>
      <w:r>
        <w:t xml:space="preserve">market participants registered with ERCOT, have developed </w:t>
      </w:r>
      <w:r w:rsidR="00536556">
        <w:t xml:space="preserve">the </w:t>
      </w:r>
      <w:proofErr w:type="gramStart"/>
      <w:r w:rsidR="00536556">
        <w:t>processes</w:t>
      </w:r>
      <w:proofErr w:type="gramEnd"/>
      <w:r w:rsidR="00536556">
        <w:t xml:space="preserve"> </w:t>
      </w:r>
      <w:r>
        <w:t xml:space="preserve">and implemented the policies that have supported and sustained the competitive electric market in the ERCOT Region. </w:t>
      </w:r>
    </w:p>
    <w:p w14:paraId="669AF7B3" w14:textId="369F8546" w:rsidR="00536556" w:rsidRDefault="00536556" w:rsidP="005A21EE">
      <w:pPr>
        <w:pStyle w:val="NormalArial"/>
        <w:spacing w:before="240"/>
        <w:jc w:val="both"/>
      </w:pPr>
      <w:r>
        <w:t xml:space="preserve">ERCOT’s Protocols, </w:t>
      </w:r>
      <w:r w:rsidR="00AB6D98">
        <w:t>rules, procedures</w:t>
      </w:r>
      <w:r>
        <w:t>, and stakeholder process</w:t>
      </w:r>
      <w:r w:rsidR="00A15AB4">
        <w:t>es</w:t>
      </w:r>
      <w:r>
        <w:t xml:space="preserve"> emphasize the importan</w:t>
      </w:r>
      <w:r w:rsidR="00914703">
        <w:t>ce</w:t>
      </w:r>
      <w:r>
        <w:t xml:space="preserve"> of collaborative, market-wide efforts to achieve a stable, functioning market</w:t>
      </w:r>
      <w:r w:rsidR="00A15AB4">
        <w:t>—e.g.</w:t>
      </w:r>
      <w:r>
        <w:t>:</w:t>
      </w:r>
    </w:p>
    <w:p w14:paraId="5B0DE10C" w14:textId="77777777" w:rsidR="005A21EE" w:rsidRPr="000C3284" w:rsidRDefault="005A21EE" w:rsidP="005A21EE">
      <w:pPr>
        <w:pStyle w:val="NormalArial"/>
        <w:spacing w:before="240"/>
        <w:ind w:left="720" w:right="720"/>
        <w:jc w:val="both"/>
      </w:pPr>
      <w:r w:rsidRPr="00151B47">
        <w:rPr>
          <w:u w:val="single"/>
        </w:rPr>
        <w:t>Balanced market rules are a basic element in Texas competition</w:t>
      </w:r>
      <w:r w:rsidRPr="000C3284">
        <w:t xml:space="preserve">. </w:t>
      </w:r>
      <w:r w:rsidRPr="00151B47">
        <w:rPr>
          <w:u w:val="single"/>
        </w:rPr>
        <w:t xml:space="preserve">Clear, </w:t>
      </w:r>
      <w:proofErr w:type="gramStart"/>
      <w:r w:rsidRPr="00151B47">
        <w:rPr>
          <w:u w:val="single"/>
        </w:rPr>
        <w:t>predictable</w:t>
      </w:r>
      <w:proofErr w:type="gramEnd"/>
      <w:r w:rsidRPr="00151B47">
        <w:rPr>
          <w:u w:val="single"/>
        </w:rPr>
        <w:t xml:space="preserve"> and well-designed rules help foster a stable electricity market</w:t>
      </w:r>
      <w:r w:rsidRPr="000C3284">
        <w:t>. [ERCOT]</w:t>
      </w:r>
      <w:r w:rsidRPr="00151B47">
        <w:t xml:space="preserve"> market rules are developed by participants from all aspects of the electricity industry. The rules and amendments are reviewed by the [Commission] to ensure that they satisfy the public interest</w:t>
      </w:r>
      <w:r>
        <w:t>.</w:t>
      </w:r>
      <w:r w:rsidRPr="000C3284">
        <w:rPr>
          <w:rStyle w:val="FootnoteReference"/>
        </w:rPr>
        <w:footnoteReference w:id="5"/>
      </w:r>
    </w:p>
    <w:p w14:paraId="3E7F7B07" w14:textId="77777777" w:rsidR="005A21EE" w:rsidRDefault="005A21EE" w:rsidP="005A21EE">
      <w:pPr>
        <w:pStyle w:val="NormalArial"/>
        <w:spacing w:before="240"/>
        <w:ind w:left="720" w:right="720"/>
        <w:jc w:val="both"/>
      </w:pPr>
      <w:r w:rsidRPr="00D25DA2">
        <w:t xml:space="preserve">ERCOT stakeholders meet regularly in a number of forums to discuss and develop Protocols and procedures that govern the ERCOT System and its wholesale and retail markets. </w:t>
      </w:r>
      <w:r w:rsidRPr="00151B47">
        <w:rPr>
          <w:u w:val="single"/>
        </w:rPr>
        <w:t>In the ERCOT stakeholder process</w:t>
      </w:r>
      <w:r>
        <w:t>—</w:t>
      </w:r>
      <w:r w:rsidRPr="00D25DA2">
        <w:t xml:space="preserve">from working groups, task forces, and subcommittees, to </w:t>
      </w:r>
      <w:r>
        <w:t>[TAC]</w:t>
      </w:r>
      <w:r w:rsidRPr="00D25DA2">
        <w:t xml:space="preserve"> and the ERCOT </w:t>
      </w:r>
      <w:r w:rsidRPr="00D25DA2">
        <w:lastRenderedPageBreak/>
        <w:t>Board of Directors</w:t>
      </w:r>
      <w:r>
        <w:t>—</w:t>
      </w:r>
      <w:r w:rsidRPr="00151B47">
        <w:rPr>
          <w:u w:val="single"/>
        </w:rPr>
        <w:t>Market Participants, along with ERCOT Staff, work together to ensure a reliable bulk electric system and equitable access to the ERCOT markets</w:t>
      </w:r>
      <w:r w:rsidRPr="00D25DA2">
        <w:t>.</w:t>
      </w:r>
      <w:r>
        <w:rPr>
          <w:rStyle w:val="FootnoteReference"/>
        </w:rPr>
        <w:footnoteReference w:id="6"/>
      </w:r>
    </w:p>
    <w:p w14:paraId="3B9F8413" w14:textId="77777777" w:rsidR="005A21EE" w:rsidRDefault="005A21EE" w:rsidP="005A21EE">
      <w:pPr>
        <w:pStyle w:val="NormalArial"/>
        <w:spacing w:before="240"/>
        <w:ind w:left="720" w:right="720"/>
        <w:jc w:val="both"/>
      </w:pPr>
      <w:r w:rsidRPr="00151B47">
        <w:rPr>
          <w:u w:val="single"/>
        </w:rPr>
        <w:t>The [ERCOT] Protocols, created through the collaborative efforts of representatives of all segments of Market Participants</w:t>
      </w:r>
      <w:r>
        <w:t>,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w:t>
      </w:r>
      <w:r>
        <w:rPr>
          <w:rStyle w:val="FootnoteReference"/>
        </w:rPr>
        <w:footnoteReference w:id="7"/>
      </w:r>
      <w:r>
        <w:t xml:space="preserve"> </w:t>
      </w:r>
    </w:p>
    <w:p w14:paraId="719AA025" w14:textId="512CC689" w:rsidR="005A21EE" w:rsidRDefault="005A21EE" w:rsidP="005A21EE">
      <w:pPr>
        <w:pStyle w:val="NormalArial"/>
        <w:spacing w:before="240"/>
        <w:ind w:left="720" w:right="720"/>
        <w:jc w:val="both"/>
      </w:pPr>
      <w:r w:rsidRPr="00151B47">
        <w:rPr>
          <w:u w:val="single"/>
        </w:rPr>
        <w:t xml:space="preserve">The ERCOT Board, [TAC], and other ERCOT subcommittees authorized by the ERCOT Board or TAC or ERCOT may develop </w:t>
      </w:r>
      <w:r w:rsidR="006B5A10">
        <w:rPr>
          <w:u w:val="single"/>
        </w:rPr>
        <w:t>polices [sic]</w:t>
      </w:r>
      <w:r w:rsidRPr="00151B47">
        <w:rPr>
          <w:u w:val="single"/>
        </w:rPr>
        <w:t>, guidelines, procedures, forms, and applications</w:t>
      </w:r>
      <w:r>
        <w:t xml:space="preserve"> for the implementation of and operation under, these Protocols and to comply with applicable rules, laws, and orders of a Governmental Authority.</w:t>
      </w:r>
      <w:r>
        <w:rPr>
          <w:rStyle w:val="FootnoteReference"/>
        </w:rPr>
        <w:footnoteReference w:id="8"/>
      </w:r>
      <w:r>
        <w:t xml:space="preserve"> </w:t>
      </w:r>
    </w:p>
    <w:p w14:paraId="6AE957D3" w14:textId="0B4D9A3A" w:rsidR="005A21EE" w:rsidRPr="009E612F" w:rsidRDefault="005A21EE" w:rsidP="005A21EE">
      <w:pPr>
        <w:pStyle w:val="NormalArial"/>
        <w:spacing w:before="240"/>
        <w:jc w:val="both"/>
      </w:pPr>
      <w:r>
        <w:t xml:space="preserve">ERCOT is a nonprofit corporation, overseen by the Commission and </w:t>
      </w:r>
      <w:r w:rsidR="00275474">
        <w:t xml:space="preserve">statutorily mandated </w:t>
      </w:r>
      <w:r>
        <w:t>“to ensure access to the transmission and distribution systems for all buyers and sellers of electricity on nondiscriminatory terms; ensure the reliability and adequacy of the regional electrical network; ensure that information relating to a customer's choice of retail electric provider is conveyed in a timely manner to the persons who need that information; and ensure that electricity production and delivery are accurately accounted for among the generators and wholesale buyers and sellers in the region.”</w:t>
      </w:r>
      <w:r>
        <w:rPr>
          <w:rStyle w:val="FootnoteReference"/>
        </w:rPr>
        <w:footnoteReference w:id="9"/>
      </w:r>
      <w:r>
        <w:t xml:space="preserve"> </w:t>
      </w:r>
      <w:r w:rsidR="00CC2FBD">
        <w:t>ERCOT can most effectively perform its statutory responsibilities by involving stakeholders (i.e., the buyers and sellers of electricity)</w:t>
      </w:r>
      <w:r w:rsidR="00146A32">
        <w:t xml:space="preserve">, who </w:t>
      </w:r>
      <w:r w:rsidR="008C5215">
        <w:t xml:space="preserve">willingly and voluntarily </w:t>
      </w:r>
      <w:r w:rsidR="00146A32">
        <w:t>share their experience and expertise,</w:t>
      </w:r>
      <w:r w:rsidR="00CC2FBD">
        <w:t xml:space="preserve"> and incorporating their technical expertise. </w:t>
      </w:r>
      <w:r>
        <w:t xml:space="preserve">ERCOT stakeholders are largely made up of businesses that have invested </w:t>
      </w:r>
      <w:r w:rsidR="00AD2F90">
        <w:t>substantial</w:t>
      </w:r>
      <w:r>
        <w:t xml:space="preserve"> amounts of capital in the ERCOT market. Accordingly, </w:t>
      </w:r>
      <w:r w:rsidR="006B0DAA">
        <w:t xml:space="preserve">the proposed amendments to the ERCOT Bylaws could subject </w:t>
      </w:r>
      <w:r>
        <w:t>stakeholders</w:t>
      </w:r>
      <w:r w:rsidR="006B0DAA">
        <w:t xml:space="preserve"> and Market Participants</w:t>
      </w:r>
      <w:r>
        <w:t xml:space="preserve"> to legitimate risks of loss of capital. As a nonprofit corporation subject to complete oversight by a state agency, ERCOT bears no similar capital investment risk. </w:t>
      </w:r>
      <w:r w:rsidR="00146A32" w:rsidRPr="00146A32">
        <w:t xml:space="preserve">Therefore, ERCOT does not have the same financial incentives as stakeholders to ensure that the </w:t>
      </w:r>
      <w:r w:rsidR="00A15AB4">
        <w:t xml:space="preserve">ERCOT </w:t>
      </w:r>
      <w:r w:rsidR="00146A32" w:rsidRPr="00146A32">
        <w:t>market and the grid function reliably and optimally for all end-use customers</w:t>
      </w:r>
      <w:r w:rsidR="00326668">
        <w:t>.</w:t>
      </w:r>
      <w:r w:rsidR="006C56A9">
        <w:t xml:space="preserve"> </w:t>
      </w:r>
      <w:r>
        <w:t xml:space="preserve">As discussed in further detail below, under the ERCOT Bylaws, Corporate Members must vote to amend the ERCOT Bylaws. Eliminating this right of ERCOT stakeholders is a clear signal to investors of </w:t>
      </w:r>
      <w:r w:rsidR="00536556">
        <w:t xml:space="preserve">regulatory and </w:t>
      </w:r>
      <w:r>
        <w:t xml:space="preserve">market uncertainty, which </w:t>
      </w:r>
      <w:r w:rsidR="00536556">
        <w:t xml:space="preserve">sends a negative investment signal that, all else equal, </w:t>
      </w:r>
      <w:r>
        <w:t>will impact operations</w:t>
      </w:r>
      <w:r w:rsidR="0061072B">
        <w:t>,</w:t>
      </w:r>
      <w:r>
        <w:t xml:space="preserve"> reliability</w:t>
      </w:r>
      <w:r w:rsidR="0061072B">
        <w:t>,</w:t>
      </w:r>
      <w:r>
        <w:t xml:space="preserve"> and the provision of energy to consumers within the state. </w:t>
      </w:r>
    </w:p>
    <w:p w14:paraId="14DB1B36" w14:textId="005D2E47" w:rsidR="005A21EE" w:rsidRPr="00151B47" w:rsidRDefault="005A21EE" w:rsidP="00FB0CE8">
      <w:pPr>
        <w:pStyle w:val="NormalArial"/>
        <w:numPr>
          <w:ilvl w:val="0"/>
          <w:numId w:val="23"/>
        </w:numPr>
        <w:spacing w:before="240"/>
        <w:ind w:hanging="720"/>
        <w:jc w:val="both"/>
        <w:rPr>
          <w:b/>
          <w:bCs/>
        </w:rPr>
      </w:pPr>
      <w:r>
        <w:rPr>
          <w:b/>
          <w:bCs/>
        </w:rPr>
        <w:lastRenderedPageBreak/>
        <w:t>If the proposed amendments to the ERCOT Bylaws are adopted, ERCOT’s governance structure will most closely resemble the structure of California ISO (“CAISO”)</w:t>
      </w:r>
      <w:r w:rsidR="005514C2">
        <w:rPr>
          <w:b/>
          <w:bCs/>
        </w:rPr>
        <w:t>.</w:t>
      </w:r>
    </w:p>
    <w:p w14:paraId="34AFAD47" w14:textId="041C2016" w:rsidR="005A21EE" w:rsidRPr="00151B47" w:rsidRDefault="005A21EE" w:rsidP="005A21EE">
      <w:pPr>
        <w:pStyle w:val="BodyText"/>
        <w:spacing w:before="240" w:after="0"/>
        <w:jc w:val="both"/>
        <w:rPr>
          <w:rFonts w:cs="Arial"/>
        </w:rPr>
      </w:pPr>
      <w:r>
        <w:rPr>
          <w:rFonts w:cs="Arial"/>
        </w:rPr>
        <w:t>CAISO,</w:t>
      </w:r>
      <w:r w:rsidRPr="00151B47">
        <w:rPr>
          <w:rFonts w:cs="Arial"/>
        </w:rPr>
        <w:t xml:space="preserve"> Midcontinent ISO (“MISO”), and New York ISO (“NYISO”) each have bylaws that control ISO governance. PJM Interconnection (“PJM”) has an operating agreement that controls PJM’s governance.</w:t>
      </w:r>
      <w:r w:rsidR="00911AB3">
        <w:rPr>
          <w:rFonts w:cs="Arial"/>
        </w:rPr>
        <w:t xml:space="preserve"> </w:t>
      </w:r>
      <w:r w:rsidR="005514C2">
        <w:rPr>
          <w:rFonts w:cs="Arial"/>
        </w:rPr>
        <w:t>Comparing</w:t>
      </w:r>
      <w:r w:rsidR="00312857">
        <w:rPr>
          <w:rFonts w:cs="Arial"/>
        </w:rPr>
        <w:t xml:space="preserve"> </w:t>
      </w:r>
      <w:r w:rsidR="005514C2">
        <w:rPr>
          <w:rFonts w:cs="Arial"/>
        </w:rPr>
        <w:t>the governing documents and structures of other ISOs</w:t>
      </w:r>
      <w:r w:rsidR="00312857">
        <w:rPr>
          <w:rFonts w:cs="Arial"/>
        </w:rPr>
        <w:t xml:space="preserve"> </w:t>
      </w:r>
      <w:r w:rsidR="005514C2">
        <w:rPr>
          <w:rFonts w:cs="Arial"/>
        </w:rPr>
        <w:t>with</w:t>
      </w:r>
      <w:r w:rsidR="00312857">
        <w:rPr>
          <w:rFonts w:cs="Arial"/>
        </w:rPr>
        <w:t xml:space="preserve"> the proposed </w:t>
      </w:r>
      <w:r w:rsidR="005514C2">
        <w:rPr>
          <w:rFonts w:cs="Arial"/>
        </w:rPr>
        <w:t xml:space="preserve">amendments to the </w:t>
      </w:r>
      <w:r w:rsidR="00312857">
        <w:rPr>
          <w:rFonts w:cs="Arial"/>
        </w:rPr>
        <w:t xml:space="preserve">ERCOT Bylaws </w:t>
      </w:r>
      <w:r w:rsidR="005514C2">
        <w:rPr>
          <w:rFonts w:cs="Arial"/>
        </w:rPr>
        <w:t>suggests</w:t>
      </w:r>
      <w:r w:rsidR="00312857">
        <w:rPr>
          <w:rFonts w:cs="Arial"/>
        </w:rPr>
        <w:t xml:space="preserve"> that ERCOT’s governance structure would shift substantially towards CAISO’s structure.</w:t>
      </w:r>
    </w:p>
    <w:p w14:paraId="52973B48" w14:textId="031148B7" w:rsidR="005A21EE" w:rsidRPr="00151B47" w:rsidRDefault="005A21EE" w:rsidP="005A21EE">
      <w:pPr>
        <w:pStyle w:val="BodyText"/>
        <w:numPr>
          <w:ilvl w:val="0"/>
          <w:numId w:val="13"/>
        </w:numPr>
        <w:spacing w:before="240" w:after="0"/>
        <w:ind w:hanging="720"/>
        <w:jc w:val="both"/>
        <w:rPr>
          <w:rFonts w:cs="Arial"/>
          <w:b/>
          <w:bCs/>
        </w:rPr>
      </w:pPr>
      <w:r w:rsidRPr="00151B47">
        <w:rPr>
          <w:rFonts w:cs="Arial"/>
          <w:b/>
          <w:bCs/>
        </w:rPr>
        <w:t xml:space="preserve">CAISO’s </w:t>
      </w:r>
      <w:r>
        <w:rPr>
          <w:rFonts w:cs="Arial"/>
          <w:b/>
          <w:bCs/>
        </w:rPr>
        <w:t>B</w:t>
      </w:r>
      <w:r w:rsidRPr="00151B47">
        <w:rPr>
          <w:rFonts w:cs="Arial"/>
          <w:b/>
          <w:bCs/>
        </w:rPr>
        <w:t>ylaws can generally b</w:t>
      </w:r>
      <w:r>
        <w:rPr>
          <w:rFonts w:cs="Arial"/>
          <w:b/>
          <w:bCs/>
        </w:rPr>
        <w:t>e</w:t>
      </w:r>
      <w:r w:rsidRPr="00151B47">
        <w:rPr>
          <w:rFonts w:cs="Arial"/>
          <w:b/>
          <w:bCs/>
        </w:rPr>
        <w:t xml:space="preserve"> amended by </w:t>
      </w:r>
      <w:r>
        <w:rPr>
          <w:rFonts w:cs="Arial"/>
          <w:b/>
          <w:bCs/>
        </w:rPr>
        <w:t>the Board of Directors</w:t>
      </w:r>
      <w:r w:rsidRPr="00151B47">
        <w:rPr>
          <w:rFonts w:cs="Arial"/>
          <w:b/>
          <w:bCs/>
        </w:rPr>
        <w:t xml:space="preserve"> without </w:t>
      </w:r>
      <w:r>
        <w:rPr>
          <w:rFonts w:cs="Arial"/>
          <w:b/>
          <w:bCs/>
        </w:rPr>
        <w:t>M</w:t>
      </w:r>
      <w:r w:rsidRPr="00151B47">
        <w:rPr>
          <w:rFonts w:cs="Arial"/>
          <w:b/>
          <w:bCs/>
        </w:rPr>
        <w:t>ember approval</w:t>
      </w:r>
      <w:r w:rsidR="00AA4310">
        <w:rPr>
          <w:rFonts w:cs="Arial"/>
          <w:b/>
          <w:bCs/>
        </w:rPr>
        <w:t xml:space="preserve"> but are subject to certain </w:t>
      </w:r>
      <w:r w:rsidR="005514C2" w:rsidRPr="005514C2">
        <w:rPr>
          <w:rFonts w:cs="Arial"/>
          <w:b/>
          <w:bCs/>
        </w:rPr>
        <w:t xml:space="preserve">Federal Energy Regulatory Commission </w:t>
      </w:r>
      <w:r w:rsidR="005514C2">
        <w:rPr>
          <w:rFonts w:cs="Arial"/>
          <w:b/>
          <w:bCs/>
        </w:rPr>
        <w:t>(“</w:t>
      </w:r>
      <w:r w:rsidR="00AA4310">
        <w:rPr>
          <w:rFonts w:cs="Arial"/>
          <w:b/>
          <w:bCs/>
        </w:rPr>
        <w:t>FERC</w:t>
      </w:r>
      <w:r w:rsidR="005514C2">
        <w:rPr>
          <w:rFonts w:cs="Arial"/>
          <w:b/>
          <w:bCs/>
        </w:rPr>
        <w:t>”)</w:t>
      </w:r>
      <w:r w:rsidR="00AA4310">
        <w:rPr>
          <w:rFonts w:cs="Arial"/>
          <w:b/>
          <w:bCs/>
        </w:rPr>
        <w:t xml:space="preserve"> and stakeholder counterbalances</w:t>
      </w:r>
      <w:r w:rsidRPr="00151B47">
        <w:rPr>
          <w:rFonts w:cs="Arial"/>
          <w:b/>
          <w:bCs/>
        </w:rPr>
        <w:t>.</w:t>
      </w:r>
    </w:p>
    <w:p w14:paraId="0ECA25BB" w14:textId="09FDF585" w:rsidR="005A21EE" w:rsidRPr="00151B47" w:rsidRDefault="005A21EE" w:rsidP="005A21EE">
      <w:pPr>
        <w:pStyle w:val="BodyText"/>
        <w:spacing w:before="240" w:after="0"/>
        <w:jc w:val="both"/>
        <w:rPr>
          <w:rFonts w:cs="Arial"/>
        </w:rPr>
      </w:pPr>
      <w:r w:rsidRPr="00151B47">
        <w:rPr>
          <w:rFonts w:cs="Arial"/>
        </w:rPr>
        <w:t xml:space="preserve">Most of CAISO’s </w:t>
      </w:r>
      <w:r>
        <w:rPr>
          <w:rFonts w:cs="Arial"/>
        </w:rPr>
        <w:t>B</w:t>
      </w:r>
      <w:r w:rsidRPr="00151B47">
        <w:rPr>
          <w:rFonts w:cs="Arial"/>
        </w:rPr>
        <w:t xml:space="preserve">ylaws “may be amended by the vote of at least two-thirds of the </w:t>
      </w:r>
      <w:r>
        <w:rPr>
          <w:rFonts w:cs="Arial"/>
        </w:rPr>
        <w:t xml:space="preserve">[Board members] </w:t>
      </w:r>
      <w:r w:rsidRPr="00151B47">
        <w:rPr>
          <w:rFonts w:cs="Arial"/>
        </w:rPr>
        <w:t>then in office.”</w:t>
      </w:r>
      <w:r w:rsidRPr="00151B47">
        <w:rPr>
          <w:rStyle w:val="FootnoteReference"/>
          <w:rFonts w:cs="Arial"/>
        </w:rPr>
        <w:footnoteReference w:id="10"/>
      </w:r>
      <w:r w:rsidRPr="00151B47">
        <w:rPr>
          <w:rFonts w:cs="Arial"/>
        </w:rPr>
        <w:t xml:space="preserve"> </w:t>
      </w:r>
      <w:r w:rsidR="00965190">
        <w:rPr>
          <w:rFonts w:cs="Arial"/>
        </w:rPr>
        <w:t xml:space="preserve">Somewhat similarly to </w:t>
      </w:r>
      <w:r w:rsidR="005514C2">
        <w:rPr>
          <w:rFonts w:cs="Arial"/>
        </w:rPr>
        <w:t xml:space="preserve">the </w:t>
      </w:r>
      <w:r w:rsidR="00965190">
        <w:rPr>
          <w:rFonts w:cs="Arial"/>
        </w:rPr>
        <w:t>ERCOT Board, all</w:t>
      </w:r>
      <w:r w:rsidR="00965190" w:rsidRPr="00151B47">
        <w:rPr>
          <w:rFonts w:cs="Arial"/>
        </w:rPr>
        <w:t xml:space="preserve"> </w:t>
      </w:r>
      <w:r w:rsidRPr="00151B47">
        <w:rPr>
          <w:rFonts w:cs="Arial"/>
        </w:rPr>
        <w:t xml:space="preserve">five </w:t>
      </w:r>
      <w:r w:rsidR="0061072B">
        <w:rPr>
          <w:rFonts w:cs="Arial"/>
        </w:rPr>
        <w:t xml:space="preserve">CAISO </w:t>
      </w:r>
      <w:r>
        <w:rPr>
          <w:rFonts w:cs="Arial"/>
        </w:rPr>
        <w:t>Board members</w:t>
      </w:r>
      <w:r w:rsidRPr="00151B47">
        <w:rPr>
          <w:rFonts w:cs="Arial"/>
        </w:rPr>
        <w:t xml:space="preserve"> “are selected by appointment of the Governor of the State of California and subject to confirmation by the Senate of the State of California.”</w:t>
      </w:r>
      <w:r w:rsidRPr="00151B47">
        <w:rPr>
          <w:rStyle w:val="FootnoteReference"/>
          <w:rFonts w:cs="Arial"/>
        </w:rPr>
        <w:footnoteReference w:id="11"/>
      </w:r>
      <w:r w:rsidRPr="00151B47">
        <w:rPr>
          <w:rFonts w:cs="Arial"/>
        </w:rPr>
        <w:t xml:space="preserve"> Thus, generally, the CAISO </w:t>
      </w:r>
      <w:r>
        <w:rPr>
          <w:rFonts w:cs="Arial"/>
        </w:rPr>
        <w:t>B</w:t>
      </w:r>
      <w:r w:rsidRPr="00151B47">
        <w:rPr>
          <w:rFonts w:cs="Arial"/>
        </w:rPr>
        <w:t xml:space="preserve">ylaws can be amended without </w:t>
      </w:r>
      <w:r>
        <w:rPr>
          <w:rFonts w:cs="Arial"/>
        </w:rPr>
        <w:t>approval or input from</w:t>
      </w:r>
      <w:r w:rsidRPr="00151B47">
        <w:rPr>
          <w:rFonts w:cs="Arial"/>
        </w:rPr>
        <w:t xml:space="preserve"> CAISO </w:t>
      </w:r>
      <w:r>
        <w:rPr>
          <w:rFonts w:cs="Arial"/>
        </w:rPr>
        <w:t>stakeholders</w:t>
      </w:r>
      <w:r w:rsidRPr="00151B47">
        <w:rPr>
          <w:rFonts w:cs="Arial"/>
        </w:rPr>
        <w:t>.</w:t>
      </w:r>
    </w:p>
    <w:p w14:paraId="7C1631F9" w14:textId="744E4B89" w:rsidR="005A21EE" w:rsidRDefault="005A21EE" w:rsidP="005A21EE">
      <w:pPr>
        <w:pStyle w:val="BodyText"/>
        <w:spacing w:before="240" w:after="0"/>
        <w:jc w:val="both"/>
        <w:rPr>
          <w:rFonts w:cs="Arial"/>
        </w:rPr>
      </w:pPr>
      <w:r>
        <w:rPr>
          <w:rFonts w:cs="Arial"/>
        </w:rPr>
        <w:t>Amendments</w:t>
      </w:r>
      <w:r w:rsidRPr="00151B47">
        <w:rPr>
          <w:rFonts w:cs="Arial"/>
        </w:rPr>
        <w:t xml:space="preserve"> to Article IV </w:t>
      </w:r>
      <w:r>
        <w:rPr>
          <w:rFonts w:cs="Arial"/>
        </w:rPr>
        <w:t xml:space="preserve">of the CAISO Bylaws </w:t>
      </w:r>
      <w:r w:rsidRPr="00151B47">
        <w:rPr>
          <w:rFonts w:cs="Arial"/>
        </w:rPr>
        <w:t>(Western Energy Imbalance Market (</w:t>
      </w:r>
      <w:r>
        <w:rPr>
          <w:rFonts w:cs="Arial"/>
        </w:rPr>
        <w:t>“</w:t>
      </w:r>
      <w:r w:rsidRPr="00151B47">
        <w:rPr>
          <w:rFonts w:cs="Arial"/>
        </w:rPr>
        <w:t>EIM</w:t>
      </w:r>
      <w:r>
        <w:rPr>
          <w:rFonts w:cs="Arial"/>
        </w:rPr>
        <w:t>”</w:t>
      </w:r>
      <w:r w:rsidRPr="00151B47">
        <w:rPr>
          <w:rFonts w:cs="Arial"/>
        </w:rPr>
        <w:t xml:space="preserve">) Governing Body) require the CAISO </w:t>
      </w:r>
      <w:r>
        <w:rPr>
          <w:rFonts w:cs="Arial"/>
        </w:rPr>
        <w:t>B</w:t>
      </w:r>
      <w:r w:rsidRPr="00151B47">
        <w:rPr>
          <w:rFonts w:cs="Arial"/>
        </w:rPr>
        <w:t xml:space="preserve">oard to follow enhanced notice procedures </w:t>
      </w:r>
      <w:r>
        <w:rPr>
          <w:rFonts w:cs="Arial"/>
        </w:rPr>
        <w:t>to ensure the EIM Governing Body is involved in those amendments.</w:t>
      </w:r>
      <w:r w:rsidRPr="00151B47">
        <w:rPr>
          <w:rStyle w:val="FootnoteReference"/>
          <w:rFonts w:cs="Arial"/>
        </w:rPr>
        <w:footnoteReference w:id="12"/>
      </w:r>
      <w:r w:rsidR="000F5A65">
        <w:rPr>
          <w:rFonts w:cs="Arial"/>
        </w:rPr>
        <w:t xml:space="preserve"> </w:t>
      </w:r>
      <w:r w:rsidRPr="00151B47">
        <w:rPr>
          <w:rFonts w:cs="Arial"/>
        </w:rPr>
        <w:t>The EIM Governing Body is composed of members nominated by CAISO stakeholders and approved by the EIM Governing Body.</w:t>
      </w:r>
      <w:r w:rsidRPr="00151B47">
        <w:rPr>
          <w:rStyle w:val="FootnoteReference"/>
          <w:rFonts w:cs="Arial"/>
        </w:rPr>
        <w:footnoteReference w:id="13"/>
      </w:r>
      <w:r w:rsidRPr="00151B47">
        <w:rPr>
          <w:rFonts w:cs="Arial"/>
        </w:rPr>
        <w:t xml:space="preserve"> The EIM Governing Body has joint authority with the CAISO </w:t>
      </w:r>
      <w:r>
        <w:rPr>
          <w:rFonts w:cs="Arial"/>
        </w:rPr>
        <w:t>B</w:t>
      </w:r>
      <w:r w:rsidRPr="00151B47">
        <w:rPr>
          <w:rFonts w:cs="Arial"/>
        </w:rPr>
        <w:t xml:space="preserve">oard over certain market rules and the CAISO </w:t>
      </w:r>
      <w:r>
        <w:rPr>
          <w:rFonts w:cs="Arial"/>
        </w:rPr>
        <w:t>T</w:t>
      </w:r>
      <w:r w:rsidRPr="00151B47">
        <w:rPr>
          <w:rFonts w:cs="Arial"/>
        </w:rPr>
        <w:t>ariff.</w:t>
      </w:r>
      <w:r w:rsidRPr="00151B47">
        <w:rPr>
          <w:rStyle w:val="FootnoteReference"/>
          <w:rFonts w:cs="Arial"/>
        </w:rPr>
        <w:footnoteReference w:id="14"/>
      </w:r>
    </w:p>
    <w:p w14:paraId="76BEB321" w14:textId="77777777" w:rsidR="005514C2" w:rsidRDefault="005514C2" w:rsidP="005514C2">
      <w:pPr>
        <w:pStyle w:val="BodyText"/>
        <w:spacing w:before="240" w:after="0"/>
        <w:jc w:val="both"/>
        <w:rPr>
          <w:rFonts w:cs="Arial"/>
        </w:rPr>
      </w:pPr>
      <w:r>
        <w:rPr>
          <w:rFonts w:cs="Arial"/>
        </w:rPr>
        <w:t>However, even if the EIM Governing Body opposes proposed changes to Article IV, the CAISO Board can override that stakeholder opposition with a unanimous CAISO Board vote.</w:t>
      </w:r>
      <w:r>
        <w:rPr>
          <w:rStyle w:val="FootnoteReference"/>
          <w:rFonts w:cs="Arial"/>
        </w:rPr>
        <w:footnoteReference w:id="15"/>
      </w:r>
      <w:r>
        <w:rPr>
          <w:rFonts w:cs="Arial"/>
        </w:rPr>
        <w:t xml:space="preserve"> Therefore, the CAISO Board can unilaterally amend the CAISO Bylaws without stakeholder approval.</w:t>
      </w:r>
    </w:p>
    <w:p w14:paraId="1DFE5908" w14:textId="72D8EB60" w:rsidR="00AA4310" w:rsidRPr="00151B47" w:rsidRDefault="00AA4310" w:rsidP="005A21EE">
      <w:pPr>
        <w:pStyle w:val="BodyText"/>
        <w:spacing w:before="240" w:after="0"/>
        <w:jc w:val="both"/>
        <w:rPr>
          <w:rFonts w:cs="Arial"/>
        </w:rPr>
      </w:pPr>
      <w:r>
        <w:rPr>
          <w:rFonts w:cs="Arial"/>
        </w:rPr>
        <w:t xml:space="preserve">Notably, as with any FERC-jurisdictional market, parties in CAISO can directly raise concerns about CAISO’s Bylaws and rules through a </w:t>
      </w:r>
      <w:r w:rsidR="005514C2">
        <w:rPr>
          <w:rFonts w:cs="Arial"/>
        </w:rPr>
        <w:t>Federal Power Act (“</w:t>
      </w:r>
      <w:r>
        <w:rPr>
          <w:rFonts w:cs="Arial"/>
        </w:rPr>
        <w:t>FPA</w:t>
      </w:r>
      <w:r w:rsidR="005514C2">
        <w:rPr>
          <w:rFonts w:cs="Arial"/>
        </w:rPr>
        <w:t>”)</w:t>
      </w:r>
      <w:r>
        <w:rPr>
          <w:rFonts w:cs="Arial"/>
        </w:rPr>
        <w:t xml:space="preserve"> 206 complaint with FERC.</w:t>
      </w:r>
      <w:r>
        <w:rPr>
          <w:rStyle w:val="FootnoteReference"/>
          <w:rFonts w:cs="Arial"/>
        </w:rPr>
        <w:footnoteReference w:id="16"/>
      </w:r>
    </w:p>
    <w:p w14:paraId="53AA2559" w14:textId="77777777" w:rsidR="005A21EE" w:rsidRPr="00151B47" w:rsidRDefault="005A21EE" w:rsidP="005A21EE">
      <w:pPr>
        <w:pStyle w:val="BodyText"/>
        <w:numPr>
          <w:ilvl w:val="0"/>
          <w:numId w:val="13"/>
        </w:numPr>
        <w:spacing w:before="240" w:after="0"/>
        <w:ind w:hanging="720"/>
        <w:jc w:val="both"/>
        <w:rPr>
          <w:rFonts w:cs="Arial"/>
          <w:b/>
          <w:bCs/>
        </w:rPr>
      </w:pPr>
      <w:r>
        <w:rPr>
          <w:rFonts w:cs="Arial"/>
          <w:b/>
          <w:bCs/>
        </w:rPr>
        <w:t>In MISO and NYISO, bylaws</w:t>
      </w:r>
      <w:r w:rsidRPr="00151B47">
        <w:rPr>
          <w:rFonts w:cs="Arial"/>
          <w:b/>
          <w:bCs/>
        </w:rPr>
        <w:t xml:space="preserve"> can only be amended by the </w:t>
      </w:r>
      <w:r>
        <w:rPr>
          <w:rFonts w:cs="Arial"/>
          <w:b/>
          <w:bCs/>
        </w:rPr>
        <w:t>B</w:t>
      </w:r>
      <w:r w:rsidRPr="00151B47">
        <w:rPr>
          <w:rFonts w:cs="Arial"/>
          <w:b/>
          <w:bCs/>
        </w:rPr>
        <w:t>oard</w:t>
      </w:r>
      <w:r>
        <w:rPr>
          <w:rFonts w:cs="Arial"/>
          <w:b/>
          <w:bCs/>
        </w:rPr>
        <w:t xml:space="preserve"> of Directors, but stakeholders can participate in the selection of Board members</w:t>
      </w:r>
      <w:r w:rsidRPr="00151B47">
        <w:rPr>
          <w:rFonts w:cs="Arial"/>
          <w:b/>
          <w:bCs/>
        </w:rPr>
        <w:t>.</w:t>
      </w:r>
    </w:p>
    <w:p w14:paraId="41679C13" w14:textId="77777777" w:rsidR="005A21EE" w:rsidRPr="00151B47" w:rsidRDefault="005A21EE" w:rsidP="005A21EE">
      <w:pPr>
        <w:pStyle w:val="BodyText"/>
        <w:spacing w:before="240" w:after="0"/>
        <w:jc w:val="both"/>
        <w:rPr>
          <w:rFonts w:cs="Arial"/>
        </w:rPr>
      </w:pPr>
      <w:r w:rsidRPr="00151B47">
        <w:rPr>
          <w:rFonts w:cs="Arial"/>
        </w:rPr>
        <w:lastRenderedPageBreak/>
        <w:t xml:space="preserve">MISO’s </w:t>
      </w:r>
      <w:r>
        <w:rPr>
          <w:rFonts w:cs="Arial"/>
        </w:rPr>
        <w:t>B</w:t>
      </w:r>
      <w:r w:rsidRPr="00151B47">
        <w:rPr>
          <w:rFonts w:cs="Arial"/>
        </w:rPr>
        <w:t xml:space="preserve">ylaws can only be amended by the MISO </w:t>
      </w:r>
      <w:r>
        <w:rPr>
          <w:rFonts w:cs="Arial"/>
        </w:rPr>
        <w:t>B</w:t>
      </w:r>
      <w:r w:rsidRPr="00151B47">
        <w:rPr>
          <w:rFonts w:cs="Arial"/>
        </w:rPr>
        <w:t>oard “subject to the receipt of all necessary federal and state regulatory approvals, and provided that no amendment is contrary to the MISO Agreement.”</w:t>
      </w:r>
      <w:r w:rsidRPr="00151B47">
        <w:rPr>
          <w:rStyle w:val="FootnoteReference"/>
          <w:rFonts w:cs="Arial"/>
        </w:rPr>
        <w:footnoteReference w:id="17"/>
      </w:r>
      <w:r w:rsidRPr="00151B47">
        <w:rPr>
          <w:rFonts w:cs="Arial"/>
        </w:rPr>
        <w:t xml:space="preserve"> Similarly, NYISO’s </w:t>
      </w:r>
      <w:r>
        <w:rPr>
          <w:rFonts w:cs="Arial"/>
        </w:rPr>
        <w:t>B</w:t>
      </w:r>
      <w:r w:rsidRPr="00151B47">
        <w:rPr>
          <w:rFonts w:cs="Arial"/>
        </w:rPr>
        <w:t xml:space="preserve">ylaws “may be amended or repealed by the affirmative vote of six of the directors of the Corporation at a meeting duly called for the purpose of altering </w:t>
      </w:r>
      <w:r>
        <w:rPr>
          <w:rFonts w:cs="Arial"/>
        </w:rPr>
        <w:t>[the]</w:t>
      </w:r>
      <w:r w:rsidRPr="00151B47">
        <w:rPr>
          <w:rFonts w:cs="Arial"/>
        </w:rPr>
        <w:t xml:space="preserve"> by-laws.”</w:t>
      </w:r>
      <w:r w:rsidRPr="00151B47">
        <w:rPr>
          <w:rStyle w:val="FootnoteReference"/>
          <w:rFonts w:cs="Arial"/>
        </w:rPr>
        <w:footnoteReference w:id="18"/>
      </w:r>
    </w:p>
    <w:p w14:paraId="3EDB6F73" w14:textId="1A3251BE" w:rsidR="005A21EE" w:rsidRPr="00151B47" w:rsidRDefault="005A21EE" w:rsidP="005A21EE">
      <w:pPr>
        <w:pStyle w:val="BodyText"/>
        <w:spacing w:before="240" w:after="0"/>
        <w:jc w:val="both"/>
        <w:rPr>
          <w:rFonts w:cs="Arial"/>
        </w:rPr>
      </w:pPr>
      <w:r w:rsidRPr="00151B47">
        <w:rPr>
          <w:rFonts w:cs="Arial"/>
        </w:rPr>
        <w:t>However, MISO’s nine-member board is directly “elected by the Members from a slate of candidates presented to them by the Nominating Committee.”</w:t>
      </w:r>
      <w:r w:rsidRPr="00151B47">
        <w:rPr>
          <w:rStyle w:val="FootnoteReference"/>
          <w:rFonts w:cs="Arial"/>
        </w:rPr>
        <w:footnoteReference w:id="19"/>
      </w:r>
      <w:r w:rsidRPr="00151B47">
        <w:rPr>
          <w:rFonts w:cs="Arial"/>
        </w:rPr>
        <w:t xml:space="preserve"> MISO’s Nominating Committee consists of “three Board Members whose terms are not expiring appointed by the Board and two members of the Advisory Committee selected by the Advisory Committee.”</w:t>
      </w:r>
      <w:r w:rsidRPr="00151B47">
        <w:rPr>
          <w:rStyle w:val="FootnoteReference"/>
          <w:rFonts w:cs="Arial"/>
        </w:rPr>
        <w:footnoteReference w:id="20"/>
      </w:r>
      <w:r w:rsidRPr="00151B47">
        <w:rPr>
          <w:rFonts w:cs="Arial"/>
        </w:rPr>
        <w:t xml:space="preserve"> In turn, the Advisory Committee consists of 25 representatives from various stakeholder groups.</w:t>
      </w:r>
      <w:r w:rsidRPr="00151B47">
        <w:rPr>
          <w:rStyle w:val="FootnoteReference"/>
          <w:rFonts w:cs="Arial"/>
        </w:rPr>
        <w:footnoteReference w:id="21"/>
      </w:r>
      <w:r w:rsidRPr="00151B47">
        <w:rPr>
          <w:rFonts w:cs="Arial"/>
        </w:rPr>
        <w:t xml:space="preserve"> In addition to at least two qualified </w:t>
      </w:r>
      <w:r>
        <w:rPr>
          <w:rFonts w:cs="Arial"/>
        </w:rPr>
        <w:t>B</w:t>
      </w:r>
      <w:r w:rsidRPr="00151B47">
        <w:rPr>
          <w:rFonts w:cs="Arial"/>
        </w:rPr>
        <w:t>oard candidates</w:t>
      </w:r>
      <w:r>
        <w:rPr>
          <w:rFonts w:cs="Arial"/>
        </w:rPr>
        <w:t xml:space="preserve"> </w:t>
      </w:r>
      <w:r w:rsidRPr="00151B47">
        <w:rPr>
          <w:rFonts w:cs="Arial"/>
        </w:rPr>
        <w:t>provided by an executive search firm</w:t>
      </w:r>
      <w:r w:rsidR="006B5A10">
        <w:rPr>
          <w:rFonts w:cs="Arial"/>
        </w:rPr>
        <w:t>,</w:t>
      </w:r>
      <w:r w:rsidR="006B5A10" w:rsidRPr="00151B47">
        <w:rPr>
          <w:rFonts w:cs="Arial"/>
        </w:rPr>
        <w:t xml:space="preserve"> </w:t>
      </w:r>
      <w:r w:rsidRPr="00151B47">
        <w:rPr>
          <w:rFonts w:cs="Arial"/>
        </w:rPr>
        <w:t xml:space="preserve">MISO members can also submit the names of other qualified </w:t>
      </w:r>
      <w:r>
        <w:rPr>
          <w:rFonts w:cs="Arial"/>
        </w:rPr>
        <w:t>B</w:t>
      </w:r>
      <w:r w:rsidRPr="00151B47">
        <w:rPr>
          <w:rFonts w:cs="Arial"/>
        </w:rPr>
        <w:t>oard candidates directly to the Nominating Committee.</w:t>
      </w:r>
      <w:r w:rsidRPr="00151B47">
        <w:rPr>
          <w:rStyle w:val="FootnoteReference"/>
          <w:rFonts w:cs="Arial"/>
        </w:rPr>
        <w:footnoteReference w:id="22"/>
      </w:r>
    </w:p>
    <w:p w14:paraId="034F73DC" w14:textId="77777777" w:rsidR="005A21EE" w:rsidRPr="00151B47" w:rsidRDefault="005A21EE" w:rsidP="005A21EE">
      <w:pPr>
        <w:pStyle w:val="BodyText"/>
        <w:spacing w:before="240" w:after="0"/>
        <w:jc w:val="both"/>
        <w:rPr>
          <w:rFonts w:cs="Arial"/>
        </w:rPr>
      </w:pPr>
      <w:r w:rsidRPr="00151B47">
        <w:rPr>
          <w:rFonts w:cs="Arial"/>
        </w:rPr>
        <w:t>NYISO</w:t>
      </w:r>
      <w:r>
        <w:rPr>
          <w:rFonts w:cs="Arial"/>
        </w:rPr>
        <w:t xml:space="preserve"> has an independent/unaffiliated 10</w:t>
      </w:r>
      <w:r w:rsidRPr="00151B47">
        <w:rPr>
          <w:rFonts w:cs="Arial"/>
        </w:rPr>
        <w:t xml:space="preserve">-member </w:t>
      </w:r>
      <w:r>
        <w:rPr>
          <w:rFonts w:cs="Arial"/>
        </w:rPr>
        <w:t>B</w:t>
      </w:r>
      <w:r w:rsidRPr="00151B47">
        <w:rPr>
          <w:rFonts w:cs="Arial"/>
        </w:rPr>
        <w:t>oard</w:t>
      </w:r>
      <w:r>
        <w:rPr>
          <w:rFonts w:cs="Arial"/>
        </w:rPr>
        <w:t xml:space="preserve">, which is </w:t>
      </w:r>
      <w:r w:rsidRPr="00151B47">
        <w:rPr>
          <w:rFonts w:cs="Arial"/>
        </w:rPr>
        <w:t xml:space="preserve">elected by the existing </w:t>
      </w:r>
      <w:r>
        <w:rPr>
          <w:rFonts w:cs="Arial"/>
        </w:rPr>
        <w:t>B</w:t>
      </w:r>
      <w:r w:rsidRPr="00151B47">
        <w:rPr>
          <w:rFonts w:cs="Arial"/>
        </w:rPr>
        <w:t>oard members.</w:t>
      </w:r>
      <w:r w:rsidRPr="00151B47">
        <w:rPr>
          <w:rStyle w:val="FootnoteReference"/>
          <w:rFonts w:cs="Arial"/>
        </w:rPr>
        <w:footnoteReference w:id="23"/>
      </w:r>
      <w:r w:rsidRPr="00151B47">
        <w:rPr>
          <w:rFonts w:cs="Arial"/>
        </w:rPr>
        <w:t xml:space="preserve"> Although market participants “shall conduct a search for new directors and recommend to the Board a list of at least three qualified candidates for each vacancy,” the “Board may, by a majority vote, either choose a candidate from among those recommended by the [market participants] or choose a candidate not so recommended.”</w:t>
      </w:r>
      <w:r w:rsidRPr="00151B47">
        <w:rPr>
          <w:rStyle w:val="FootnoteReference"/>
          <w:rFonts w:cs="Arial"/>
        </w:rPr>
        <w:footnoteReference w:id="24"/>
      </w:r>
    </w:p>
    <w:p w14:paraId="1A1C73AD" w14:textId="77777777" w:rsidR="005A21EE" w:rsidRPr="00151B47" w:rsidRDefault="005A21EE" w:rsidP="005A21EE">
      <w:pPr>
        <w:pStyle w:val="BodyText"/>
        <w:numPr>
          <w:ilvl w:val="0"/>
          <w:numId w:val="13"/>
        </w:numPr>
        <w:spacing w:before="240" w:after="0"/>
        <w:ind w:hanging="720"/>
        <w:jc w:val="both"/>
        <w:rPr>
          <w:rFonts w:cs="Arial"/>
          <w:b/>
          <w:bCs/>
        </w:rPr>
      </w:pPr>
      <w:r w:rsidRPr="00151B47">
        <w:rPr>
          <w:rFonts w:cs="Arial"/>
          <w:b/>
          <w:bCs/>
        </w:rPr>
        <w:t xml:space="preserve">PJM’s </w:t>
      </w:r>
      <w:r>
        <w:rPr>
          <w:rFonts w:cs="Arial"/>
          <w:b/>
          <w:bCs/>
        </w:rPr>
        <w:t>O</w:t>
      </w:r>
      <w:r w:rsidRPr="00151B47">
        <w:rPr>
          <w:rFonts w:cs="Arial"/>
          <w:b/>
          <w:bCs/>
        </w:rPr>
        <w:t xml:space="preserve">perating </w:t>
      </w:r>
      <w:r>
        <w:rPr>
          <w:rFonts w:cs="Arial"/>
          <w:b/>
          <w:bCs/>
        </w:rPr>
        <w:t>A</w:t>
      </w:r>
      <w:r w:rsidRPr="00151B47">
        <w:rPr>
          <w:rFonts w:cs="Arial"/>
          <w:b/>
          <w:bCs/>
        </w:rPr>
        <w:t xml:space="preserve">greement requires member approval and allows members to elect all voting </w:t>
      </w:r>
      <w:r>
        <w:rPr>
          <w:rFonts w:cs="Arial"/>
          <w:b/>
          <w:bCs/>
        </w:rPr>
        <w:t>B</w:t>
      </w:r>
      <w:r w:rsidRPr="00151B47">
        <w:rPr>
          <w:rFonts w:cs="Arial"/>
          <w:b/>
          <w:bCs/>
        </w:rPr>
        <w:t>oard members.</w:t>
      </w:r>
    </w:p>
    <w:p w14:paraId="508E6288" w14:textId="77777777" w:rsidR="005A21EE" w:rsidRPr="00151B47" w:rsidRDefault="005A21EE" w:rsidP="005A21EE">
      <w:pPr>
        <w:pStyle w:val="BodyText"/>
        <w:spacing w:before="240" w:after="0"/>
        <w:jc w:val="both"/>
        <w:rPr>
          <w:rFonts w:cs="Arial"/>
        </w:rPr>
      </w:pPr>
      <w:r w:rsidRPr="00151B47">
        <w:rPr>
          <w:rFonts w:cs="Arial"/>
        </w:rPr>
        <w:t xml:space="preserve">Unlike the </w:t>
      </w:r>
      <w:r>
        <w:rPr>
          <w:rFonts w:cs="Arial"/>
        </w:rPr>
        <w:t xml:space="preserve">bylaws of </w:t>
      </w:r>
      <w:r w:rsidRPr="00151B47">
        <w:rPr>
          <w:rFonts w:cs="Arial"/>
        </w:rPr>
        <w:t xml:space="preserve">CAISO, MISO, and NYISO, PJM’s </w:t>
      </w:r>
      <w:r>
        <w:rPr>
          <w:rFonts w:cs="Arial"/>
        </w:rPr>
        <w:t>O</w:t>
      </w:r>
      <w:r w:rsidRPr="00151B47">
        <w:rPr>
          <w:rFonts w:cs="Arial"/>
        </w:rPr>
        <w:t xml:space="preserve">perating </w:t>
      </w:r>
      <w:r>
        <w:rPr>
          <w:rFonts w:cs="Arial"/>
        </w:rPr>
        <w:t>A</w:t>
      </w:r>
      <w:r w:rsidRPr="00151B47">
        <w:rPr>
          <w:rFonts w:cs="Arial"/>
        </w:rPr>
        <w:t xml:space="preserve">greement includes an amendment procedure similar to ERCOT’s. PJM’s </w:t>
      </w:r>
      <w:r>
        <w:rPr>
          <w:rFonts w:cs="Arial"/>
        </w:rPr>
        <w:t>O</w:t>
      </w:r>
      <w:r w:rsidRPr="00151B47">
        <w:rPr>
          <w:rFonts w:cs="Arial"/>
        </w:rPr>
        <w:t xml:space="preserve">perating </w:t>
      </w:r>
      <w:r>
        <w:rPr>
          <w:rFonts w:cs="Arial"/>
        </w:rPr>
        <w:t>A</w:t>
      </w:r>
      <w:r w:rsidRPr="00151B47">
        <w:rPr>
          <w:rFonts w:cs="Arial"/>
        </w:rPr>
        <w:t>greement can only be amended</w:t>
      </w:r>
      <w:r>
        <w:rPr>
          <w:rFonts w:cs="Arial"/>
        </w:rPr>
        <w:t xml:space="preserve"> upon:</w:t>
      </w:r>
    </w:p>
    <w:p w14:paraId="0166CC1C" w14:textId="77777777" w:rsidR="005A21EE" w:rsidRPr="00151B47" w:rsidRDefault="005A21EE" w:rsidP="005A21EE">
      <w:pPr>
        <w:pStyle w:val="BodyText"/>
        <w:spacing w:before="240" w:after="0"/>
        <w:ind w:left="720" w:right="720"/>
        <w:jc w:val="both"/>
        <w:rPr>
          <w:rFonts w:cs="Arial"/>
        </w:rPr>
      </w:pPr>
      <w:r w:rsidRPr="00151B47">
        <w:rPr>
          <w:rFonts w:cs="Arial"/>
        </w:rPr>
        <w:t xml:space="preserve">(i) submission of the proposed amendment to the PJM Board for its review and comments; (ii) </w:t>
      </w:r>
      <w:r w:rsidRPr="00151B47">
        <w:rPr>
          <w:rFonts w:cs="Arial"/>
          <w:i/>
          <w:iCs/>
        </w:rPr>
        <w:t>approval of the amendment . . . by the Members Committee</w:t>
      </w:r>
      <w:r w:rsidRPr="00151B47">
        <w:rPr>
          <w:rFonts w:cs="Arial"/>
        </w:rPr>
        <w:t xml:space="preserve">, after consideration of the comments of the PJM Board, in accordance with Operating Agreement, section 8.4, or written agreement to an amendment of all Members not in default at the time the amendment is agreed upon; and (iii) approval and/or acceptance for filing of the </w:t>
      </w:r>
      <w:r w:rsidRPr="00151B47">
        <w:rPr>
          <w:rFonts w:cs="Arial"/>
        </w:rPr>
        <w:lastRenderedPageBreak/>
        <w:t>amendment by FERC and any other regulatory body with jurisdiction thereof as may be required by law.</w:t>
      </w:r>
      <w:r w:rsidRPr="00151B47">
        <w:rPr>
          <w:rStyle w:val="FootnoteReference"/>
          <w:rFonts w:cs="Arial"/>
        </w:rPr>
        <w:footnoteReference w:id="25"/>
      </w:r>
    </w:p>
    <w:p w14:paraId="5FB0F356" w14:textId="77777777" w:rsidR="005A21EE" w:rsidRDefault="005A21EE" w:rsidP="005A21EE">
      <w:pPr>
        <w:pStyle w:val="BodyText"/>
        <w:spacing w:before="240" w:after="0"/>
        <w:jc w:val="both"/>
        <w:rPr>
          <w:rFonts w:cs="Arial"/>
        </w:rPr>
      </w:pPr>
      <w:r>
        <w:rPr>
          <w:rFonts w:cs="Arial"/>
        </w:rPr>
        <w:t xml:space="preserve">The </w:t>
      </w:r>
      <w:r w:rsidRPr="00151B47">
        <w:rPr>
          <w:rFonts w:cs="Arial"/>
        </w:rPr>
        <w:t>PJM Members Committee is “composed of representatives of all the Members.”</w:t>
      </w:r>
      <w:r w:rsidRPr="00151B47">
        <w:rPr>
          <w:rStyle w:val="FootnoteReference"/>
          <w:rFonts w:cs="Arial"/>
        </w:rPr>
        <w:footnoteReference w:id="26"/>
      </w:r>
      <w:r w:rsidRPr="00151B47">
        <w:rPr>
          <w:rFonts w:cs="Arial"/>
        </w:rPr>
        <w:t xml:space="preserve"> Members are divided into five sectors </w:t>
      </w:r>
      <w:r>
        <w:rPr>
          <w:rFonts w:cs="Arial"/>
        </w:rPr>
        <w:t>(generation owners, other suppliers, transmission owners, electric distributors, and end-use customers)</w:t>
      </w:r>
      <w:r w:rsidRPr="00151B47">
        <w:rPr>
          <w:rFonts w:cs="Arial"/>
        </w:rPr>
        <w:t>, and each member has one vote.</w:t>
      </w:r>
      <w:r w:rsidRPr="00151B47">
        <w:rPr>
          <w:rStyle w:val="FootnoteReference"/>
          <w:rFonts w:cs="Arial"/>
        </w:rPr>
        <w:footnoteReference w:id="27"/>
      </w:r>
      <w:r w:rsidRPr="00151B47">
        <w:rPr>
          <w:rFonts w:cs="Arial"/>
        </w:rPr>
        <w:t xml:space="preserve"> PJM members also elect </w:t>
      </w:r>
      <w:r>
        <w:rPr>
          <w:rFonts w:cs="Arial"/>
        </w:rPr>
        <w:t>all</w:t>
      </w:r>
      <w:r w:rsidRPr="00151B47">
        <w:rPr>
          <w:rFonts w:cs="Arial"/>
        </w:rPr>
        <w:t xml:space="preserve"> nine voting members </w:t>
      </w:r>
      <w:r>
        <w:rPr>
          <w:rFonts w:cs="Arial"/>
        </w:rPr>
        <w:t>of</w:t>
      </w:r>
      <w:r w:rsidRPr="00151B47">
        <w:rPr>
          <w:rFonts w:cs="Arial"/>
        </w:rPr>
        <w:t xml:space="preserve"> the PJM Board.</w:t>
      </w:r>
      <w:r w:rsidRPr="00151B47">
        <w:rPr>
          <w:rStyle w:val="FootnoteReference"/>
          <w:rFonts w:cs="Arial"/>
        </w:rPr>
        <w:footnoteReference w:id="28"/>
      </w:r>
    </w:p>
    <w:p w14:paraId="227407AE" w14:textId="77777777" w:rsidR="005A21EE" w:rsidRPr="00151B47" w:rsidRDefault="005A21EE" w:rsidP="005A21EE">
      <w:pPr>
        <w:pStyle w:val="BodyText"/>
        <w:spacing w:before="240" w:after="0"/>
        <w:jc w:val="both"/>
        <w:rPr>
          <w:rFonts w:cs="Arial"/>
        </w:rPr>
      </w:pPr>
      <w:r>
        <w:rPr>
          <w:rFonts w:cs="Arial"/>
        </w:rPr>
        <w:t>Accordingly, MISO, NYISO, and PJM all provide much greater opportunity for stakeholder input and involvement than CAISO or ERCOT under the proposed Bylaws amendments.</w:t>
      </w:r>
    </w:p>
    <w:p w14:paraId="1732D842" w14:textId="080DFC07" w:rsidR="006F62FC" w:rsidRDefault="006F62FC" w:rsidP="00FB0CE8">
      <w:pPr>
        <w:pStyle w:val="NormalArial"/>
        <w:numPr>
          <w:ilvl w:val="0"/>
          <w:numId w:val="23"/>
        </w:numPr>
        <w:spacing w:before="240"/>
        <w:ind w:hanging="720"/>
        <w:jc w:val="both"/>
      </w:pPr>
      <w:r>
        <w:rPr>
          <w:b/>
          <w:bCs/>
        </w:rPr>
        <w:t xml:space="preserve">ERCOT is a membership-based nonprofit organization for which the Commission </w:t>
      </w:r>
      <w:r w:rsidR="00F83660">
        <w:rPr>
          <w:b/>
          <w:bCs/>
        </w:rPr>
        <w:t xml:space="preserve">already </w:t>
      </w:r>
      <w:r>
        <w:rPr>
          <w:b/>
          <w:bCs/>
        </w:rPr>
        <w:t>has complete oversight</w:t>
      </w:r>
      <w:r w:rsidR="0082421C">
        <w:rPr>
          <w:b/>
          <w:bCs/>
        </w:rPr>
        <w:t>.</w:t>
      </w:r>
    </w:p>
    <w:p w14:paraId="149F0CC2" w14:textId="3CB676AB" w:rsidR="00BE05EF" w:rsidRDefault="00DA0C09" w:rsidP="009E612F">
      <w:pPr>
        <w:pStyle w:val="NormalArial"/>
        <w:spacing w:before="240"/>
        <w:jc w:val="both"/>
      </w:pPr>
      <w:r>
        <w:t xml:space="preserve">As a membership-based 501(c)(4) nonprofit corporation, ERCOT is governed by a board </w:t>
      </w:r>
      <w:r w:rsidR="00A244E0">
        <w:t xml:space="preserve">of directors </w:t>
      </w:r>
      <w:r>
        <w:t xml:space="preserve">and is subject to </w:t>
      </w:r>
      <w:r>
        <w:rPr>
          <w:i/>
          <w:iCs/>
        </w:rPr>
        <w:t xml:space="preserve">complete </w:t>
      </w:r>
      <w:r w:rsidRPr="000C3284">
        <w:rPr>
          <w:i/>
          <w:iCs/>
        </w:rPr>
        <w:t>oversight</w:t>
      </w:r>
      <w:r>
        <w:t xml:space="preserve"> by the Commission. </w:t>
      </w:r>
    </w:p>
    <w:p w14:paraId="34B92B78" w14:textId="11EE4494" w:rsidR="00BE05EF" w:rsidRDefault="00BE05EF" w:rsidP="00BC1DAD">
      <w:pPr>
        <w:pStyle w:val="NormalArial"/>
        <w:spacing w:before="240"/>
        <w:ind w:left="720" w:right="720"/>
        <w:jc w:val="both"/>
      </w:pPr>
      <w:r w:rsidRPr="000C3284">
        <w:t>Rules adopted by [ERCOT] and enforcement actions taken by [ERCOT]</w:t>
      </w:r>
      <w:r w:rsidRPr="00151B47">
        <w:t xml:space="preserve"> under delegated authority from the commission are subject to commission oversight and review and may not take effect before receiving commission approval. [ERCOT] is directly responsible and accountable to the commission. The commission has complete authority to oversee and investigate the organization's finances, budget, and operations as necessary to ensure [ERCOT’s] accountability and to ensure that [ERCOT] adequately performs [its] functions and duties. [ERCOT] shall fully cooperate with the commission in the commission's oversight and investigatory functions.</w:t>
      </w:r>
      <w:r w:rsidR="00A244E0">
        <w:rPr>
          <w:rStyle w:val="FootnoteReference"/>
        </w:rPr>
        <w:footnoteReference w:id="29"/>
      </w:r>
      <w:r w:rsidRPr="00151B47">
        <w:t xml:space="preserve"> </w:t>
      </w:r>
    </w:p>
    <w:p w14:paraId="3EC56EE3" w14:textId="68277013" w:rsidR="00A7027D" w:rsidRPr="0082421C" w:rsidRDefault="00A7027D" w:rsidP="00FB0CE8">
      <w:pPr>
        <w:pStyle w:val="NormalArial"/>
        <w:numPr>
          <w:ilvl w:val="0"/>
          <w:numId w:val="23"/>
        </w:numPr>
        <w:spacing w:before="240"/>
        <w:ind w:hanging="720"/>
        <w:jc w:val="both"/>
        <w:rPr>
          <w:b/>
          <w:bCs/>
        </w:rPr>
      </w:pPr>
      <w:r w:rsidRPr="0082421C">
        <w:rPr>
          <w:b/>
          <w:bCs/>
        </w:rPr>
        <w:t>The amendment process in ERCOT Bylaws § 13.1 provide</w:t>
      </w:r>
      <w:r w:rsidR="008E0397">
        <w:rPr>
          <w:b/>
          <w:bCs/>
        </w:rPr>
        <w:t>s</w:t>
      </w:r>
      <w:r w:rsidRPr="0082421C">
        <w:rPr>
          <w:b/>
          <w:bCs/>
        </w:rPr>
        <w:t xml:space="preserve"> oversight by the ERCOT Board and the Commission and fosters stakeholder engagement. </w:t>
      </w:r>
    </w:p>
    <w:p w14:paraId="373BE191" w14:textId="7FF593A5" w:rsidR="00A7027D" w:rsidRDefault="00A7027D" w:rsidP="00A7027D">
      <w:pPr>
        <w:pStyle w:val="NormalArial"/>
        <w:ind w:left="720" w:hanging="720"/>
      </w:pPr>
    </w:p>
    <w:p w14:paraId="0F494F1F" w14:textId="0E69B5D3" w:rsidR="00A7027D" w:rsidRDefault="00A7027D" w:rsidP="00BC1DAD">
      <w:pPr>
        <w:pStyle w:val="NormalArial"/>
        <w:jc w:val="both"/>
      </w:pPr>
      <w:r w:rsidRPr="0082421C">
        <w:t>The ERCOT Bylaws and PURA sufficiently protect the authority of the ERCOT Board and the Commission to control amendments to the ERCOT Bylaws. Currently, all proposed Bylaws amendments must be submitted to the ERCOT Board and “approved by an act of the Board.”</w:t>
      </w:r>
      <w:r w:rsidR="00A244E0">
        <w:rPr>
          <w:rStyle w:val="FootnoteReference"/>
        </w:rPr>
        <w:footnoteReference w:id="30"/>
      </w:r>
      <w:r w:rsidRPr="0082421C">
        <w:t xml:space="preserve"> Additionally, the ERCOT Bylaws “must be approved by the [C</w:t>
      </w:r>
      <w:r w:rsidR="00A244E0">
        <w:t>]</w:t>
      </w:r>
      <w:r w:rsidRPr="0082421C">
        <w:t>ommission and must reflect the input of the [C</w:t>
      </w:r>
      <w:r w:rsidR="00A244E0">
        <w:t>]</w:t>
      </w:r>
      <w:r w:rsidRPr="0082421C">
        <w:t>ommission.”</w:t>
      </w:r>
      <w:r w:rsidR="00A244E0">
        <w:rPr>
          <w:rStyle w:val="FootnoteReference"/>
        </w:rPr>
        <w:footnoteReference w:id="31"/>
      </w:r>
      <w:r w:rsidRPr="0082421C">
        <w:t xml:space="preserve"> Corporate Members cannot amend the Bylaws without the oversight and approval from the ERCOT Board and the Commission. Further, at least four of the seven Corporate Member Segments must agree on any proposed amendments to the ERCOT Bylaws.</w:t>
      </w:r>
      <w:r w:rsidR="00A244E0">
        <w:rPr>
          <w:rStyle w:val="FootnoteReference"/>
        </w:rPr>
        <w:footnoteReference w:id="32"/>
      </w:r>
      <w:r w:rsidRPr="0082421C">
        <w:t xml:space="preserve"> This structure ensures that the ERCOT </w:t>
      </w:r>
      <w:r w:rsidRPr="0082421C">
        <w:lastRenderedPageBreak/>
        <w:t xml:space="preserve">Board, Corporate Members, and the Commission agree on any amendments to the ERCOT Bylaws and encourages thoughtful collaboration among all interested parties. </w:t>
      </w:r>
    </w:p>
    <w:p w14:paraId="19DC632E" w14:textId="3E7FA56C" w:rsidR="00770559" w:rsidRDefault="00770559" w:rsidP="003A0D72">
      <w:pPr>
        <w:pStyle w:val="NormalArial"/>
        <w:numPr>
          <w:ilvl w:val="0"/>
          <w:numId w:val="9"/>
        </w:numPr>
        <w:spacing w:before="240"/>
        <w:ind w:left="0" w:firstLine="0"/>
        <w:jc w:val="center"/>
        <w:rPr>
          <w:b/>
          <w:bCs/>
        </w:rPr>
      </w:pPr>
      <w:r>
        <w:rPr>
          <w:b/>
          <w:bCs/>
        </w:rPr>
        <w:t>Legal Questions</w:t>
      </w:r>
    </w:p>
    <w:p w14:paraId="4EA81C38" w14:textId="4DA70855" w:rsidR="00161270" w:rsidRDefault="00161270" w:rsidP="00151B47">
      <w:pPr>
        <w:pStyle w:val="NormalArial"/>
        <w:spacing w:before="240"/>
        <w:jc w:val="both"/>
      </w:pPr>
      <w:r w:rsidRPr="00161270">
        <w:t xml:space="preserve">For the policy reasons discussed above, ERCOT’s unique role under </w:t>
      </w:r>
      <w:r>
        <w:t>the Public Utility Regulatory Act (“PURA”),</w:t>
      </w:r>
      <w:r w:rsidRPr="00161270">
        <w:t xml:space="preserve"> as the Commission’s certified independent organization makes stakeholder input (including as established by the current Bylaws, Protocols, and other processes) essential to the success of the ERCOT market. Indeed, no provision of</w:t>
      </w:r>
      <w:r w:rsidR="000C2C90">
        <w:t xml:space="preserve"> </w:t>
      </w:r>
      <w:r w:rsidRPr="00161270">
        <w:t xml:space="preserve">PURA </w:t>
      </w:r>
      <w:r w:rsidR="000C2C90">
        <w:t xml:space="preserve">expressly </w:t>
      </w:r>
      <w:r w:rsidRPr="00161270">
        <w:t>requires the proposed Bylaw amendments, and no provision of PURA</w:t>
      </w:r>
      <w:r w:rsidR="00747C13">
        <w:t xml:space="preserve"> regarding amendments to the ERCOT Bylaws</w:t>
      </w:r>
      <w:r w:rsidRPr="00161270">
        <w:t xml:space="preserve"> is in</w:t>
      </w:r>
      <w:r w:rsidR="000C2C90">
        <w:t xml:space="preserve"> </w:t>
      </w:r>
      <w:r w:rsidRPr="00161270">
        <w:t xml:space="preserve">conflict with the current ERCOT Bylaws. In short, PURA </w:t>
      </w:r>
      <w:r w:rsidR="00341C50">
        <w:t>has</w:t>
      </w:r>
      <w:r w:rsidR="00E2202E">
        <w:t xml:space="preserve"> not </w:t>
      </w:r>
      <w:r w:rsidR="00341C50">
        <w:t xml:space="preserve">been demonstrated to be </w:t>
      </w:r>
      <w:r w:rsidR="000E70BC">
        <w:t>in</w:t>
      </w:r>
      <w:r w:rsidRPr="00161270">
        <w:t xml:space="preserve"> conflict with the </w:t>
      </w:r>
      <w:r w:rsidR="00940522" w:rsidRPr="00940522">
        <w:t xml:space="preserve">Texas Business Organizations Code </w:t>
      </w:r>
      <w:r w:rsidR="00940522">
        <w:t>(“</w:t>
      </w:r>
      <w:r w:rsidRPr="00161270">
        <w:t>TBOC</w:t>
      </w:r>
      <w:r w:rsidR="00940522">
        <w:t>”)</w:t>
      </w:r>
      <w:r w:rsidRPr="00161270">
        <w:t xml:space="preserve"> as to the issues raised by ERCOT’s proposed Bylaw amendments. But the proposed amendments would </w:t>
      </w:r>
      <w:r w:rsidR="0056724F">
        <w:t xml:space="preserve">appear to </w:t>
      </w:r>
      <w:r w:rsidRPr="00161270">
        <w:t xml:space="preserve">contravene certain provisions of the </w:t>
      </w:r>
      <w:r>
        <w:t xml:space="preserve">Texas Business Organizations Code </w:t>
      </w:r>
      <w:r w:rsidRPr="00161270">
        <w:t>TBOC, as described below.</w:t>
      </w:r>
    </w:p>
    <w:p w14:paraId="36D5A524" w14:textId="132696EE" w:rsidR="006F62FC" w:rsidRPr="00580021" w:rsidRDefault="006F62FC" w:rsidP="00151B47">
      <w:pPr>
        <w:pStyle w:val="NormalArial"/>
        <w:spacing w:before="240"/>
        <w:jc w:val="both"/>
        <w:rPr>
          <w:b/>
          <w:bCs/>
        </w:rPr>
      </w:pPr>
      <w:r>
        <w:t>The TBOC, PURA, ERCOT COF</w:t>
      </w:r>
      <w:r w:rsidR="00C55BF0">
        <w:t>,</w:t>
      </w:r>
      <w:r>
        <w:t xml:space="preserve"> and ERCOT Bylaws govern the procedure by which the ERCOT Bylaws may be amended. As </w:t>
      </w:r>
      <w:r w:rsidR="00C55BF0">
        <w:t>detailed</w:t>
      </w:r>
      <w:r>
        <w:t xml:space="preserve"> below, </w:t>
      </w:r>
      <w:r w:rsidR="00C55BF0">
        <w:t xml:space="preserve">amending the ERCOT Bylaws without </w:t>
      </w:r>
      <w:r w:rsidR="00B4003A">
        <w:t>approval of the Corporate Members could violate the TBOC</w:t>
      </w:r>
      <w:r>
        <w:t xml:space="preserve">. Moreover, if the proposed amendments are adopted, </w:t>
      </w:r>
      <w:r w:rsidR="006B0DAA">
        <w:t xml:space="preserve">the ERCOT Bylaws </w:t>
      </w:r>
      <w:r w:rsidR="00324386">
        <w:t>could</w:t>
      </w:r>
      <w:r>
        <w:t xml:space="preserve"> conflict with state law and the ERCOT COF. The Joint Commenters appreciate the dialogue </w:t>
      </w:r>
      <w:r w:rsidR="00324386">
        <w:t xml:space="preserve">at </w:t>
      </w:r>
      <w:r>
        <w:t xml:space="preserve">the </w:t>
      </w:r>
      <w:r w:rsidR="00324386">
        <w:t xml:space="preserve">August </w:t>
      </w:r>
      <w:r>
        <w:t xml:space="preserve">ERCOT Board </w:t>
      </w:r>
      <w:r w:rsidR="00324386">
        <w:t>meeting</w:t>
      </w:r>
      <w:r w:rsidR="006B0DAA">
        <w:t>s</w:t>
      </w:r>
      <w:r w:rsidR="00324386">
        <w:t xml:space="preserve"> regarding</w:t>
      </w:r>
      <w:r>
        <w:t xml:space="preserve"> the intent of the Texas Legislature and Governor in drafting and enacting Senate Bill (“SB”) 2. However, the statutory changes to PURA </w:t>
      </w:r>
      <w:r w:rsidR="00B4003A">
        <w:t xml:space="preserve">in </w:t>
      </w:r>
      <w:r>
        <w:t>SB</w:t>
      </w:r>
      <w:r w:rsidR="00B4003A">
        <w:t xml:space="preserve"> </w:t>
      </w:r>
      <w:r>
        <w:t xml:space="preserve">2 do not appear to </w:t>
      </w:r>
      <w:r w:rsidR="00324386">
        <w:t>direct</w:t>
      </w:r>
      <w:r>
        <w:t xml:space="preserve"> amendments to the ERCOT Bylaws without “an affirmative vote by at least four of the seven [Corporate Member] Segments</w:t>
      </w:r>
      <w:r w:rsidR="00B4003A">
        <w:t xml:space="preserve"> . . . .”</w:t>
      </w:r>
      <w:r w:rsidR="00B4003A">
        <w:rPr>
          <w:rStyle w:val="FootnoteReference"/>
        </w:rPr>
        <w:footnoteReference w:id="33"/>
      </w:r>
      <w:r w:rsidR="00B4003A">
        <w:t xml:space="preserve"> </w:t>
      </w:r>
    </w:p>
    <w:p w14:paraId="3D2D3038" w14:textId="77777777" w:rsidR="008D44E1" w:rsidRPr="00231F8E" w:rsidRDefault="00411FE6" w:rsidP="00231F8E">
      <w:pPr>
        <w:pStyle w:val="NormalArial"/>
        <w:numPr>
          <w:ilvl w:val="0"/>
          <w:numId w:val="3"/>
        </w:numPr>
        <w:spacing w:before="240"/>
        <w:ind w:hanging="720"/>
        <w:jc w:val="both"/>
        <w:rPr>
          <w:b/>
          <w:bCs/>
        </w:rPr>
      </w:pPr>
      <w:r>
        <w:rPr>
          <w:b/>
          <w:bCs/>
        </w:rPr>
        <w:t>Must</w:t>
      </w:r>
      <w:r w:rsidR="006111F7">
        <w:rPr>
          <w:b/>
          <w:bCs/>
        </w:rPr>
        <w:t xml:space="preserve"> a</w:t>
      </w:r>
      <w:r w:rsidR="00231F8E" w:rsidRPr="00231F8E">
        <w:rPr>
          <w:b/>
          <w:bCs/>
        </w:rPr>
        <w:t xml:space="preserve">mendments to the ERCOT Bylaws </w:t>
      </w:r>
      <w:r w:rsidR="00F83660">
        <w:rPr>
          <w:b/>
          <w:bCs/>
        </w:rPr>
        <w:t xml:space="preserve">currently </w:t>
      </w:r>
      <w:r w:rsidR="00231F8E" w:rsidRPr="00231F8E">
        <w:rPr>
          <w:b/>
          <w:bCs/>
        </w:rPr>
        <w:t>be approved by the Corporate Members</w:t>
      </w:r>
      <w:r w:rsidR="00F83660">
        <w:rPr>
          <w:b/>
          <w:bCs/>
        </w:rPr>
        <w:t xml:space="preserve"> in order to become effective?</w:t>
      </w:r>
    </w:p>
    <w:p w14:paraId="099F9B87" w14:textId="1D578CCC" w:rsidR="00A70703" w:rsidRDefault="00000000" w:rsidP="009C3D84">
      <w:pPr>
        <w:pStyle w:val="NormalArial"/>
        <w:spacing w:before="240"/>
        <w:jc w:val="both"/>
      </w:pPr>
      <w:hyperlink r:id="rId12" w:history="1">
        <w:r w:rsidR="00DE076B">
          <w:rPr>
            <w:rStyle w:val="Hyperlink"/>
          </w:rPr>
          <w:t>TBOC Chapter 22</w:t>
        </w:r>
      </w:hyperlink>
      <w:r w:rsidR="000543E8">
        <w:rPr>
          <w:rStyle w:val="Hyperlink"/>
        </w:rPr>
        <w:t>,</w:t>
      </w:r>
      <w:r w:rsidR="00F83660">
        <w:t xml:space="preserve"> </w:t>
      </w:r>
      <w:r w:rsidR="000543E8">
        <w:t>“</w:t>
      </w:r>
      <w:r w:rsidR="00DE076B" w:rsidRPr="00DE076B">
        <w:t>Nonprofit Corporations</w:t>
      </w:r>
      <w:r w:rsidR="000543E8">
        <w:t>,”</w:t>
      </w:r>
      <w:r w:rsidR="00DE076B">
        <w:t xml:space="preserve"> governs the purposes and powers of Texas nonprofit corporations like</w:t>
      </w:r>
      <w:r w:rsidR="00A07AD3">
        <w:t xml:space="preserve"> ERCOT—</w:t>
      </w:r>
      <w:r w:rsidR="00DE076B">
        <w:t>a “</w:t>
      </w:r>
      <w:hyperlink r:id="rId13" w:history="1">
        <w:r w:rsidR="00DE076B">
          <w:rPr>
            <w:rStyle w:val="Hyperlink"/>
          </w:rPr>
          <w:t>membership-based 501(c)(4) nonprofit corporation</w:t>
        </w:r>
      </w:hyperlink>
      <w:r w:rsidR="00A07AD3">
        <w:t>.</w:t>
      </w:r>
      <w:r w:rsidR="00DE076B">
        <w:t>”</w:t>
      </w:r>
      <w:r w:rsidR="00A07AD3">
        <w:t xml:space="preserve"> </w:t>
      </w:r>
      <w:r w:rsidR="007B032C">
        <w:t xml:space="preserve">TBOC </w:t>
      </w:r>
      <w:r w:rsidR="007B032C" w:rsidRPr="00A07AD3">
        <w:t>§ 22.102(</w:t>
      </w:r>
      <w:r w:rsidR="007B032C">
        <w:t xml:space="preserve">c) </w:t>
      </w:r>
      <w:r w:rsidR="00DE076B">
        <w:t>provides that a corporation’s board of directors</w:t>
      </w:r>
      <w:r w:rsidR="007B032C">
        <w:t xml:space="preserve"> </w:t>
      </w:r>
      <w:r w:rsidR="00DE076B">
        <w:t xml:space="preserve">may amend </w:t>
      </w:r>
      <w:r w:rsidR="003B11F5">
        <w:t>its</w:t>
      </w:r>
      <w:r w:rsidR="00DE076B">
        <w:t xml:space="preserve"> bylaws</w:t>
      </w:r>
      <w:r w:rsidR="007B032C">
        <w:t xml:space="preserve">, </w:t>
      </w:r>
      <w:r w:rsidR="007B032C">
        <w:rPr>
          <w:i/>
          <w:iCs/>
        </w:rPr>
        <w:t>unless</w:t>
      </w:r>
      <w:r w:rsidR="00DE076B">
        <w:rPr>
          <w:i/>
          <w:iCs/>
        </w:rPr>
        <w:t xml:space="preserve"> </w:t>
      </w:r>
      <w:r w:rsidR="00DE076B">
        <w:t>(in relevant part)</w:t>
      </w:r>
      <w:r w:rsidR="007B032C">
        <w:t xml:space="preserve">: </w:t>
      </w:r>
      <w:r w:rsidR="00DE076B">
        <w:t>the corporation’s</w:t>
      </w:r>
      <w:r w:rsidR="007B032C">
        <w:t xml:space="preserve"> COF “wholly or partly reserves the power exclusively to </w:t>
      </w:r>
      <w:r w:rsidR="00DE076B">
        <w:t>the corporation’s</w:t>
      </w:r>
      <w:r w:rsidR="007B032C">
        <w:t xml:space="preserve"> members</w:t>
      </w:r>
      <w:r w:rsidR="00667F15">
        <w:t>;</w:t>
      </w:r>
      <w:r w:rsidR="007B032C">
        <w:t>”</w:t>
      </w:r>
      <w:r w:rsidR="00667F15">
        <w:rPr>
          <w:rStyle w:val="FootnoteReference"/>
        </w:rPr>
        <w:footnoteReference w:id="34"/>
      </w:r>
      <w:r w:rsidR="007B032C">
        <w:t xml:space="preserve"> or “in amending, repealing, or adopting a bylaw, the members expressly provide that the </w:t>
      </w:r>
      <w:r w:rsidR="00DE076B">
        <w:t xml:space="preserve">board of directors </w:t>
      </w:r>
      <w:r w:rsidR="007B032C">
        <w:t>may not amend or repeal the bylaw</w:t>
      </w:r>
      <w:r w:rsidR="00667F15">
        <w:t>.</w:t>
      </w:r>
      <w:r w:rsidR="007B032C">
        <w:t>”</w:t>
      </w:r>
      <w:r w:rsidR="00667F15">
        <w:rPr>
          <w:rStyle w:val="FootnoteReference"/>
        </w:rPr>
        <w:footnoteReference w:id="35"/>
      </w:r>
      <w:r w:rsidR="00F83660">
        <w:t xml:space="preserve"> </w:t>
      </w:r>
      <w:r w:rsidR="00324386">
        <w:t xml:space="preserve">The Board should carefully consider whether these </w:t>
      </w:r>
      <w:r w:rsidR="007B032C">
        <w:t xml:space="preserve"> exceptions apply with respect to amendments to </w:t>
      </w:r>
      <w:r w:rsidR="00667F15">
        <w:t xml:space="preserve">the </w:t>
      </w:r>
      <w:r w:rsidR="007B032C">
        <w:t>ERCOT Bylaws.</w:t>
      </w:r>
    </w:p>
    <w:p w14:paraId="4B1E52F3" w14:textId="77777777" w:rsidR="00411FE6" w:rsidRDefault="00411FE6" w:rsidP="00BC1DAD">
      <w:pPr>
        <w:pStyle w:val="NormalArial"/>
        <w:numPr>
          <w:ilvl w:val="0"/>
          <w:numId w:val="4"/>
        </w:numPr>
        <w:spacing w:before="240"/>
        <w:jc w:val="both"/>
      </w:pPr>
      <w:r w:rsidRPr="00151B47">
        <w:rPr>
          <w:b/>
          <w:bCs/>
        </w:rPr>
        <w:t xml:space="preserve">Does </w:t>
      </w:r>
      <w:r w:rsidR="00327B5B" w:rsidRPr="00151B47">
        <w:rPr>
          <w:b/>
          <w:bCs/>
        </w:rPr>
        <w:t>ERCOT’s COF reserve the exclusive power to amend the ERCOT Bylaws to the Corporate Members</w:t>
      </w:r>
      <w:r w:rsidRPr="00151B47">
        <w:rPr>
          <w:b/>
          <w:bCs/>
        </w:rPr>
        <w:t>?</w:t>
      </w:r>
      <w:r w:rsidR="00A70703" w:rsidRPr="00151B47">
        <w:rPr>
          <w:b/>
          <w:bCs/>
        </w:rPr>
        <w:t xml:space="preserve"> </w:t>
      </w:r>
    </w:p>
    <w:p w14:paraId="65610400" w14:textId="1BF77EF2" w:rsidR="00411FE6" w:rsidRDefault="007C222C" w:rsidP="00BC1DAD">
      <w:pPr>
        <w:pStyle w:val="NormalArial"/>
        <w:spacing w:before="240"/>
        <w:jc w:val="both"/>
      </w:pPr>
      <w:r>
        <w:t xml:space="preserve">TBOC </w:t>
      </w:r>
      <w:r w:rsidRPr="007C222C">
        <w:t>§ 22.102(c)(1)</w:t>
      </w:r>
      <w:r>
        <w:t xml:space="preserve"> </w:t>
      </w:r>
      <w:r w:rsidR="00324386">
        <w:t xml:space="preserve">appears to </w:t>
      </w:r>
      <w:r>
        <w:t xml:space="preserve">give the ERCOT Board the authority to amend the ERCOT Bylaws </w:t>
      </w:r>
      <w:r w:rsidRPr="00151B47">
        <w:rPr>
          <w:i/>
          <w:iCs/>
        </w:rPr>
        <w:t>unless</w:t>
      </w:r>
      <w:r>
        <w:t xml:space="preserve"> the ERCOT COF </w:t>
      </w:r>
      <w:r w:rsidR="00667F15">
        <w:t>“</w:t>
      </w:r>
      <w:r w:rsidR="000B1BE6">
        <w:t xml:space="preserve">wholly or partly </w:t>
      </w:r>
      <w:r>
        <w:t xml:space="preserve">reserves the power exclusively </w:t>
      </w:r>
      <w:r>
        <w:lastRenderedPageBreak/>
        <w:t xml:space="preserve">to </w:t>
      </w:r>
      <w:r w:rsidR="00667F15">
        <w:t>[</w:t>
      </w:r>
      <w:r>
        <w:t>ERCOT’s</w:t>
      </w:r>
      <w:r w:rsidR="00667F15">
        <w:t>]</w:t>
      </w:r>
      <w:r>
        <w:t xml:space="preserve"> members.</w:t>
      </w:r>
      <w:r w:rsidR="00667F15">
        <w:t>”</w:t>
      </w:r>
      <w:r w:rsidR="00667F15">
        <w:rPr>
          <w:rStyle w:val="FootnoteReference"/>
        </w:rPr>
        <w:footnoteReference w:id="36"/>
      </w:r>
      <w:r>
        <w:t xml:space="preserve"> The ERCOT COF address</w:t>
      </w:r>
      <w:r w:rsidR="00324386">
        <w:t>es</w:t>
      </w:r>
      <w:r>
        <w:t xml:space="preserve"> amendments</w:t>
      </w:r>
      <w:r w:rsidR="006B0DAA">
        <w:t xml:space="preserve"> to the ERCOT Bylaws</w:t>
      </w:r>
      <w:r>
        <w:t xml:space="preserve"> in just one place—</w:t>
      </w:r>
      <w:r w:rsidR="009A021F">
        <w:t>Article 9</w:t>
      </w:r>
      <w:r>
        <w:t xml:space="preserve">. Article 9 of the </w:t>
      </w:r>
      <w:r w:rsidR="009A021F">
        <w:t xml:space="preserve">ERCOT COF </w:t>
      </w:r>
      <w:r>
        <w:t xml:space="preserve">does two things: (1) </w:t>
      </w:r>
      <w:r w:rsidR="006B0DAA">
        <w:t xml:space="preserve">it </w:t>
      </w:r>
      <w:r>
        <w:t xml:space="preserve">allows ERCOT to “have Members as provided for in the [ERCOT] Bylaws” (i.e., if the ERCOT Bylaws provide for Members, then Members are allowed); and (2) </w:t>
      </w:r>
      <w:r w:rsidR="006B0DAA">
        <w:t xml:space="preserve">it </w:t>
      </w:r>
      <w:r>
        <w:t>provides that the ERCOT Bylaws can be “</w:t>
      </w:r>
      <w:r w:rsidRPr="007C222C">
        <w:t>altered, amended or repealed or new Bylaws adopted, by the Members</w:t>
      </w:r>
      <w:r w:rsidR="00ED3E74">
        <w:t xml:space="preserve">, if allowed, </w:t>
      </w:r>
      <w:r w:rsidRPr="007C222C">
        <w:t>through a procedure set forth in the Bylaws or any other manner set forth in the Bylaws</w:t>
      </w:r>
      <w:r>
        <w:t>.”</w:t>
      </w:r>
      <w:r w:rsidR="000E556A">
        <w:rPr>
          <w:rStyle w:val="FootnoteReference"/>
        </w:rPr>
        <w:footnoteReference w:id="37"/>
      </w:r>
      <w:r>
        <w:t xml:space="preserve"> </w:t>
      </w:r>
      <w:r w:rsidR="000B1BE6">
        <w:t>Specifically, the ERCOT Bylaws provide for three classes of members and include several pages of policies governing those members.</w:t>
      </w:r>
      <w:r w:rsidR="000E556A">
        <w:rPr>
          <w:rStyle w:val="FootnoteReference"/>
        </w:rPr>
        <w:footnoteReference w:id="38"/>
      </w:r>
    </w:p>
    <w:p w14:paraId="55E35807" w14:textId="63485FFF" w:rsidR="007C222C" w:rsidRDefault="000B1BE6" w:rsidP="00151B47">
      <w:pPr>
        <w:pStyle w:val="NormalArial"/>
        <w:spacing w:before="240"/>
        <w:jc w:val="both"/>
      </w:pPr>
      <w:r>
        <w:t xml:space="preserve">The </w:t>
      </w:r>
      <w:r w:rsidR="000543E8">
        <w:t xml:space="preserve">ERCOT </w:t>
      </w:r>
      <w:r w:rsidR="00324386">
        <w:t xml:space="preserve">Board should consider whether the </w:t>
      </w:r>
      <w:r>
        <w:t xml:space="preserve">TBOC </w:t>
      </w:r>
      <w:r w:rsidRPr="007C222C">
        <w:t>§ 22.102(c)</w:t>
      </w:r>
      <w:r>
        <w:t>(</w:t>
      </w:r>
      <w:r w:rsidR="00411FE6">
        <w:t>1</w:t>
      </w:r>
      <w:r>
        <w:t xml:space="preserve">) exception to the default provision in TBOC </w:t>
      </w:r>
      <w:r w:rsidRPr="007C222C">
        <w:t>§ 22.102(c)</w:t>
      </w:r>
      <w:r>
        <w:t xml:space="preserve"> </w:t>
      </w:r>
      <w:r w:rsidR="00411FE6">
        <w:t xml:space="preserve">that gives </w:t>
      </w:r>
      <w:r>
        <w:t>the ERCOT Board the authority to amend the ERCOT Bylaws applies here because Article 13 of the ERCOT Bylaws, “Amendments</w:t>
      </w:r>
      <w:r w:rsidR="003B11F5">
        <w:t xml:space="preserve">,” </w:t>
      </w:r>
      <w:r>
        <w:t>specif</w:t>
      </w:r>
      <w:r w:rsidR="003B11F5">
        <w:t>ies</w:t>
      </w:r>
      <w:r>
        <w:t xml:space="preserve"> the procedure </w:t>
      </w:r>
      <w:r w:rsidR="003B11F5">
        <w:t xml:space="preserve">for amending the ERCOT Bylaws. Specifically, Article 13 maintains that subject to the Commission’s approval, the ERCOT Bylaws “may be amended, altered, or repealed by the voting Segments,” if: (1) the amendment(s) have been approved by the ERCOT Board; </w:t>
      </w:r>
      <w:r w:rsidR="003B11F5" w:rsidRPr="00151B47">
        <w:rPr>
          <w:i/>
          <w:iCs/>
        </w:rPr>
        <w:t>and</w:t>
      </w:r>
      <w:r w:rsidR="003B11F5">
        <w:t xml:space="preserve"> (2) the Corporate Members vote to enact the Board-approved amendment(s) (“An affirmative vote by at least four of the seven Segments shall be necessary to amend these Bylaws.”).</w:t>
      </w:r>
      <w:r w:rsidR="000E556A">
        <w:rPr>
          <w:rStyle w:val="FootnoteReference"/>
        </w:rPr>
        <w:footnoteReference w:id="39"/>
      </w:r>
      <w:r w:rsidR="003B11F5">
        <w:t xml:space="preserve"> </w:t>
      </w:r>
    </w:p>
    <w:p w14:paraId="0DB4F131" w14:textId="3CFD10CF" w:rsidR="0042581D" w:rsidRDefault="004B7229" w:rsidP="009A021F">
      <w:pPr>
        <w:pStyle w:val="NormalArial"/>
        <w:spacing w:before="240"/>
        <w:jc w:val="both"/>
      </w:pPr>
      <w:r>
        <w:t xml:space="preserve">ERCOT Bylaws </w:t>
      </w:r>
      <w:r w:rsidR="00031C19">
        <w:rPr>
          <w:rFonts w:cs="Arial"/>
        </w:rPr>
        <w:t>§</w:t>
      </w:r>
      <w:r>
        <w:t xml:space="preserve"> 3.2, “Membership Types and Voting Rights,” describes the corporation’s membership types and “voting rights.” Specifically, Corporate Members “shall have the rights</w:t>
      </w:r>
      <w:r w:rsidR="009D6448">
        <w:t xml:space="preserve"> . . . </w:t>
      </w:r>
      <w:r>
        <w:t>described in the Bylaws including the right to vote on all matters submitted to the general membership</w:t>
      </w:r>
      <w:r w:rsidR="009D6448">
        <w:t xml:space="preserve"> . . . </w:t>
      </w:r>
      <w:r>
        <w:t>such as</w:t>
      </w:r>
      <w:r w:rsidR="009D6448">
        <w:t xml:space="preserve"> . . . </w:t>
      </w:r>
      <w:r>
        <w:t>amendments to the [ERCOT COF] and these Bylaws.”</w:t>
      </w:r>
      <w:r w:rsidR="009D6448">
        <w:rPr>
          <w:rStyle w:val="FootnoteReference"/>
        </w:rPr>
        <w:footnoteReference w:id="40"/>
      </w:r>
    </w:p>
    <w:p w14:paraId="23C6F51D" w14:textId="07715AD0" w:rsidR="000543E8" w:rsidRDefault="005C0646" w:rsidP="000543E8">
      <w:pPr>
        <w:pStyle w:val="NormalArial"/>
        <w:spacing w:before="240"/>
        <w:jc w:val="both"/>
      </w:pPr>
      <w:r>
        <w:t xml:space="preserve">The </w:t>
      </w:r>
      <w:bookmarkStart w:id="1" w:name="_Hlk115030036"/>
      <w:r w:rsidR="00ED3E74">
        <w:t>permissive character</w:t>
      </w:r>
      <w:r w:rsidR="003B11F5">
        <w:t xml:space="preserve"> of the language in </w:t>
      </w:r>
      <w:r w:rsidR="00ED3E74">
        <w:t xml:space="preserve">Article 9 of the ERCOT COF (“The Bylaws </w:t>
      </w:r>
      <w:r w:rsidR="00ED3E74" w:rsidRPr="004B7229">
        <w:rPr>
          <w:b/>
          <w:bCs/>
          <w:i/>
          <w:iCs/>
        </w:rPr>
        <w:t>may</w:t>
      </w:r>
      <w:r w:rsidR="00ED3E74">
        <w:t xml:space="preserve"> be altered, amended or repealed or new Bylaws adopted, by the Members, </w:t>
      </w:r>
      <w:r w:rsidR="00ED3E74" w:rsidRPr="004B7229">
        <w:rPr>
          <w:b/>
          <w:bCs/>
          <w:i/>
          <w:iCs/>
        </w:rPr>
        <w:t>if allowed</w:t>
      </w:r>
      <w:r w:rsidR="00ED3E74">
        <w:t>, through a procedure set forth in the Bylaws or any other manner set forth in the Bylaws</w:t>
      </w:r>
      <w:r w:rsidR="004B7229">
        <w:t>.</w:t>
      </w:r>
      <w:r w:rsidR="00ED3E74">
        <w:t>”)</w:t>
      </w:r>
      <w:r w:rsidR="00624C81">
        <w:t xml:space="preserve"> and </w:t>
      </w:r>
      <w:r w:rsidR="00031C19">
        <w:rPr>
          <w:rFonts w:cs="Arial"/>
        </w:rPr>
        <w:t>§</w:t>
      </w:r>
      <w:r w:rsidR="00624C81">
        <w:t xml:space="preserve"> 13.1 of the ERCOT Bylaws (“these Bylaws </w:t>
      </w:r>
      <w:r w:rsidR="00624C81">
        <w:rPr>
          <w:b/>
          <w:bCs/>
          <w:i/>
          <w:iCs/>
        </w:rPr>
        <w:t xml:space="preserve">may </w:t>
      </w:r>
      <w:r w:rsidR="00624C81">
        <w:t xml:space="preserve">be amended”) </w:t>
      </w:r>
      <w:r w:rsidR="001722E5">
        <w:t>warrants careful consideration</w:t>
      </w:r>
      <w:r w:rsidR="00ED3E74">
        <w:t xml:space="preserve">. </w:t>
      </w:r>
      <w:bookmarkEnd w:id="1"/>
      <w:r w:rsidR="00366B0C">
        <w:t xml:space="preserve"> According to</w:t>
      </w:r>
      <w:r w:rsidR="00366B0C" w:rsidRPr="00366B0C">
        <w:t xml:space="preserve"> </w:t>
      </w:r>
      <w:r w:rsidR="00366B0C">
        <w:t>case law</w:t>
      </w:r>
      <w:r w:rsidR="00366B0C" w:rsidRPr="00366B0C">
        <w:t xml:space="preserve">, </w:t>
      </w:r>
      <w:r w:rsidR="00366B0C">
        <w:t>t</w:t>
      </w:r>
      <w:r w:rsidR="001722E5">
        <w:t>he</w:t>
      </w:r>
      <w:r w:rsidR="00ED3E74">
        <w:t xml:space="preserve"> qualifying phrase, “if allowed,” must be limited to the words and phrases immediately preceding it</w:t>
      </w:r>
      <w:r w:rsidR="001722E5">
        <w:t>:</w:t>
      </w:r>
      <w:r w:rsidR="00ED3E74">
        <w:t xml:space="preserve"> “by the Members.”</w:t>
      </w:r>
      <w:r w:rsidR="00ED3E74">
        <w:rPr>
          <w:rStyle w:val="FootnoteReference"/>
        </w:rPr>
        <w:footnoteReference w:id="41"/>
      </w:r>
      <w:r w:rsidR="00354F91">
        <w:t xml:space="preserve"> </w:t>
      </w:r>
    </w:p>
    <w:p w14:paraId="1AD55DA8" w14:textId="0265D290" w:rsidR="000543E8" w:rsidRDefault="0042581D" w:rsidP="000543E8">
      <w:pPr>
        <w:pStyle w:val="NormalArial"/>
        <w:spacing w:before="240"/>
        <w:jc w:val="both"/>
      </w:pPr>
      <w:r>
        <w:t>Additionally, the word “may” “</w:t>
      </w:r>
      <w:r w:rsidRPr="0042581D">
        <w:t>creates discretionary authority or grants permission or a power.</w:t>
      </w:r>
      <w:r>
        <w:t>”</w:t>
      </w:r>
      <w:r>
        <w:rPr>
          <w:rStyle w:val="FootnoteReference"/>
        </w:rPr>
        <w:footnoteReference w:id="42"/>
      </w:r>
      <w:r>
        <w:t xml:space="preserve"> Thus, </w:t>
      </w:r>
      <w:r w:rsidR="001722E5">
        <w:t xml:space="preserve">the Board should consider whether </w:t>
      </w:r>
      <w:r>
        <w:t xml:space="preserve">Article 9 of the ERCOT COF and </w:t>
      </w:r>
      <w:r w:rsidR="00031C19">
        <w:rPr>
          <w:rFonts w:cs="Arial"/>
        </w:rPr>
        <w:t>§</w:t>
      </w:r>
      <w:r>
        <w:t xml:space="preserve"> </w:t>
      </w:r>
      <w:r>
        <w:lastRenderedPageBreak/>
        <w:t>13.1 of the ERCOT Bylaws create discretionary authority to amend the ERCOT Bylaws</w:t>
      </w:r>
      <w:r w:rsidR="001722E5">
        <w:t>, and if so, whether</w:t>
      </w:r>
      <w:r>
        <w:t xml:space="preserve"> that discretionary authority is vested in the Corporate Members.</w:t>
      </w:r>
      <w:r w:rsidR="005F0598">
        <w:t xml:space="preserve"> </w:t>
      </w:r>
    </w:p>
    <w:p w14:paraId="436A7453" w14:textId="16461D0E" w:rsidR="00327B5B" w:rsidRDefault="006111F7" w:rsidP="00327B5B">
      <w:pPr>
        <w:pStyle w:val="NormalArial"/>
        <w:numPr>
          <w:ilvl w:val="0"/>
          <w:numId w:val="4"/>
        </w:numPr>
        <w:spacing w:before="240"/>
        <w:jc w:val="both"/>
      </w:pPr>
      <w:r>
        <w:rPr>
          <w:b/>
          <w:bCs/>
        </w:rPr>
        <w:t xml:space="preserve">Does the </w:t>
      </w:r>
      <w:r w:rsidR="00356F8B">
        <w:rPr>
          <w:b/>
          <w:bCs/>
        </w:rPr>
        <w:t xml:space="preserve">amendment process in the </w:t>
      </w:r>
      <w:r w:rsidR="00327B5B">
        <w:rPr>
          <w:b/>
          <w:bCs/>
        </w:rPr>
        <w:t>ERCOT Bylaws (Article 13), allow the ERCOT Board to amend the Bylaws</w:t>
      </w:r>
      <w:r>
        <w:rPr>
          <w:b/>
          <w:bCs/>
        </w:rPr>
        <w:t xml:space="preserve"> without approval of the Corporate Members?</w:t>
      </w:r>
    </w:p>
    <w:p w14:paraId="65FD673F" w14:textId="4E5997D1" w:rsidR="00BC3F5F" w:rsidRDefault="00BC3F5F" w:rsidP="00327B5B">
      <w:pPr>
        <w:pStyle w:val="NormalArial"/>
        <w:spacing w:before="240"/>
        <w:jc w:val="both"/>
      </w:pPr>
      <w:r>
        <w:t>In adopting the ERCOT Bylaws, the Corporate Members adopted Article 13,</w:t>
      </w:r>
      <w:r w:rsidR="000543E8">
        <w:t xml:space="preserve"> “Amendments,”</w:t>
      </w:r>
      <w:r>
        <w:t xml:space="preserve"> which provides the procedure for amending the ERCOT Bylaws—i.e., any amendment to the ERCOT Bylaws must be approved by the ERCOT Board, and then approved by the Corporate Members. The ERCOT Bylaws were drafted and adopted to specifically reserve the power to amend the ERCOT Bylaws in the Corporate Members—i.e., “Corporate Members </w:t>
      </w:r>
      <w:r>
        <w:rPr>
          <w:b/>
          <w:bCs/>
          <w:i/>
          <w:iCs/>
        </w:rPr>
        <w:t xml:space="preserve">must </w:t>
      </w:r>
      <w:r w:rsidRPr="00151B47">
        <w:rPr>
          <w:b/>
          <w:bCs/>
          <w:i/>
          <w:iCs/>
        </w:rPr>
        <w:t>vote</w:t>
      </w:r>
      <w:r>
        <w:t xml:space="preserve"> </w:t>
      </w:r>
      <w:r w:rsidRPr="00151B47">
        <w:rPr>
          <w:b/>
          <w:bCs/>
          <w:i/>
          <w:iCs/>
        </w:rPr>
        <w:t>to enact</w:t>
      </w:r>
      <w:r>
        <w:t xml:space="preserve"> the Board-approved amendment</w:t>
      </w:r>
      <w:r w:rsidR="005F0598">
        <w:t xml:space="preserve"> . . . .</w:t>
      </w:r>
      <w:r>
        <w:t>”</w:t>
      </w:r>
      <w:r w:rsidR="005F0598">
        <w:rPr>
          <w:rStyle w:val="FootnoteReference"/>
        </w:rPr>
        <w:footnoteReference w:id="43"/>
      </w:r>
      <w:r>
        <w:t xml:space="preserve"> </w:t>
      </w:r>
      <w:r w:rsidR="00FA560A">
        <w:t xml:space="preserve">ERCOT Bylaws § 13.1(d) </w:t>
      </w:r>
      <w:r>
        <w:t>(emphasis added).</w:t>
      </w:r>
      <w:r w:rsidR="00041B46">
        <w:t xml:space="preserve"> </w:t>
      </w:r>
      <w:r w:rsidR="00624C81">
        <w:t xml:space="preserve">Voting on Board-approved amendments to the ERCOT Bylaws is a right vested with the Corporate </w:t>
      </w:r>
      <w:r w:rsidR="005F0598">
        <w:t>Members</w:t>
      </w:r>
      <w:r w:rsidR="00624C81">
        <w:t>; it is not discretionary</w:t>
      </w:r>
      <w:r w:rsidR="005F0598">
        <w:t xml:space="preserve"> for Corporate Members to approve amendments</w:t>
      </w:r>
      <w:r>
        <w:t>.</w:t>
      </w:r>
      <w:r w:rsidR="00624C81">
        <w:t xml:space="preserve"> Further, ERCOT Bylaws § 13.1(d)(4) requires </w:t>
      </w:r>
      <w:r w:rsidR="005F0598">
        <w:t xml:space="preserve">that </w:t>
      </w:r>
      <w:r w:rsidR="00624C81">
        <w:t xml:space="preserve">“[a]n affirmative </w:t>
      </w:r>
      <w:r w:rsidR="00624C81" w:rsidRPr="00624C81">
        <w:t xml:space="preserve">vote of at least four of the seven [Corporate Member] Segments </w:t>
      </w:r>
      <w:r w:rsidR="00624C81" w:rsidRPr="00624C81">
        <w:rPr>
          <w:b/>
          <w:bCs/>
          <w:i/>
          <w:iCs/>
        </w:rPr>
        <w:t>shall be necessary to amend</w:t>
      </w:r>
      <w:r w:rsidR="00624C81" w:rsidRPr="00624C81">
        <w:t xml:space="preserve"> these Bylaws</w:t>
      </w:r>
      <w:r w:rsidR="00624C81">
        <w:t xml:space="preserve">” (emphasis added). </w:t>
      </w:r>
    </w:p>
    <w:p w14:paraId="456EC696" w14:textId="0B1CE98C" w:rsidR="00BC3F5F" w:rsidRDefault="009D6448" w:rsidP="00327B5B">
      <w:pPr>
        <w:pStyle w:val="NormalArial"/>
        <w:spacing w:before="240"/>
        <w:jc w:val="both"/>
      </w:pPr>
      <w:r>
        <w:t xml:space="preserve">Before acting on the proposed </w:t>
      </w:r>
      <w:r w:rsidR="00DF133F">
        <w:t>amendments to the ERCOT Bylaws</w:t>
      </w:r>
      <w:r>
        <w:t xml:space="preserve">, the Board should consider whether the </w:t>
      </w:r>
      <w:r w:rsidR="00624C81" w:rsidRPr="00624C81">
        <w:t xml:space="preserve">permissive character of the language in Article 9 of the ERCOT COF </w:t>
      </w:r>
      <w:r w:rsidR="00E721F9">
        <w:t xml:space="preserve">and </w:t>
      </w:r>
      <w:r w:rsidR="00031C19">
        <w:rPr>
          <w:rFonts w:cs="Arial"/>
        </w:rPr>
        <w:t>§</w:t>
      </w:r>
      <w:r w:rsidR="00E721F9">
        <w:t xml:space="preserve"> 13.1 of the ERCOT Bylaws (as described above) </w:t>
      </w:r>
      <w:r>
        <w:t>authorizes</w:t>
      </w:r>
      <w:r w:rsidR="00E721F9">
        <w:t xml:space="preserve"> the ERCOT Board to amend the Bylaws without approval of the Corporate Members or otherwise deviate from the amendment process set forth in ERCOT Bylaws § 13.1.</w:t>
      </w:r>
      <w:r w:rsidR="00F47CE4">
        <w:t xml:space="preserve"> </w:t>
      </w:r>
      <w:r>
        <w:t xml:space="preserve">Relevant to this consideration may be that the </w:t>
      </w:r>
      <w:r w:rsidR="00E721F9" w:rsidRPr="00E721F9">
        <w:t xml:space="preserve">ERCOT Bylaws provide only one procedure to amend the </w:t>
      </w:r>
      <w:r w:rsidR="00E721F9">
        <w:t xml:space="preserve">ERCOT </w:t>
      </w:r>
      <w:r w:rsidR="00E721F9" w:rsidRPr="00E721F9">
        <w:t>Bylaws</w:t>
      </w:r>
      <w:r w:rsidR="00E721F9">
        <w:t xml:space="preserve">, and “Corporate Members </w:t>
      </w:r>
      <w:r w:rsidR="00E721F9">
        <w:rPr>
          <w:b/>
          <w:bCs/>
          <w:i/>
          <w:iCs/>
        </w:rPr>
        <w:t>must vote to enact</w:t>
      </w:r>
      <w:r w:rsidR="00E721F9">
        <w:t xml:space="preserve"> </w:t>
      </w:r>
      <w:r w:rsidR="005E0A02">
        <w:t>the Board-approved amendment</w:t>
      </w:r>
      <w:r w:rsidR="005F0598">
        <w:t xml:space="preserve"> . . . .”</w:t>
      </w:r>
      <w:r w:rsidR="005F0598">
        <w:rPr>
          <w:rStyle w:val="FootnoteReference"/>
        </w:rPr>
        <w:footnoteReference w:id="44"/>
      </w:r>
      <w:r w:rsidR="005F0598">
        <w:t xml:space="preserve"> </w:t>
      </w:r>
      <w:r w:rsidR="00FA560A">
        <w:t xml:space="preserve">ERCOT Bylaws § 13.1(d) </w:t>
      </w:r>
      <w:r w:rsidR="005E0A02">
        <w:t xml:space="preserve">(emphasis added). </w:t>
      </w:r>
    </w:p>
    <w:p w14:paraId="45C53525" w14:textId="2AE8DA0A" w:rsidR="00BF6E65" w:rsidRDefault="005E0A02" w:rsidP="00327B5B">
      <w:pPr>
        <w:pStyle w:val="NormalArial"/>
        <w:spacing w:before="240"/>
        <w:jc w:val="both"/>
      </w:pPr>
      <w:r>
        <w:t xml:space="preserve">The ERCOT Bylaws have been amended </w:t>
      </w:r>
      <w:r w:rsidR="000543E8">
        <w:t xml:space="preserve">13 </w:t>
      </w:r>
      <w:r>
        <w:t>times since the original ERCOT Bylaws were adopted</w:t>
      </w:r>
      <w:r w:rsidR="00FA560A">
        <w:t xml:space="preserve"> in 2001</w:t>
      </w:r>
      <w:r>
        <w:t>.</w:t>
      </w:r>
      <w:r>
        <w:rPr>
          <w:rStyle w:val="FootnoteReference"/>
        </w:rPr>
        <w:footnoteReference w:id="45"/>
      </w:r>
      <w:r>
        <w:t xml:space="preserve"> </w:t>
      </w:r>
      <w:r w:rsidR="00E70AA9">
        <w:t xml:space="preserve">The ERCOT Board has sought Corporate Member approval of every </w:t>
      </w:r>
      <w:r w:rsidR="00E70AA9">
        <w:lastRenderedPageBreak/>
        <w:t xml:space="preserve">amendment to the ERCOT Bylaws, with the exception of the 2021 amendments, which </w:t>
      </w:r>
      <w:r w:rsidR="009C6968">
        <w:t>were made to conform with requirements</w:t>
      </w:r>
      <w:r w:rsidR="00E70AA9">
        <w:t xml:space="preserve"> of </w:t>
      </w:r>
      <w:hyperlink r:id="rId14" w:anchor="navpanes=0" w:history="1">
        <w:r w:rsidR="00E70AA9">
          <w:rPr>
            <w:rStyle w:val="Hyperlink"/>
          </w:rPr>
          <w:t>SB 2</w:t>
        </w:r>
      </w:hyperlink>
      <w:r w:rsidR="00E70AA9">
        <w:t xml:space="preserve">. </w:t>
      </w:r>
      <w:r w:rsidR="00BF6E65">
        <w:t>On numerous occasions, ERCOT has confirmed the process set forth in ERCOT Bylaws § 13.1(d) to be the process required for amending the ERCOT Bylaws.</w:t>
      </w:r>
    </w:p>
    <w:p w14:paraId="39949F50" w14:textId="7EF8FEAF" w:rsidR="00CC60D0" w:rsidRDefault="00E70AA9" w:rsidP="00327B5B">
      <w:pPr>
        <w:pStyle w:val="NormalArial"/>
        <w:spacing w:before="240"/>
        <w:jc w:val="both"/>
      </w:pPr>
      <w:r>
        <w:t>In 2005, the ERCOT Board proposed amendments to the ERCOT Bylaws</w:t>
      </w:r>
      <w:r w:rsidR="00710B5A">
        <w:t xml:space="preserve"> in response to statutory changes to PURA that addressed the Commission’s oversight of ERCOT and ERCOT’s governing body. However, the ERCOT Board-approved amendments did</w:t>
      </w:r>
      <w:r>
        <w:t xml:space="preserve"> not receive a sufficient number </w:t>
      </w:r>
      <w:r w:rsidR="00CE4426">
        <w:t xml:space="preserve">of </w:t>
      </w:r>
      <w:r>
        <w:t>Corporate Member votes to pass</w:t>
      </w:r>
      <w:r w:rsidR="00CC60D0">
        <w:t>.</w:t>
      </w:r>
      <w:r w:rsidR="00CC60D0">
        <w:rPr>
          <w:rStyle w:val="FootnoteReference"/>
        </w:rPr>
        <w:footnoteReference w:id="46"/>
      </w:r>
      <w:r w:rsidR="00CC60D0">
        <w:t xml:space="preserve"> The</w:t>
      </w:r>
      <w:r w:rsidR="00CC60D0" w:rsidRPr="00CC60D0">
        <w:t xml:space="preserve"> ERCOT Board revised the proposed amendments, resubmitted the changes to the Corporate Members, and</w:t>
      </w:r>
      <w:r w:rsidR="00CC60D0">
        <w:t xml:space="preserve"> eventually</w:t>
      </w:r>
      <w:r w:rsidR="00CC60D0" w:rsidRPr="00CC60D0">
        <w:t xml:space="preserve"> received approval </w:t>
      </w:r>
      <w:r w:rsidR="00CC60D0">
        <w:t>of the Corporate Members.</w:t>
      </w:r>
      <w:r w:rsidR="00710B5A">
        <w:t xml:space="preserve"> </w:t>
      </w:r>
      <w:r w:rsidR="00BF6E65">
        <w:t>Notably however, i</w:t>
      </w:r>
      <w:r w:rsidR="00710B5A">
        <w:t xml:space="preserve">n response to comments filed in the docket regarding </w:t>
      </w:r>
      <w:r w:rsidR="00BF6E65">
        <w:t>the procedural requirements for amending the ERCOT Bylaws, ERCOT stated, “First, the [ERCOT] Board approves the amendments; then, the Corporate Members vote on the amendments.”</w:t>
      </w:r>
      <w:r w:rsidR="00BF6E65">
        <w:rPr>
          <w:rStyle w:val="FootnoteReference"/>
        </w:rPr>
        <w:footnoteReference w:id="47"/>
      </w:r>
    </w:p>
    <w:p w14:paraId="15B095DC" w14:textId="77777777" w:rsidR="00BF6E65" w:rsidRDefault="00BF6E65" w:rsidP="00327B5B">
      <w:pPr>
        <w:pStyle w:val="NormalArial"/>
        <w:spacing w:before="240"/>
        <w:jc w:val="both"/>
      </w:pPr>
      <w:r w:rsidRPr="00BF6E65">
        <w:t xml:space="preserve">In 2013, ERCOT summarized the amendment process as including requirements that “[a]ny Corporate Member must submit a proposal of its proposed amendment with supporting documentation to the ERCOT </w:t>
      </w:r>
      <w:r w:rsidR="0013300D">
        <w:t>[CEO]</w:t>
      </w:r>
      <w:r w:rsidRPr="00BF6E65">
        <w:t>” and “Corporate Members must vote using the procedure more particularly described in Section 13.1(d) of the Bylaws. At least four of the seven Market Segments must affirmatively vote to amend the Bylaws.”</w:t>
      </w:r>
      <w:r w:rsidR="000B7DB0">
        <w:rPr>
          <w:rStyle w:val="FootnoteReference"/>
        </w:rPr>
        <w:footnoteReference w:id="48"/>
      </w:r>
      <w:r w:rsidRPr="00BF6E65">
        <w:t xml:space="preserve">  </w:t>
      </w:r>
    </w:p>
    <w:p w14:paraId="3271CB93" w14:textId="77777777" w:rsidR="00BF6E65" w:rsidRDefault="005A67CC" w:rsidP="005A67CC">
      <w:pPr>
        <w:pStyle w:val="NormalArial"/>
        <w:spacing w:before="240"/>
        <w:jc w:val="both"/>
      </w:pPr>
      <w:r>
        <w:t xml:space="preserve">ERCOT’s only </w:t>
      </w:r>
      <w:r w:rsidRPr="005A67CC">
        <w:t>depart</w:t>
      </w:r>
      <w:r>
        <w:t>ure</w:t>
      </w:r>
      <w:r w:rsidRPr="005A67CC">
        <w:t xml:space="preserve"> from the amendment procedures in ERCOT Bylaws § 13.1</w:t>
      </w:r>
      <w:r>
        <w:t xml:space="preserve"> was in 2021 to </w:t>
      </w:r>
      <w:r w:rsidRPr="005A67CC">
        <w:t>“[t]o conform to the legal requirements imposed by [SB</w:t>
      </w:r>
      <w:r>
        <w:t xml:space="preserve"> </w:t>
      </w:r>
      <w:r w:rsidRPr="005A67CC">
        <w:t>2].”</w:t>
      </w:r>
      <w:r>
        <w:t xml:space="preserve"> </w:t>
      </w:r>
      <w:r w:rsidRPr="005A67CC">
        <w:t>Accordingly, “[n]o changes beyond those required to conform with [SB</w:t>
      </w:r>
      <w:r>
        <w:t xml:space="preserve"> </w:t>
      </w:r>
      <w:r w:rsidRPr="005A67CC">
        <w:t>2] [were] included in the proposed amendment.” ERCOT also noted “the differences between the instant case in which the Bylaws conflict with existing law and recent past Bylaws amendments, which were not proposed to conform with existing law and followed the typical process set forth in Bylaws Section 13.1.”</w:t>
      </w:r>
      <w:r w:rsidRPr="005A67CC">
        <w:rPr>
          <w:vertAlign w:val="superscript"/>
        </w:rPr>
        <w:footnoteReference w:id="49"/>
      </w:r>
    </w:p>
    <w:p w14:paraId="529B9826" w14:textId="77777777" w:rsidR="00231F8E" w:rsidRPr="00231F8E" w:rsidRDefault="006111F7" w:rsidP="00231F8E">
      <w:pPr>
        <w:pStyle w:val="NormalArial"/>
        <w:numPr>
          <w:ilvl w:val="0"/>
          <w:numId w:val="3"/>
        </w:numPr>
        <w:spacing w:before="240"/>
        <w:ind w:hanging="720"/>
        <w:jc w:val="both"/>
        <w:rPr>
          <w:b/>
          <w:bCs/>
        </w:rPr>
      </w:pPr>
      <w:r>
        <w:rPr>
          <w:b/>
          <w:bCs/>
        </w:rPr>
        <w:t xml:space="preserve">If the </w:t>
      </w:r>
      <w:r w:rsidR="00231F8E">
        <w:rPr>
          <w:b/>
          <w:bCs/>
        </w:rPr>
        <w:t>proposed amendments to the ERCOT Bylaws</w:t>
      </w:r>
      <w:r>
        <w:rPr>
          <w:b/>
          <w:bCs/>
        </w:rPr>
        <w:t xml:space="preserve"> are </w:t>
      </w:r>
      <w:r w:rsidR="00231F8E">
        <w:rPr>
          <w:b/>
          <w:bCs/>
        </w:rPr>
        <w:t xml:space="preserve">adopted, will </w:t>
      </w:r>
      <w:r>
        <w:rPr>
          <w:b/>
          <w:bCs/>
        </w:rPr>
        <w:t xml:space="preserve">they </w:t>
      </w:r>
      <w:r w:rsidR="00231F8E">
        <w:rPr>
          <w:b/>
          <w:bCs/>
        </w:rPr>
        <w:t>conflict with Texas law</w:t>
      </w:r>
      <w:r w:rsidR="00A54D0C">
        <w:rPr>
          <w:b/>
          <w:bCs/>
        </w:rPr>
        <w:t xml:space="preserve"> </w:t>
      </w:r>
      <w:r>
        <w:rPr>
          <w:b/>
          <w:bCs/>
        </w:rPr>
        <w:t xml:space="preserve">or </w:t>
      </w:r>
      <w:r w:rsidR="00231F8E">
        <w:rPr>
          <w:b/>
          <w:bCs/>
        </w:rPr>
        <w:t xml:space="preserve">the ERCOT </w:t>
      </w:r>
      <w:r>
        <w:rPr>
          <w:b/>
          <w:bCs/>
        </w:rPr>
        <w:t>governing documents?</w:t>
      </w:r>
    </w:p>
    <w:p w14:paraId="3628CA2A" w14:textId="2CF3DAE2" w:rsidR="00A54D0C" w:rsidRPr="00A54D0C" w:rsidRDefault="00331517" w:rsidP="00A54D0C">
      <w:pPr>
        <w:pStyle w:val="NormalArial"/>
        <w:numPr>
          <w:ilvl w:val="0"/>
          <w:numId w:val="5"/>
        </w:numPr>
        <w:spacing w:before="240"/>
        <w:ind w:hanging="720"/>
        <w:jc w:val="both"/>
        <w:rPr>
          <w:b/>
          <w:bCs/>
        </w:rPr>
      </w:pPr>
      <w:r>
        <w:rPr>
          <w:b/>
          <w:bCs/>
        </w:rPr>
        <w:t xml:space="preserve">Questions </w:t>
      </w:r>
      <w:r w:rsidR="006F00C3">
        <w:rPr>
          <w:b/>
          <w:bCs/>
        </w:rPr>
        <w:t>regarding</w:t>
      </w:r>
      <w:r>
        <w:rPr>
          <w:b/>
          <w:bCs/>
        </w:rPr>
        <w:t xml:space="preserve"> </w:t>
      </w:r>
      <w:r w:rsidR="006111F7">
        <w:rPr>
          <w:b/>
          <w:bCs/>
        </w:rPr>
        <w:t xml:space="preserve">TBOC </w:t>
      </w:r>
      <w:r w:rsidR="000E556A">
        <w:rPr>
          <w:b/>
          <w:bCs/>
        </w:rPr>
        <w:t xml:space="preserve">and </w:t>
      </w:r>
      <w:r w:rsidR="006111F7">
        <w:rPr>
          <w:b/>
          <w:bCs/>
        </w:rPr>
        <w:t xml:space="preserve">Texas </w:t>
      </w:r>
      <w:r w:rsidR="000E556A">
        <w:rPr>
          <w:b/>
          <w:bCs/>
        </w:rPr>
        <w:t>c</w:t>
      </w:r>
      <w:r w:rsidR="006111F7">
        <w:rPr>
          <w:b/>
          <w:bCs/>
        </w:rPr>
        <w:t xml:space="preserve">ase </w:t>
      </w:r>
      <w:r w:rsidR="000E556A">
        <w:rPr>
          <w:b/>
          <w:bCs/>
        </w:rPr>
        <w:t>l</w:t>
      </w:r>
      <w:r w:rsidR="006111F7">
        <w:rPr>
          <w:b/>
          <w:bCs/>
        </w:rPr>
        <w:t>aw.</w:t>
      </w:r>
    </w:p>
    <w:p w14:paraId="55E0775C" w14:textId="02D94F45" w:rsidR="007B032C" w:rsidRDefault="009C3D84" w:rsidP="00AD74C8">
      <w:pPr>
        <w:pStyle w:val="NormalArial"/>
        <w:spacing w:before="240"/>
        <w:jc w:val="both"/>
      </w:pPr>
      <w:r w:rsidRPr="009C3D84">
        <w:t xml:space="preserve">The proposed </w:t>
      </w:r>
      <w:r>
        <w:t xml:space="preserve">amendments to the ERCOT Bylaws, if passed, will </w:t>
      </w:r>
      <w:r w:rsidRPr="009C3D84">
        <w:t xml:space="preserve">limit Corporate Member voting rights to the election of </w:t>
      </w:r>
      <w:r w:rsidR="001F2834">
        <w:t xml:space="preserve">ERCOT </w:t>
      </w:r>
      <w:r w:rsidR="00CE4426">
        <w:t xml:space="preserve">TAC </w:t>
      </w:r>
      <w:r w:rsidRPr="009C3D84">
        <w:t xml:space="preserve">Segment Representatives and eliminate the right of Corporate Members to vote on any proposed changes to ERCOT’s governing documents. </w:t>
      </w:r>
      <w:r w:rsidR="007B032C">
        <w:t xml:space="preserve">TBOC </w:t>
      </w:r>
      <w:r w:rsidR="007B032C" w:rsidRPr="00A07AD3">
        <w:t>§ 22.102(</w:t>
      </w:r>
      <w:r w:rsidR="007B032C">
        <w:t>b</w:t>
      </w:r>
      <w:r w:rsidR="007B032C" w:rsidRPr="00A07AD3">
        <w:t>)</w:t>
      </w:r>
      <w:r w:rsidR="007B032C">
        <w:t xml:space="preserve"> provides that a nonprofit corporation’s bylaws can provide </w:t>
      </w:r>
      <w:r w:rsidR="007B032C">
        <w:lastRenderedPageBreak/>
        <w:t>for the “regulation and management of the affairs of the corporation that are consistent with law and the [COF].”</w:t>
      </w:r>
    </w:p>
    <w:p w14:paraId="1F4FF6EA" w14:textId="14BB77CD" w:rsidR="009C3D84" w:rsidRDefault="009C3D84" w:rsidP="00AD74C8">
      <w:pPr>
        <w:pStyle w:val="NormalArial"/>
        <w:spacing w:before="240"/>
        <w:jc w:val="both"/>
      </w:pPr>
      <w:r w:rsidRPr="009C3D84">
        <w:t>Under TBOC §</w:t>
      </w:r>
      <w:r>
        <w:t xml:space="preserve"> </w:t>
      </w:r>
      <w:r w:rsidRPr="009C3D84">
        <w:t>22.164</w:t>
      </w:r>
      <w:r>
        <w:t>(b)(1)</w:t>
      </w:r>
      <w:r w:rsidRPr="009C3D84">
        <w:t xml:space="preserve">, a nonprofit corporation may only approve a fundamental action, including an action to amend its COF, if “at least [2/3] of the votes that members present in person or by proxy are entitled to cast at the meeting at which the action is submitted for a vote, </w:t>
      </w:r>
      <w:r w:rsidRPr="009C3D84">
        <w:rPr>
          <w:i/>
          <w:iCs/>
        </w:rPr>
        <w:t>if the corporation has members with voting rights</w:t>
      </w:r>
      <w:r>
        <w:t>” (emphasis added).</w:t>
      </w:r>
      <w:r w:rsidRPr="009C3D84">
        <w:t xml:space="preserve"> TBOC §</w:t>
      </w:r>
      <w:r>
        <w:t xml:space="preserve"> </w:t>
      </w:r>
      <w:r w:rsidRPr="009C3D84">
        <w:t>22.105</w:t>
      </w:r>
      <w:r>
        <w:t>(a)</w:t>
      </w:r>
      <w:r w:rsidRPr="009C3D84">
        <w:t xml:space="preserve"> more specifically addresses the procedures to amend ERCOT’s COF—</w:t>
      </w:r>
      <w:r w:rsidR="007036B2">
        <w:t xml:space="preserve"> “</w:t>
      </w:r>
      <w:r w:rsidRPr="009C3D84">
        <w:t>to amend the [COF] of a corporation with members having voting rights, the [Board] of the corporation must adopt a resolution specifying the proposed amendment and directing that amendment to be submitted to a vote at an annual or special meeting of the members having voting rights.”</w:t>
      </w:r>
    </w:p>
    <w:p w14:paraId="730E0031" w14:textId="344AB41B" w:rsidR="00141B19" w:rsidRDefault="009C3D84" w:rsidP="00AD74C8">
      <w:pPr>
        <w:pStyle w:val="NormalArial"/>
        <w:spacing w:before="240"/>
        <w:jc w:val="both"/>
      </w:pPr>
      <w:r w:rsidRPr="009C3D84">
        <w:t>TBOC §</w:t>
      </w:r>
      <w:r>
        <w:t xml:space="preserve"> </w:t>
      </w:r>
      <w:r w:rsidRPr="009C3D84">
        <w:t xml:space="preserve">22.107(b) </w:t>
      </w:r>
      <w:r w:rsidR="00331517">
        <w:t xml:space="preserve">also provides </w:t>
      </w:r>
      <w:r w:rsidRPr="009C3D84">
        <w:t xml:space="preserve">exceptions that a board </w:t>
      </w:r>
      <w:r>
        <w:t>of directors may</w:t>
      </w:r>
      <w:r w:rsidRPr="009C3D84">
        <w:t xml:space="preserve"> take without seeking member approval</w:t>
      </w:r>
      <w:r w:rsidR="00331517">
        <w:t>, which may also be relevant to the Board’s consideration of the proposed amendments</w:t>
      </w:r>
      <w:r w:rsidRPr="009C3D84">
        <w:t xml:space="preserve">. “Except as otherwise provided by the [COF], the [Board] of a corporation with members having voting rights may, without member approval, adopt amendments to the COF to” adopt administrative changes such as extending the duration of the corporation, deleting the names and addresses of directors, or changing the corporate name. </w:t>
      </w:r>
      <w:r w:rsidR="00331517">
        <w:t>The Board should consider these provisions both</w:t>
      </w:r>
      <w:r w:rsidR="00331517" w:rsidRPr="009C3D84">
        <w:t xml:space="preserve"> </w:t>
      </w:r>
      <w:r w:rsidRPr="009C3D84">
        <w:t>separately and together</w:t>
      </w:r>
      <w:r w:rsidR="00331517">
        <w:t xml:space="preserve"> for their implications on</w:t>
      </w:r>
      <w:r w:rsidRPr="009C3D84">
        <w:t xml:space="preserve"> members</w:t>
      </w:r>
      <w:r w:rsidR="009D6E5E">
        <w:t>’</w:t>
      </w:r>
      <w:r w:rsidRPr="009C3D84">
        <w:t xml:space="preserve"> voting rights </w:t>
      </w:r>
      <w:r w:rsidR="00331517">
        <w:t xml:space="preserve">with regard to </w:t>
      </w:r>
      <w:r w:rsidRPr="009C3D84">
        <w:t xml:space="preserve">the ability to vote on any proposed amendment to the COF. </w:t>
      </w:r>
    </w:p>
    <w:p w14:paraId="59C03776" w14:textId="400B7FA9" w:rsidR="009C3D84" w:rsidRDefault="00141B19" w:rsidP="00AD74C8">
      <w:pPr>
        <w:pStyle w:val="NormalArial"/>
        <w:spacing w:before="240"/>
        <w:jc w:val="both"/>
      </w:pPr>
      <w:r>
        <w:t xml:space="preserve">Texas </w:t>
      </w:r>
      <w:r w:rsidR="00AC4D40">
        <w:t>c</w:t>
      </w:r>
      <w:r>
        <w:t>ase law provides several important precedents that</w:t>
      </w:r>
      <w:r w:rsidR="00AC4D40">
        <w:t xml:space="preserve"> the</w:t>
      </w:r>
      <w:r>
        <w:t xml:space="preserve"> </w:t>
      </w:r>
      <w:r w:rsidR="00AC4D40">
        <w:t>ERCOT</w:t>
      </w:r>
      <w:r>
        <w:t xml:space="preserve"> </w:t>
      </w:r>
      <w:r w:rsidR="00AC4D40">
        <w:t xml:space="preserve">Board </w:t>
      </w:r>
      <w:r>
        <w:t>should conside</w:t>
      </w:r>
      <w:r w:rsidR="00AC4D40">
        <w:t>r</w:t>
      </w:r>
      <w:r>
        <w:t>. For instance</w:t>
      </w:r>
      <w:r w:rsidR="009C3D84" w:rsidRPr="009C3D84">
        <w:t>, Texas courts have looked to the plain meaning of “non-voting” in finding that stockholders with limited voting rights did not violate a corporation’s prohibition on issuing non-voting stock.</w:t>
      </w:r>
      <w:r w:rsidR="00A54D0C">
        <w:rPr>
          <w:rStyle w:val="FootnoteReference"/>
        </w:rPr>
        <w:footnoteReference w:id="50"/>
      </w:r>
    </w:p>
    <w:p w14:paraId="3E1C9C82" w14:textId="46FBD6AB" w:rsidR="00A54D0C" w:rsidRDefault="00A54D0C" w:rsidP="00A54D0C">
      <w:pPr>
        <w:pStyle w:val="NormalArial"/>
        <w:spacing w:before="240"/>
        <w:jc w:val="both"/>
      </w:pPr>
      <w:r>
        <w:t>Further, Texas courts have held that the relationship between certain entities and their members are contractual relationships.</w:t>
      </w:r>
      <w:r>
        <w:rPr>
          <w:rStyle w:val="FootnoteReference"/>
        </w:rPr>
        <w:footnoteReference w:id="51"/>
      </w:r>
      <w:r>
        <w:t xml:space="preserve"> As such, courts interpret an organization's governing documents using ordinary principles of contract construction. Therefore, an entity’s governing documents, including its bylaws and COF, must comport to and comply with the law.</w:t>
      </w:r>
      <w:r>
        <w:rPr>
          <w:rStyle w:val="FootnoteReference"/>
        </w:rPr>
        <w:footnoteReference w:id="52"/>
      </w:r>
      <w:r>
        <w:t xml:space="preserve">  In Texas, parties cannot contract around a statutory requirement.</w:t>
      </w:r>
      <w:r w:rsidR="007036B2">
        <w:t xml:space="preserve"> </w:t>
      </w:r>
      <w:r>
        <w:t xml:space="preserve">A contract is illegal if it seeks to undertake an act that is prohibited in the place where the </w:t>
      </w:r>
      <w:r>
        <w:lastRenderedPageBreak/>
        <w:t>act will occur.</w:t>
      </w:r>
      <w:r>
        <w:rPr>
          <w:rStyle w:val="FootnoteReference"/>
        </w:rPr>
        <w:footnoteReference w:id="53"/>
      </w:r>
      <w:r>
        <w:t xml:space="preserve"> An illegal contract is void and not enforceable.</w:t>
      </w:r>
      <w:r>
        <w:rPr>
          <w:rStyle w:val="FootnoteReference"/>
        </w:rPr>
        <w:footnoteReference w:id="54"/>
      </w:r>
      <w:r>
        <w:t xml:space="preserve"> In addition, any attempts to contract around a statutory requirement will likely be deemed as against public policy.</w:t>
      </w:r>
      <w:r>
        <w:rPr>
          <w:rStyle w:val="FootnoteReference"/>
        </w:rPr>
        <w:footnoteReference w:id="55"/>
      </w:r>
      <w:r>
        <w:t xml:space="preserve"> Contracts with provisions that are against public policy cannot be enforced.</w:t>
      </w:r>
      <w:r>
        <w:rPr>
          <w:rStyle w:val="FootnoteReference"/>
        </w:rPr>
        <w:footnoteReference w:id="56"/>
      </w:r>
      <w:r>
        <w:t xml:space="preserve"> </w:t>
      </w:r>
    </w:p>
    <w:p w14:paraId="6AACFD9E" w14:textId="58EF2492" w:rsidR="00A54D0C" w:rsidRDefault="00141B19" w:rsidP="00A54D0C">
      <w:pPr>
        <w:pStyle w:val="NormalArial"/>
        <w:spacing w:before="240"/>
        <w:jc w:val="both"/>
      </w:pPr>
      <w:r>
        <w:t>The</w:t>
      </w:r>
      <w:r w:rsidR="00A54D0C">
        <w:t xml:space="preserve"> </w:t>
      </w:r>
      <w:r w:rsidR="00D06137">
        <w:t xml:space="preserve">ERCOT </w:t>
      </w:r>
      <w:r w:rsidR="00A54D0C">
        <w:t xml:space="preserve">Board </w:t>
      </w:r>
      <w:r>
        <w:t>should ensure that consideration of</w:t>
      </w:r>
      <w:r w:rsidR="00A54D0C">
        <w:t xml:space="preserve"> the proposed amendment</w:t>
      </w:r>
      <w:r w:rsidR="000543E8">
        <w:t>s</w:t>
      </w:r>
      <w:r w:rsidR="00A54D0C">
        <w:t xml:space="preserve"> will </w:t>
      </w:r>
      <w:r>
        <w:t xml:space="preserve">not </w:t>
      </w:r>
      <w:r w:rsidR="000E70BC">
        <w:t xml:space="preserve">deny </w:t>
      </w:r>
      <w:r w:rsidR="00A54D0C">
        <w:t>Corporate Members</w:t>
      </w:r>
      <w:r w:rsidR="00895998">
        <w:t xml:space="preserve">’ </w:t>
      </w:r>
      <w:r w:rsidR="00A54D0C">
        <w:t>right to vote on fundamental actions, including the right to vote on amendments to the COF.</w:t>
      </w:r>
    </w:p>
    <w:p w14:paraId="29B01F9B" w14:textId="77777777" w:rsidR="00231F8E" w:rsidRPr="00231F8E" w:rsidRDefault="00151B47" w:rsidP="00231F8E">
      <w:pPr>
        <w:pStyle w:val="NormalArial"/>
        <w:numPr>
          <w:ilvl w:val="0"/>
          <w:numId w:val="3"/>
        </w:numPr>
        <w:spacing w:before="240"/>
        <w:ind w:hanging="720"/>
        <w:jc w:val="both"/>
        <w:rPr>
          <w:b/>
          <w:bCs/>
        </w:rPr>
      </w:pPr>
      <w:r>
        <w:rPr>
          <w:b/>
          <w:bCs/>
        </w:rPr>
        <w:t>Do the proposed amendments to the ERCOT Bylaws conform with SB</w:t>
      </w:r>
      <w:r w:rsidR="00B4003A">
        <w:rPr>
          <w:b/>
          <w:bCs/>
        </w:rPr>
        <w:t xml:space="preserve"> </w:t>
      </w:r>
      <w:r>
        <w:rPr>
          <w:b/>
          <w:bCs/>
        </w:rPr>
        <w:t>2</w:t>
      </w:r>
      <w:r w:rsidR="00467877">
        <w:rPr>
          <w:b/>
          <w:bCs/>
        </w:rPr>
        <w:t>?</w:t>
      </w:r>
    </w:p>
    <w:p w14:paraId="64B9519A" w14:textId="659DC72A" w:rsidR="006F2174" w:rsidRDefault="007818FB" w:rsidP="007818FB">
      <w:pPr>
        <w:spacing w:before="240"/>
        <w:jc w:val="both"/>
        <w:rPr>
          <w:rFonts w:ascii="Arial" w:eastAsia="Calibri" w:hAnsi="Arial" w:cs="Arial"/>
        </w:rPr>
      </w:pPr>
      <w:r>
        <w:rPr>
          <w:rFonts w:ascii="Arial" w:hAnsi="Arial" w:cs="Arial"/>
        </w:rPr>
        <w:t>T</w:t>
      </w:r>
      <w:r w:rsidR="000E1EF6" w:rsidRPr="00074422">
        <w:rPr>
          <w:rFonts w:ascii="Arial" w:hAnsi="Arial" w:cs="Arial"/>
        </w:rPr>
        <w:t>he</w:t>
      </w:r>
      <w:r w:rsidR="008D44E1" w:rsidRPr="00074422">
        <w:rPr>
          <w:rFonts w:ascii="Arial" w:hAnsi="Arial" w:cs="Arial"/>
        </w:rPr>
        <w:t xml:space="preserve"> </w:t>
      </w:r>
      <w:r w:rsidR="00ED61D7">
        <w:rPr>
          <w:rFonts w:ascii="Arial" w:hAnsi="Arial" w:cs="Arial"/>
        </w:rPr>
        <w:t xml:space="preserve">ERCOT </w:t>
      </w:r>
      <w:r w:rsidR="009C6968">
        <w:rPr>
          <w:rFonts w:ascii="Arial" w:hAnsi="Arial" w:cs="Arial"/>
        </w:rPr>
        <w:t xml:space="preserve">Board should discuss and determine whether </w:t>
      </w:r>
      <w:r w:rsidR="008D44E1" w:rsidRPr="00074422">
        <w:rPr>
          <w:rFonts w:ascii="Arial" w:hAnsi="Arial" w:cs="Arial"/>
        </w:rPr>
        <w:t xml:space="preserve">statutory changes to PURA </w:t>
      </w:r>
      <w:r w:rsidR="005A67CC">
        <w:rPr>
          <w:rFonts w:ascii="Arial" w:hAnsi="Arial" w:cs="Arial"/>
        </w:rPr>
        <w:t xml:space="preserve">in </w:t>
      </w:r>
      <w:r w:rsidR="008D44E1" w:rsidRPr="00074422">
        <w:rPr>
          <w:rFonts w:ascii="Arial" w:hAnsi="Arial" w:cs="Arial"/>
        </w:rPr>
        <w:t>SB</w:t>
      </w:r>
      <w:r w:rsidR="00B4003A">
        <w:rPr>
          <w:rFonts w:ascii="Arial" w:hAnsi="Arial" w:cs="Arial"/>
        </w:rPr>
        <w:t xml:space="preserve"> </w:t>
      </w:r>
      <w:r w:rsidR="008D44E1" w:rsidRPr="00074422">
        <w:rPr>
          <w:rFonts w:ascii="Arial" w:hAnsi="Arial" w:cs="Arial"/>
        </w:rPr>
        <w:t xml:space="preserve">2 </w:t>
      </w:r>
      <w:r w:rsidR="000E1EF6" w:rsidRPr="00074422">
        <w:rPr>
          <w:rFonts w:ascii="Arial" w:hAnsi="Arial" w:cs="Arial"/>
        </w:rPr>
        <w:t>provide</w:t>
      </w:r>
      <w:r w:rsidR="008D44E1" w:rsidRPr="00074422">
        <w:rPr>
          <w:rFonts w:ascii="Arial" w:hAnsi="Arial" w:cs="Arial"/>
        </w:rPr>
        <w:t xml:space="preserve"> for amendments to the ERCOT Bylaws</w:t>
      </w:r>
      <w:r w:rsidR="009C6968">
        <w:rPr>
          <w:rFonts w:ascii="Arial" w:hAnsi="Arial" w:cs="Arial"/>
        </w:rPr>
        <w:t xml:space="preserve">, </w:t>
      </w:r>
      <w:r w:rsidR="00DF133F">
        <w:rPr>
          <w:rFonts w:ascii="Arial" w:hAnsi="Arial" w:cs="Arial"/>
        </w:rPr>
        <w:t>and</w:t>
      </w:r>
      <w:r w:rsidR="009C6968">
        <w:rPr>
          <w:rFonts w:ascii="Arial" w:hAnsi="Arial" w:cs="Arial"/>
        </w:rPr>
        <w:t xml:space="preserve"> whether SB 2 </w:t>
      </w:r>
      <w:r w:rsidR="00DF133F">
        <w:rPr>
          <w:rFonts w:ascii="Arial" w:hAnsi="Arial" w:cs="Arial"/>
        </w:rPr>
        <w:t>provides</w:t>
      </w:r>
      <w:r w:rsidR="009C6968">
        <w:rPr>
          <w:rFonts w:ascii="Arial" w:hAnsi="Arial" w:cs="Arial"/>
        </w:rPr>
        <w:t xml:space="preserve"> that any such changes be implemented</w:t>
      </w:r>
      <w:r w:rsidR="008D44E1" w:rsidRPr="00074422">
        <w:rPr>
          <w:rFonts w:ascii="Arial" w:hAnsi="Arial" w:cs="Arial"/>
        </w:rPr>
        <w:t xml:space="preserve"> without “an affirmative vote by at least four of the seven [Corporate Member] Segments” </w:t>
      </w:r>
      <w:r w:rsidR="00074422" w:rsidRPr="00074422">
        <w:rPr>
          <w:rFonts w:ascii="Arial" w:hAnsi="Arial" w:cs="Arial"/>
        </w:rPr>
        <w:t xml:space="preserve">under </w:t>
      </w:r>
      <w:r w:rsidR="008D44E1" w:rsidRPr="00074422">
        <w:rPr>
          <w:rFonts w:ascii="Arial" w:hAnsi="Arial" w:cs="Arial"/>
        </w:rPr>
        <w:t xml:space="preserve">ERCOT Bylaws § 13.1(d). </w:t>
      </w:r>
      <w:r w:rsidR="00074422">
        <w:rPr>
          <w:rFonts w:ascii="Arial" w:eastAsia="Calibri" w:hAnsi="Arial" w:cs="Arial"/>
        </w:rPr>
        <w:t>While</w:t>
      </w:r>
      <w:r w:rsidR="00074422" w:rsidRPr="00074422">
        <w:rPr>
          <w:rFonts w:ascii="Arial" w:eastAsia="Calibri" w:hAnsi="Arial" w:cs="Arial"/>
        </w:rPr>
        <w:t xml:space="preserve"> the Legislature made detailed changes to the ERCOT Board selection and qualification process in SB</w:t>
      </w:r>
      <w:r w:rsidR="00B4003A">
        <w:rPr>
          <w:rFonts w:ascii="Arial" w:eastAsia="Calibri" w:hAnsi="Arial" w:cs="Arial"/>
        </w:rPr>
        <w:t xml:space="preserve"> </w:t>
      </w:r>
      <w:r w:rsidR="00074422" w:rsidRPr="00074422">
        <w:rPr>
          <w:rFonts w:ascii="Arial" w:eastAsia="Calibri" w:hAnsi="Arial" w:cs="Arial"/>
        </w:rPr>
        <w:t xml:space="preserve">2, the only </w:t>
      </w:r>
      <w:r w:rsidR="00074422">
        <w:rPr>
          <w:rFonts w:ascii="Arial" w:eastAsia="Calibri" w:hAnsi="Arial" w:cs="Arial"/>
        </w:rPr>
        <w:t xml:space="preserve">change to the ERCOT </w:t>
      </w:r>
      <w:r w:rsidR="00074422" w:rsidRPr="00074422">
        <w:rPr>
          <w:rFonts w:ascii="Arial" w:eastAsia="Calibri" w:hAnsi="Arial" w:cs="Arial"/>
        </w:rPr>
        <w:t>Bylaws that SB</w:t>
      </w:r>
      <w:r w:rsidR="00B4003A">
        <w:rPr>
          <w:rFonts w:ascii="Arial" w:eastAsia="Calibri" w:hAnsi="Arial" w:cs="Arial"/>
        </w:rPr>
        <w:t xml:space="preserve"> </w:t>
      </w:r>
      <w:r w:rsidR="00074422" w:rsidRPr="00074422">
        <w:rPr>
          <w:rFonts w:ascii="Arial" w:eastAsia="Calibri" w:hAnsi="Arial" w:cs="Arial"/>
        </w:rPr>
        <w:t xml:space="preserve">2 mandated is that the </w:t>
      </w:r>
      <w:r w:rsidR="00074422">
        <w:rPr>
          <w:rFonts w:ascii="Arial" w:eastAsia="Calibri" w:hAnsi="Arial" w:cs="Arial"/>
        </w:rPr>
        <w:t xml:space="preserve">ERCOT </w:t>
      </w:r>
      <w:r w:rsidR="00074422" w:rsidRPr="00074422">
        <w:rPr>
          <w:rFonts w:ascii="Arial" w:eastAsia="Calibri" w:hAnsi="Arial" w:cs="Arial"/>
        </w:rPr>
        <w:t>Bylaws “must require that every member of the governing body be a resident of this state and must prohibit a legislator from serving as a member.”</w:t>
      </w:r>
      <w:r w:rsidR="00074422" w:rsidRPr="00074422">
        <w:rPr>
          <w:rFonts w:ascii="Arial" w:eastAsia="Calibri" w:hAnsi="Arial" w:cs="Arial"/>
          <w:vertAlign w:val="superscript"/>
        </w:rPr>
        <w:footnoteReference w:id="57"/>
      </w:r>
      <w:r w:rsidR="00074422" w:rsidRPr="00074422">
        <w:rPr>
          <w:rFonts w:ascii="Arial" w:eastAsia="Calibri" w:hAnsi="Arial" w:cs="Arial"/>
        </w:rPr>
        <w:t xml:space="preserve"> </w:t>
      </w:r>
      <w:r w:rsidR="00141B19">
        <w:rPr>
          <w:rFonts w:ascii="Arial" w:eastAsia="Calibri" w:hAnsi="Arial" w:cs="Arial"/>
        </w:rPr>
        <w:t>These changes were already implemented in 2021.</w:t>
      </w:r>
      <w:r w:rsidR="00141B19">
        <w:rPr>
          <w:rStyle w:val="FootnoteReference"/>
          <w:rFonts w:ascii="Arial" w:eastAsia="Calibri" w:hAnsi="Arial" w:cs="Arial"/>
        </w:rPr>
        <w:footnoteReference w:id="58"/>
      </w:r>
      <w:r w:rsidR="00141B19">
        <w:rPr>
          <w:rFonts w:ascii="Arial" w:eastAsia="Calibri" w:hAnsi="Arial" w:cs="Arial"/>
        </w:rPr>
        <w:t xml:space="preserve"> </w:t>
      </w:r>
      <w:r w:rsidR="001F2834">
        <w:rPr>
          <w:rFonts w:ascii="Arial" w:eastAsia="Calibri" w:hAnsi="Arial" w:cs="Arial"/>
        </w:rPr>
        <w:t xml:space="preserve">The </w:t>
      </w:r>
      <w:r w:rsidR="00074422" w:rsidRPr="00074422">
        <w:rPr>
          <w:rFonts w:ascii="Arial" w:eastAsia="Calibri" w:hAnsi="Arial" w:cs="Arial"/>
        </w:rPr>
        <w:t xml:space="preserve">text of SB2 </w:t>
      </w:r>
      <w:r w:rsidR="001F2834">
        <w:rPr>
          <w:rFonts w:ascii="Arial" w:eastAsia="Calibri" w:hAnsi="Arial" w:cs="Arial"/>
        </w:rPr>
        <w:t xml:space="preserve">does not </w:t>
      </w:r>
      <w:r w:rsidR="00895998">
        <w:rPr>
          <w:rFonts w:ascii="Arial" w:eastAsia="Calibri" w:hAnsi="Arial" w:cs="Arial"/>
        </w:rPr>
        <w:t xml:space="preserve">specifically </w:t>
      </w:r>
      <w:r w:rsidR="001F2834">
        <w:rPr>
          <w:rFonts w:ascii="Arial" w:eastAsia="Calibri" w:hAnsi="Arial" w:cs="Arial"/>
        </w:rPr>
        <w:t xml:space="preserve"> </w:t>
      </w:r>
      <w:r w:rsidR="00074422" w:rsidRPr="00074422">
        <w:rPr>
          <w:rFonts w:ascii="Arial" w:eastAsia="Calibri" w:hAnsi="Arial" w:cs="Arial"/>
        </w:rPr>
        <w:t xml:space="preserve">mention changes to the amendment process for </w:t>
      </w:r>
      <w:r w:rsidR="00074422">
        <w:rPr>
          <w:rFonts w:ascii="Arial" w:eastAsia="Calibri" w:hAnsi="Arial" w:cs="Arial"/>
        </w:rPr>
        <w:t>the ERCOT</w:t>
      </w:r>
      <w:r w:rsidR="00074422" w:rsidRPr="00074422">
        <w:rPr>
          <w:rFonts w:ascii="Arial" w:eastAsia="Calibri" w:hAnsi="Arial" w:cs="Arial"/>
        </w:rPr>
        <w:t xml:space="preserve"> Bylaws.</w:t>
      </w:r>
      <w:r w:rsidR="000543E8">
        <w:rPr>
          <w:rFonts w:ascii="Arial" w:eastAsia="Calibri" w:hAnsi="Arial" w:cs="Arial"/>
        </w:rPr>
        <w:t xml:space="preserve"> </w:t>
      </w:r>
      <w:r w:rsidR="00074422" w:rsidRPr="00074422">
        <w:rPr>
          <w:rFonts w:ascii="Arial" w:eastAsia="Calibri" w:hAnsi="Arial" w:cs="Arial"/>
        </w:rPr>
        <w:t xml:space="preserve">Therefore, </w:t>
      </w:r>
      <w:r w:rsidR="001F2834">
        <w:rPr>
          <w:rFonts w:ascii="Arial" w:eastAsia="Calibri" w:hAnsi="Arial" w:cs="Arial"/>
        </w:rPr>
        <w:t xml:space="preserve">Joint Commenters ask the ERCOT Board to consider whether </w:t>
      </w:r>
      <w:r w:rsidR="00074422" w:rsidRPr="00074422">
        <w:rPr>
          <w:rFonts w:ascii="Arial" w:eastAsia="Calibri" w:hAnsi="Arial" w:cs="Arial"/>
        </w:rPr>
        <w:t>the language of SB</w:t>
      </w:r>
      <w:r w:rsidR="00E551A9">
        <w:rPr>
          <w:rFonts w:ascii="Arial" w:eastAsia="Calibri" w:hAnsi="Arial" w:cs="Arial"/>
        </w:rPr>
        <w:t xml:space="preserve"> </w:t>
      </w:r>
      <w:r w:rsidR="00074422" w:rsidRPr="00074422">
        <w:rPr>
          <w:rFonts w:ascii="Arial" w:eastAsia="Calibri" w:hAnsi="Arial" w:cs="Arial"/>
        </w:rPr>
        <w:t xml:space="preserve">2 </w:t>
      </w:r>
      <w:r w:rsidR="00074422">
        <w:rPr>
          <w:rFonts w:ascii="Arial" w:eastAsia="Calibri" w:hAnsi="Arial" w:cs="Arial"/>
        </w:rPr>
        <w:t>demonstrates</w:t>
      </w:r>
      <w:r w:rsidR="00074422" w:rsidRPr="00074422">
        <w:rPr>
          <w:rFonts w:ascii="Arial" w:eastAsia="Calibri" w:hAnsi="Arial" w:cs="Arial"/>
        </w:rPr>
        <w:t xml:space="preserve"> that the Legislature intend</w:t>
      </w:r>
      <w:r w:rsidR="001F2834">
        <w:rPr>
          <w:rFonts w:ascii="Arial" w:eastAsia="Calibri" w:hAnsi="Arial" w:cs="Arial"/>
        </w:rPr>
        <w:t>ed</w:t>
      </w:r>
      <w:r w:rsidR="00074422" w:rsidRPr="00074422">
        <w:rPr>
          <w:rFonts w:ascii="Arial" w:eastAsia="Calibri" w:hAnsi="Arial" w:cs="Arial"/>
        </w:rPr>
        <w:t xml:space="preserve"> for the ERCOT Board to modify </w:t>
      </w:r>
      <w:r w:rsidR="00074422">
        <w:rPr>
          <w:rFonts w:ascii="Arial" w:eastAsia="Calibri" w:hAnsi="Arial" w:cs="Arial"/>
        </w:rPr>
        <w:t>the ERCOT</w:t>
      </w:r>
      <w:r w:rsidR="00074422" w:rsidRPr="00074422">
        <w:rPr>
          <w:rFonts w:ascii="Arial" w:eastAsia="Calibri" w:hAnsi="Arial" w:cs="Arial"/>
        </w:rPr>
        <w:t xml:space="preserve"> Bylaws amendment process</w:t>
      </w:r>
      <w:r w:rsidR="00E96E55" w:rsidRPr="00E96E55">
        <w:rPr>
          <w:rFonts w:ascii="Arial" w:eastAsia="Calibri" w:hAnsi="Arial" w:cs="Arial"/>
        </w:rPr>
        <w:t>, and if so, to clearly document its legal analysis</w:t>
      </w:r>
      <w:r w:rsidR="00074422" w:rsidRPr="00074422">
        <w:rPr>
          <w:rFonts w:ascii="Arial" w:eastAsia="Calibri" w:hAnsi="Arial" w:cs="Arial"/>
        </w:rPr>
        <w:t>.</w:t>
      </w:r>
    </w:p>
    <w:p w14:paraId="5D7B97C8" w14:textId="3B8DB6AC" w:rsidR="00FD6FE3" w:rsidRDefault="00FD6FE3" w:rsidP="0019603A">
      <w:pPr>
        <w:spacing w:before="240"/>
        <w:jc w:val="center"/>
        <w:rPr>
          <w:rFonts w:ascii="Arial" w:hAnsi="Arial" w:cs="Arial"/>
          <w:b/>
          <w:bCs/>
          <w:u w:val="single"/>
        </w:rPr>
      </w:pPr>
      <w:r>
        <w:rPr>
          <w:rFonts w:ascii="Arial" w:hAnsi="Arial" w:cs="Arial"/>
          <w:b/>
          <w:bCs/>
          <w:u w:val="single"/>
        </w:rPr>
        <w:t>Conclusion</w:t>
      </w:r>
    </w:p>
    <w:p w14:paraId="46A5C418" w14:textId="753076C4" w:rsidR="00FD6FE3" w:rsidRDefault="00FD6FE3" w:rsidP="001F2834">
      <w:pPr>
        <w:spacing w:before="240"/>
        <w:jc w:val="both"/>
        <w:rPr>
          <w:rFonts w:ascii="Arial" w:hAnsi="Arial" w:cs="Arial"/>
        </w:rPr>
      </w:pPr>
      <w:r>
        <w:rPr>
          <w:rFonts w:ascii="Arial" w:hAnsi="Arial" w:cs="Arial"/>
        </w:rPr>
        <w:t>Joint Co</w:t>
      </w:r>
      <w:r w:rsidR="00FB0CE8">
        <w:rPr>
          <w:rFonts w:ascii="Arial" w:hAnsi="Arial" w:cs="Arial"/>
        </w:rPr>
        <w:t xml:space="preserve">mmenters </w:t>
      </w:r>
      <w:r w:rsidR="00A30FFA">
        <w:rPr>
          <w:rFonts w:ascii="Arial" w:hAnsi="Arial" w:cs="Arial"/>
        </w:rPr>
        <w:t>recommend that the ERCOT Board reject</w:t>
      </w:r>
      <w:r w:rsidR="001F2834">
        <w:rPr>
          <w:rFonts w:ascii="Arial" w:hAnsi="Arial" w:cs="Arial"/>
        </w:rPr>
        <w:t xml:space="preserve"> the</w:t>
      </w:r>
      <w:r w:rsidR="00A30FFA">
        <w:rPr>
          <w:rFonts w:ascii="Arial" w:hAnsi="Arial" w:cs="Arial"/>
        </w:rPr>
        <w:t xml:space="preserve"> proposed </w:t>
      </w:r>
      <w:r w:rsidR="00E3467E">
        <w:rPr>
          <w:rFonts w:ascii="Arial" w:hAnsi="Arial" w:cs="Arial"/>
        </w:rPr>
        <w:t xml:space="preserve">amendments to the ERCOT </w:t>
      </w:r>
      <w:r w:rsidR="00A30FFA">
        <w:rPr>
          <w:rFonts w:ascii="Arial" w:hAnsi="Arial" w:cs="Arial"/>
        </w:rPr>
        <w:t xml:space="preserve">Bylaws </w:t>
      </w:r>
      <w:r w:rsidR="007036B2">
        <w:rPr>
          <w:rFonts w:ascii="Arial" w:hAnsi="Arial" w:cs="Arial"/>
        </w:rPr>
        <w:t>as far as</w:t>
      </w:r>
      <w:r w:rsidR="00E3467E">
        <w:rPr>
          <w:rFonts w:ascii="Arial" w:hAnsi="Arial" w:cs="Arial"/>
        </w:rPr>
        <w:t xml:space="preserve"> they</w:t>
      </w:r>
      <w:r w:rsidR="00A3106D">
        <w:rPr>
          <w:rFonts w:ascii="Arial" w:hAnsi="Arial" w:cs="Arial"/>
        </w:rPr>
        <w:t xml:space="preserve"> </w:t>
      </w:r>
      <w:r w:rsidR="00A30FFA">
        <w:rPr>
          <w:rFonts w:ascii="Arial" w:hAnsi="Arial" w:cs="Arial"/>
        </w:rPr>
        <w:t xml:space="preserve">remove </w:t>
      </w:r>
      <w:r w:rsidR="00E3467E">
        <w:rPr>
          <w:rFonts w:ascii="Arial" w:hAnsi="Arial" w:cs="Arial"/>
        </w:rPr>
        <w:t xml:space="preserve">or restrict </w:t>
      </w:r>
      <w:r w:rsidR="00A30FFA">
        <w:rPr>
          <w:rFonts w:ascii="Arial" w:hAnsi="Arial" w:cs="Arial"/>
        </w:rPr>
        <w:t>voting rights</w:t>
      </w:r>
      <w:r w:rsidR="00E3467E">
        <w:rPr>
          <w:rFonts w:ascii="Arial" w:hAnsi="Arial" w:cs="Arial"/>
        </w:rPr>
        <w:t xml:space="preserve"> of the Corporate Members</w:t>
      </w:r>
      <w:r w:rsidR="00A30FFA">
        <w:rPr>
          <w:rFonts w:ascii="Arial" w:hAnsi="Arial" w:cs="Arial"/>
        </w:rPr>
        <w:t xml:space="preserve">. Further, the Joint Commenters respectfully request that the ERCOT Board </w:t>
      </w:r>
      <w:r w:rsidR="00E3467E">
        <w:rPr>
          <w:rFonts w:ascii="Arial" w:hAnsi="Arial" w:cs="Arial"/>
        </w:rPr>
        <w:t>adhere to the</w:t>
      </w:r>
      <w:r w:rsidR="00A30FFA">
        <w:rPr>
          <w:rFonts w:ascii="Arial" w:hAnsi="Arial" w:cs="Arial"/>
        </w:rPr>
        <w:t xml:space="preserve"> established amendment process</w:t>
      </w:r>
      <w:r w:rsidR="00E3467E">
        <w:rPr>
          <w:rFonts w:ascii="Arial" w:hAnsi="Arial" w:cs="Arial"/>
        </w:rPr>
        <w:t xml:space="preserve"> in the ERCOT Bylaws</w:t>
      </w:r>
      <w:r w:rsidR="00A30FFA">
        <w:rPr>
          <w:rFonts w:ascii="Arial" w:hAnsi="Arial" w:cs="Arial"/>
        </w:rPr>
        <w:t xml:space="preserve"> and submit any Board-approved </w:t>
      </w:r>
      <w:r w:rsidR="00E3467E">
        <w:rPr>
          <w:rFonts w:ascii="Arial" w:hAnsi="Arial" w:cs="Arial"/>
        </w:rPr>
        <w:t>amendments</w:t>
      </w:r>
      <w:r w:rsidR="00A30FFA">
        <w:rPr>
          <w:rFonts w:ascii="Arial" w:hAnsi="Arial" w:cs="Arial"/>
        </w:rPr>
        <w:t xml:space="preserve"> to the Corporate Members</w:t>
      </w:r>
      <w:r w:rsidR="00E3467E">
        <w:rPr>
          <w:rFonts w:ascii="Arial" w:hAnsi="Arial" w:cs="Arial"/>
        </w:rPr>
        <w:t xml:space="preserve"> for the required vote.</w:t>
      </w:r>
      <w:r w:rsidR="00A3106D">
        <w:rPr>
          <w:rFonts w:ascii="Arial" w:hAnsi="Arial" w:cs="Arial"/>
        </w:rPr>
        <w:t xml:space="preserve"> Joint Commenters look forward to</w:t>
      </w:r>
      <w:r w:rsidR="001472E1">
        <w:rPr>
          <w:rFonts w:ascii="Arial" w:hAnsi="Arial" w:cs="Arial"/>
        </w:rPr>
        <w:t xml:space="preserve"> discussing these comments and to continuing to</w:t>
      </w:r>
      <w:r w:rsidR="00A3106D">
        <w:rPr>
          <w:rFonts w:ascii="Arial" w:hAnsi="Arial" w:cs="Arial"/>
        </w:rPr>
        <w:t xml:space="preserve"> work with the ERCOT Board</w:t>
      </w:r>
      <w:r w:rsidR="001472E1">
        <w:rPr>
          <w:rFonts w:ascii="Arial" w:hAnsi="Arial" w:cs="Arial"/>
        </w:rPr>
        <w:t xml:space="preserve"> for balance in governing documents that best maintains and </w:t>
      </w:r>
      <w:r w:rsidR="000C1D40">
        <w:rPr>
          <w:rFonts w:ascii="Arial" w:hAnsi="Arial" w:cs="Arial"/>
        </w:rPr>
        <w:t>enhances the health and reliability of the ERCOT market.</w:t>
      </w:r>
    </w:p>
    <w:p w14:paraId="50DCBCC7" w14:textId="0A01C1D3" w:rsidR="00900054" w:rsidRPr="00900054" w:rsidRDefault="000C3758" w:rsidP="00900054">
      <w:pPr>
        <w:rPr>
          <w:rFonts w:ascii="Arial" w:hAnsi="Arial" w:cs="Arial"/>
        </w:rPr>
      </w:pPr>
      <w:r>
        <w:rPr>
          <w:rFonts w:ascii="Arial" w:hAnsi="Arial" w:cs="Arial"/>
        </w:rPr>
        <w:br w:type="page"/>
      </w:r>
    </w:p>
    <w:p w14:paraId="6EA9A171" w14:textId="22558152" w:rsidR="000C3758" w:rsidRPr="00900054" w:rsidRDefault="000C3758" w:rsidP="00900054">
      <w:pPr>
        <w:spacing w:before="240"/>
        <w:jc w:val="center"/>
        <w:rPr>
          <w:rFonts w:ascii="Arial" w:eastAsia="Calibri" w:hAnsi="Arial" w:cs="Arial"/>
          <w:b/>
          <w:bCs/>
          <w:sz w:val="28"/>
          <w:szCs w:val="28"/>
          <w:u w:val="single"/>
        </w:rPr>
      </w:pPr>
      <w:r w:rsidRPr="00900054">
        <w:rPr>
          <w:rFonts w:ascii="Arial" w:eastAsia="Calibri" w:hAnsi="Arial" w:cs="Arial"/>
          <w:b/>
          <w:bCs/>
          <w:sz w:val="28"/>
          <w:szCs w:val="28"/>
          <w:u w:val="single"/>
        </w:rPr>
        <w:lastRenderedPageBreak/>
        <w:t>Appendix A</w:t>
      </w:r>
    </w:p>
    <w:p w14:paraId="1E98D6C7" w14:textId="77777777" w:rsidR="00900054" w:rsidRDefault="00900054" w:rsidP="0034014B">
      <w:pPr>
        <w:spacing w:before="240"/>
        <w:rPr>
          <w:rFonts w:ascii="Arial" w:eastAsia="Calibri" w:hAnsi="Arial" w:cs="Arial"/>
          <w:b/>
          <w:bCs/>
          <w:u w:val="single"/>
        </w:rPr>
      </w:pPr>
    </w:p>
    <w:tbl>
      <w:tblPr>
        <w:tblStyle w:val="TableGrid"/>
        <w:tblW w:w="10620" w:type="dxa"/>
        <w:tblInd w:w="-635" w:type="dxa"/>
        <w:tblLayout w:type="fixed"/>
        <w:tblLook w:val="04A0" w:firstRow="1" w:lastRow="0" w:firstColumn="1" w:lastColumn="0" w:noHBand="0" w:noVBand="1"/>
      </w:tblPr>
      <w:tblGrid>
        <w:gridCol w:w="2160"/>
        <w:gridCol w:w="3510"/>
        <w:gridCol w:w="2700"/>
        <w:gridCol w:w="2250"/>
      </w:tblGrid>
      <w:tr w:rsidR="0034014B" w14:paraId="338B067E" w14:textId="77777777" w:rsidTr="00014ED0">
        <w:tc>
          <w:tcPr>
            <w:tcW w:w="2160" w:type="dxa"/>
          </w:tcPr>
          <w:p w14:paraId="456349F8" w14:textId="6E01F3AE" w:rsidR="0034014B" w:rsidRPr="00900054" w:rsidRDefault="0034014B" w:rsidP="005F1469">
            <w:pPr>
              <w:spacing w:before="240"/>
              <w:rPr>
                <w:rFonts w:ascii="Arial" w:eastAsia="Calibri" w:hAnsi="Arial" w:cs="Arial"/>
                <w:b/>
                <w:bCs/>
                <w:sz w:val="22"/>
                <w:szCs w:val="22"/>
                <w:u w:val="single"/>
              </w:rPr>
            </w:pPr>
            <w:r w:rsidRPr="00900054">
              <w:rPr>
                <w:rFonts w:ascii="Arial" w:eastAsia="Calibri" w:hAnsi="Arial" w:cs="Arial"/>
                <w:b/>
                <w:bCs/>
                <w:sz w:val="22"/>
                <w:szCs w:val="22"/>
                <w:u w:val="single"/>
              </w:rPr>
              <w:t>Name</w:t>
            </w:r>
          </w:p>
        </w:tc>
        <w:tc>
          <w:tcPr>
            <w:tcW w:w="3510" w:type="dxa"/>
          </w:tcPr>
          <w:p w14:paraId="0D1994DA" w14:textId="777C31CB" w:rsidR="0034014B" w:rsidRPr="00900054" w:rsidRDefault="0034014B" w:rsidP="005F1469">
            <w:pPr>
              <w:spacing w:before="240"/>
              <w:rPr>
                <w:rFonts w:ascii="Arial" w:eastAsia="Calibri" w:hAnsi="Arial" w:cs="Arial"/>
                <w:b/>
                <w:bCs/>
                <w:sz w:val="22"/>
                <w:szCs w:val="22"/>
                <w:u w:val="single"/>
              </w:rPr>
            </w:pPr>
            <w:r w:rsidRPr="00900054">
              <w:rPr>
                <w:rFonts w:ascii="Arial" w:eastAsia="Calibri" w:hAnsi="Arial" w:cs="Arial"/>
                <w:b/>
                <w:bCs/>
                <w:sz w:val="22"/>
                <w:szCs w:val="22"/>
                <w:u w:val="single"/>
              </w:rPr>
              <w:t>E-mail Address</w:t>
            </w:r>
          </w:p>
        </w:tc>
        <w:tc>
          <w:tcPr>
            <w:tcW w:w="2700" w:type="dxa"/>
          </w:tcPr>
          <w:p w14:paraId="297015EF" w14:textId="170D1ABF" w:rsidR="0034014B" w:rsidRPr="00900054" w:rsidRDefault="0034014B" w:rsidP="005F1469">
            <w:pPr>
              <w:spacing w:before="240"/>
              <w:rPr>
                <w:rFonts w:ascii="Arial" w:eastAsia="Calibri" w:hAnsi="Arial" w:cs="Arial"/>
                <w:b/>
                <w:bCs/>
                <w:sz w:val="22"/>
                <w:szCs w:val="22"/>
                <w:u w:val="single"/>
              </w:rPr>
            </w:pPr>
            <w:r w:rsidRPr="00900054">
              <w:rPr>
                <w:rFonts w:ascii="Arial" w:eastAsia="Calibri" w:hAnsi="Arial" w:cs="Arial"/>
                <w:b/>
                <w:bCs/>
                <w:sz w:val="22"/>
                <w:szCs w:val="22"/>
                <w:u w:val="single"/>
              </w:rPr>
              <w:t>Company</w:t>
            </w:r>
          </w:p>
        </w:tc>
        <w:tc>
          <w:tcPr>
            <w:tcW w:w="2250" w:type="dxa"/>
          </w:tcPr>
          <w:p w14:paraId="280A7082" w14:textId="168A11EA" w:rsidR="0034014B" w:rsidRPr="00900054" w:rsidRDefault="0034014B" w:rsidP="005F1469">
            <w:pPr>
              <w:spacing w:before="240"/>
              <w:rPr>
                <w:rFonts w:ascii="Arial" w:eastAsia="Calibri" w:hAnsi="Arial" w:cs="Arial"/>
                <w:b/>
                <w:bCs/>
                <w:sz w:val="22"/>
                <w:szCs w:val="22"/>
                <w:u w:val="single"/>
              </w:rPr>
            </w:pPr>
            <w:r w:rsidRPr="00900054">
              <w:rPr>
                <w:rFonts w:ascii="Arial" w:eastAsia="Calibri" w:hAnsi="Arial" w:cs="Arial"/>
                <w:b/>
                <w:bCs/>
                <w:sz w:val="22"/>
                <w:szCs w:val="22"/>
                <w:u w:val="single"/>
              </w:rPr>
              <w:t>Market Segment</w:t>
            </w:r>
          </w:p>
        </w:tc>
      </w:tr>
      <w:tr w:rsidR="0034014B" w14:paraId="5EACE3AD" w14:textId="77777777" w:rsidTr="00014ED0">
        <w:tc>
          <w:tcPr>
            <w:tcW w:w="2160" w:type="dxa"/>
          </w:tcPr>
          <w:p w14:paraId="4E91AC57" w14:textId="24D49B56"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Caitlin </w:t>
            </w:r>
            <w:r w:rsidR="00002EE3" w:rsidRPr="00900054">
              <w:rPr>
                <w:rFonts w:ascii="Arial" w:hAnsi="Arial" w:cs="Arial"/>
                <w:sz w:val="22"/>
                <w:szCs w:val="22"/>
              </w:rPr>
              <w:t>S</w:t>
            </w:r>
            <w:r w:rsidRPr="00900054">
              <w:rPr>
                <w:rFonts w:ascii="Arial" w:hAnsi="Arial" w:cs="Arial"/>
                <w:sz w:val="22"/>
                <w:szCs w:val="22"/>
              </w:rPr>
              <w:t>mith</w:t>
            </w:r>
          </w:p>
        </w:tc>
        <w:tc>
          <w:tcPr>
            <w:tcW w:w="3510" w:type="dxa"/>
          </w:tcPr>
          <w:p w14:paraId="458D5A59" w14:textId="15870507" w:rsidR="0034014B" w:rsidRPr="00900054" w:rsidRDefault="00000000" w:rsidP="0034014B">
            <w:pPr>
              <w:spacing w:before="240"/>
              <w:rPr>
                <w:rFonts w:ascii="Arial" w:eastAsia="Calibri" w:hAnsi="Arial" w:cs="Arial"/>
                <w:b/>
                <w:bCs/>
                <w:sz w:val="22"/>
                <w:szCs w:val="22"/>
                <w:u w:val="single"/>
              </w:rPr>
            </w:pPr>
            <w:hyperlink r:id="rId15" w:history="1">
              <w:r w:rsidR="0034014B" w:rsidRPr="00900054">
                <w:rPr>
                  <w:rStyle w:val="Hyperlink"/>
                  <w:rFonts w:ascii="Arial" w:hAnsi="Arial" w:cs="Arial"/>
                  <w:sz w:val="22"/>
                  <w:szCs w:val="22"/>
                </w:rPr>
                <w:t>Caitlin.smith@jupiterpower.io</w:t>
              </w:r>
            </w:hyperlink>
          </w:p>
        </w:tc>
        <w:tc>
          <w:tcPr>
            <w:tcW w:w="2700" w:type="dxa"/>
          </w:tcPr>
          <w:p w14:paraId="5ACFF2E1" w14:textId="06BB32D8"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Jupiter Power LLC</w:t>
            </w:r>
          </w:p>
        </w:tc>
        <w:tc>
          <w:tcPr>
            <w:tcW w:w="2250" w:type="dxa"/>
          </w:tcPr>
          <w:p w14:paraId="4731DB0A" w14:textId="49FF6DE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Independent Generator</w:t>
            </w:r>
          </w:p>
        </w:tc>
      </w:tr>
      <w:tr w:rsidR="0034014B" w14:paraId="55450253" w14:textId="77777777" w:rsidTr="00014ED0">
        <w:tc>
          <w:tcPr>
            <w:tcW w:w="2160" w:type="dxa"/>
          </w:tcPr>
          <w:p w14:paraId="29A743E8" w14:textId="48014C2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Bill Barnes</w:t>
            </w:r>
          </w:p>
        </w:tc>
        <w:tc>
          <w:tcPr>
            <w:tcW w:w="3510" w:type="dxa"/>
          </w:tcPr>
          <w:p w14:paraId="10E4EFE1" w14:textId="77D89390" w:rsidR="0034014B" w:rsidRPr="00900054" w:rsidRDefault="00000000" w:rsidP="0034014B">
            <w:pPr>
              <w:spacing w:before="240"/>
              <w:rPr>
                <w:rFonts w:ascii="Arial" w:eastAsia="Calibri" w:hAnsi="Arial" w:cs="Arial"/>
                <w:b/>
                <w:bCs/>
                <w:sz w:val="22"/>
                <w:szCs w:val="22"/>
                <w:u w:val="single"/>
              </w:rPr>
            </w:pPr>
            <w:hyperlink r:id="rId16" w:history="1">
              <w:r w:rsidR="0034014B" w:rsidRPr="00900054">
                <w:rPr>
                  <w:rStyle w:val="Hyperlink"/>
                  <w:rFonts w:ascii="Arial" w:hAnsi="Arial" w:cs="Arial"/>
                  <w:sz w:val="22"/>
                  <w:szCs w:val="22"/>
                </w:rPr>
                <w:t>Bill.Barnes@nrg.com</w:t>
              </w:r>
            </w:hyperlink>
          </w:p>
        </w:tc>
        <w:tc>
          <w:tcPr>
            <w:tcW w:w="2700" w:type="dxa"/>
          </w:tcPr>
          <w:p w14:paraId="39D340FD" w14:textId="569A48E8"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Reliant Energy Retail Services LLC</w:t>
            </w:r>
          </w:p>
        </w:tc>
        <w:tc>
          <w:tcPr>
            <w:tcW w:w="2250" w:type="dxa"/>
          </w:tcPr>
          <w:p w14:paraId="1FD54F04" w14:textId="672819D2"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Independent Retail Electric Provider</w:t>
            </w:r>
          </w:p>
        </w:tc>
      </w:tr>
      <w:tr w:rsidR="0034014B" w14:paraId="10C24B4E" w14:textId="77777777" w:rsidTr="00014ED0">
        <w:tc>
          <w:tcPr>
            <w:tcW w:w="2160" w:type="dxa"/>
          </w:tcPr>
          <w:p w14:paraId="53771AFE" w14:textId="67AF880E"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Bryan Sams</w:t>
            </w:r>
          </w:p>
        </w:tc>
        <w:tc>
          <w:tcPr>
            <w:tcW w:w="3510" w:type="dxa"/>
          </w:tcPr>
          <w:p w14:paraId="4AA1FA17" w14:textId="77777777" w:rsidR="0034014B" w:rsidRPr="00900054" w:rsidRDefault="00000000" w:rsidP="0034014B">
            <w:pPr>
              <w:rPr>
                <w:rFonts w:ascii="Arial" w:hAnsi="Arial" w:cs="Arial"/>
                <w:sz w:val="22"/>
                <w:szCs w:val="22"/>
              </w:rPr>
            </w:pPr>
            <w:hyperlink r:id="rId17" w:history="1">
              <w:r w:rsidR="0034014B" w:rsidRPr="00900054">
                <w:rPr>
                  <w:rStyle w:val="Hyperlink"/>
                  <w:rFonts w:ascii="Arial" w:hAnsi="Arial" w:cs="Arial"/>
                  <w:sz w:val="22"/>
                  <w:szCs w:val="22"/>
                </w:rPr>
                <w:t>Bryan.Sams@calpine.com</w:t>
              </w:r>
            </w:hyperlink>
          </w:p>
          <w:p w14:paraId="1B53713F" w14:textId="3E336884" w:rsidR="0034014B" w:rsidRPr="00900054" w:rsidRDefault="0034014B" w:rsidP="0034014B">
            <w:pPr>
              <w:spacing w:before="240"/>
              <w:rPr>
                <w:rFonts w:ascii="Arial" w:eastAsia="Calibri" w:hAnsi="Arial" w:cs="Arial"/>
                <w:b/>
                <w:bCs/>
                <w:sz w:val="22"/>
                <w:szCs w:val="22"/>
                <w:u w:val="single"/>
              </w:rPr>
            </w:pPr>
          </w:p>
        </w:tc>
        <w:tc>
          <w:tcPr>
            <w:tcW w:w="2700" w:type="dxa"/>
          </w:tcPr>
          <w:p w14:paraId="6B2C31BC" w14:textId="77EBCE36"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Calpine Corporation</w:t>
            </w:r>
          </w:p>
        </w:tc>
        <w:tc>
          <w:tcPr>
            <w:tcW w:w="2250" w:type="dxa"/>
          </w:tcPr>
          <w:p w14:paraId="68BC096B" w14:textId="08738481"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Independent Generator</w:t>
            </w:r>
          </w:p>
        </w:tc>
      </w:tr>
      <w:tr w:rsidR="0034014B" w14:paraId="181B5264" w14:textId="77777777" w:rsidTr="00014ED0">
        <w:tc>
          <w:tcPr>
            <w:tcW w:w="2160" w:type="dxa"/>
          </w:tcPr>
          <w:p w14:paraId="08CFA55D" w14:textId="219B7290"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Ian Haley</w:t>
            </w:r>
          </w:p>
        </w:tc>
        <w:tc>
          <w:tcPr>
            <w:tcW w:w="3510" w:type="dxa"/>
          </w:tcPr>
          <w:p w14:paraId="210792D7" w14:textId="76C68B06" w:rsidR="0034014B" w:rsidRPr="00900054" w:rsidRDefault="00000000" w:rsidP="0034014B">
            <w:pPr>
              <w:spacing w:before="240"/>
              <w:rPr>
                <w:rFonts w:ascii="Arial" w:eastAsia="Calibri" w:hAnsi="Arial" w:cs="Arial"/>
                <w:b/>
                <w:bCs/>
                <w:sz w:val="22"/>
                <w:szCs w:val="22"/>
                <w:u w:val="single"/>
              </w:rPr>
            </w:pPr>
            <w:hyperlink r:id="rId18" w:history="1">
              <w:r w:rsidR="009A3BCE" w:rsidRPr="00900054">
                <w:rPr>
                  <w:rStyle w:val="Hyperlink"/>
                  <w:rFonts w:ascii="Arial" w:hAnsi="Arial" w:cs="Arial"/>
                  <w:sz w:val="22"/>
                  <w:szCs w:val="22"/>
                </w:rPr>
                <w:t>Ian.haley@vistracorp.com</w:t>
              </w:r>
            </w:hyperlink>
            <w:r w:rsidR="009A3BCE" w:rsidRPr="00900054">
              <w:rPr>
                <w:rFonts w:ascii="Arial" w:hAnsi="Arial" w:cs="Arial"/>
                <w:sz w:val="22"/>
                <w:szCs w:val="22"/>
              </w:rPr>
              <w:t xml:space="preserve"> </w:t>
            </w:r>
          </w:p>
        </w:tc>
        <w:tc>
          <w:tcPr>
            <w:tcW w:w="2700" w:type="dxa"/>
          </w:tcPr>
          <w:p w14:paraId="3A990278" w14:textId="2C52D6F8"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Luminant Generation Company LLC</w:t>
            </w:r>
          </w:p>
        </w:tc>
        <w:tc>
          <w:tcPr>
            <w:tcW w:w="2250" w:type="dxa"/>
          </w:tcPr>
          <w:p w14:paraId="7FB6850D" w14:textId="52AEFBF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Independent Generator</w:t>
            </w:r>
          </w:p>
        </w:tc>
      </w:tr>
      <w:tr w:rsidR="0034014B" w14:paraId="250BB8AF" w14:textId="77777777" w:rsidTr="00014ED0">
        <w:tc>
          <w:tcPr>
            <w:tcW w:w="2160" w:type="dxa"/>
          </w:tcPr>
          <w:p w14:paraId="6B3473CF" w14:textId="43818B7C"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David Kee</w:t>
            </w:r>
          </w:p>
        </w:tc>
        <w:tc>
          <w:tcPr>
            <w:tcW w:w="3510" w:type="dxa"/>
          </w:tcPr>
          <w:p w14:paraId="11F59F98" w14:textId="77777777" w:rsidR="0034014B" w:rsidRPr="00900054" w:rsidRDefault="00000000" w:rsidP="0034014B">
            <w:pPr>
              <w:rPr>
                <w:rFonts w:ascii="Arial" w:hAnsi="Arial" w:cs="Arial"/>
                <w:sz w:val="22"/>
                <w:szCs w:val="22"/>
              </w:rPr>
            </w:pPr>
            <w:hyperlink r:id="rId19" w:history="1">
              <w:r w:rsidR="0034014B" w:rsidRPr="00900054">
                <w:rPr>
                  <w:rStyle w:val="Hyperlink"/>
                  <w:rFonts w:ascii="Arial" w:hAnsi="Arial" w:cs="Arial"/>
                  <w:sz w:val="22"/>
                  <w:szCs w:val="22"/>
                </w:rPr>
                <w:t>dekee@cpsenergy.com</w:t>
              </w:r>
            </w:hyperlink>
          </w:p>
          <w:p w14:paraId="564BAFDA" w14:textId="2E94F37E" w:rsidR="0034014B" w:rsidRPr="00900054" w:rsidRDefault="0034014B" w:rsidP="0034014B">
            <w:pPr>
              <w:spacing w:before="240"/>
              <w:rPr>
                <w:rFonts w:ascii="Arial" w:eastAsia="Calibri" w:hAnsi="Arial" w:cs="Arial"/>
                <w:b/>
                <w:bCs/>
                <w:sz w:val="22"/>
                <w:szCs w:val="22"/>
                <w:u w:val="single"/>
              </w:rPr>
            </w:pPr>
          </w:p>
        </w:tc>
        <w:tc>
          <w:tcPr>
            <w:tcW w:w="2700" w:type="dxa"/>
          </w:tcPr>
          <w:p w14:paraId="30A62E84" w14:textId="010DAA8F"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CPS Energy</w:t>
            </w:r>
          </w:p>
        </w:tc>
        <w:tc>
          <w:tcPr>
            <w:tcW w:w="2250" w:type="dxa"/>
          </w:tcPr>
          <w:p w14:paraId="7E372823" w14:textId="1E0507ED"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Municipal </w:t>
            </w:r>
          </w:p>
        </w:tc>
      </w:tr>
      <w:tr w:rsidR="0034014B" w14:paraId="66AF0AC1" w14:textId="77777777" w:rsidTr="00014ED0">
        <w:tc>
          <w:tcPr>
            <w:tcW w:w="2160" w:type="dxa"/>
          </w:tcPr>
          <w:p w14:paraId="4DB8CFB0" w14:textId="76D60B11"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Tammy Cooper</w:t>
            </w:r>
          </w:p>
        </w:tc>
        <w:tc>
          <w:tcPr>
            <w:tcW w:w="3510" w:type="dxa"/>
          </w:tcPr>
          <w:p w14:paraId="46048308" w14:textId="16F85154" w:rsidR="0034014B" w:rsidRPr="00900054" w:rsidRDefault="00000000" w:rsidP="0034014B">
            <w:pPr>
              <w:spacing w:before="240"/>
              <w:rPr>
                <w:rFonts w:ascii="Arial" w:eastAsia="Calibri" w:hAnsi="Arial" w:cs="Arial"/>
                <w:b/>
                <w:bCs/>
                <w:sz w:val="22"/>
                <w:szCs w:val="22"/>
                <w:u w:val="single"/>
              </w:rPr>
            </w:pPr>
            <w:hyperlink r:id="rId20" w:history="1">
              <w:r w:rsidR="0034014B" w:rsidRPr="00900054">
                <w:rPr>
                  <w:rStyle w:val="Hyperlink"/>
                  <w:rFonts w:ascii="Arial" w:hAnsi="Arial" w:cs="Arial"/>
                  <w:sz w:val="22"/>
                  <w:szCs w:val="22"/>
                </w:rPr>
                <w:t>Tammy.cooper@austinenergy.com</w:t>
              </w:r>
            </w:hyperlink>
          </w:p>
        </w:tc>
        <w:tc>
          <w:tcPr>
            <w:tcW w:w="2700" w:type="dxa"/>
          </w:tcPr>
          <w:p w14:paraId="3623998E" w14:textId="0454E7DA"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Austin Energy</w:t>
            </w:r>
          </w:p>
        </w:tc>
        <w:tc>
          <w:tcPr>
            <w:tcW w:w="2250" w:type="dxa"/>
          </w:tcPr>
          <w:p w14:paraId="78CCDFB5" w14:textId="420DD6BB"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Municipal </w:t>
            </w:r>
          </w:p>
        </w:tc>
      </w:tr>
      <w:tr w:rsidR="0034014B" w14:paraId="07B57A2D" w14:textId="77777777" w:rsidTr="00014ED0">
        <w:tc>
          <w:tcPr>
            <w:tcW w:w="2160" w:type="dxa"/>
          </w:tcPr>
          <w:p w14:paraId="643C6C72" w14:textId="48D08D50"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James Guy</w:t>
            </w:r>
          </w:p>
        </w:tc>
        <w:tc>
          <w:tcPr>
            <w:tcW w:w="3510" w:type="dxa"/>
          </w:tcPr>
          <w:p w14:paraId="7D19458D" w14:textId="4F54C574" w:rsidR="0034014B" w:rsidRPr="00900054" w:rsidRDefault="00000000" w:rsidP="0034014B">
            <w:pPr>
              <w:spacing w:before="240"/>
              <w:rPr>
                <w:rFonts w:ascii="Arial" w:eastAsia="Calibri" w:hAnsi="Arial" w:cs="Arial"/>
                <w:b/>
                <w:bCs/>
                <w:sz w:val="22"/>
                <w:szCs w:val="22"/>
                <w:u w:val="single"/>
              </w:rPr>
            </w:pPr>
            <w:hyperlink r:id="rId21" w:history="1">
              <w:r w:rsidR="0034014B" w:rsidRPr="00900054">
                <w:rPr>
                  <w:rStyle w:val="Hyperlink"/>
                  <w:rFonts w:ascii="Arial" w:hAnsi="Arial" w:cs="Arial"/>
                  <w:sz w:val="22"/>
                  <w:szCs w:val="22"/>
                </w:rPr>
                <w:t>jguy@gsec.coop</w:t>
              </w:r>
            </w:hyperlink>
          </w:p>
        </w:tc>
        <w:tc>
          <w:tcPr>
            <w:tcW w:w="2700" w:type="dxa"/>
          </w:tcPr>
          <w:p w14:paraId="4D8E20E4" w14:textId="484F36A4"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Golden Spread Electric Cooperative Inc.</w:t>
            </w:r>
          </w:p>
        </w:tc>
        <w:tc>
          <w:tcPr>
            <w:tcW w:w="2250" w:type="dxa"/>
          </w:tcPr>
          <w:p w14:paraId="29ADB2EA" w14:textId="27F3904A"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Cooperative</w:t>
            </w:r>
          </w:p>
        </w:tc>
      </w:tr>
      <w:tr w:rsidR="0034014B" w14:paraId="0D60AA74" w14:textId="77777777" w:rsidTr="00014ED0">
        <w:tc>
          <w:tcPr>
            <w:tcW w:w="2160" w:type="dxa"/>
          </w:tcPr>
          <w:p w14:paraId="581CC88B" w14:textId="77C2DA41"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Kevin Bunch</w:t>
            </w:r>
          </w:p>
        </w:tc>
        <w:tc>
          <w:tcPr>
            <w:tcW w:w="3510" w:type="dxa"/>
          </w:tcPr>
          <w:p w14:paraId="63465F2D" w14:textId="0227C6FD" w:rsidR="0034014B" w:rsidRPr="00900054" w:rsidRDefault="00000000" w:rsidP="0034014B">
            <w:pPr>
              <w:spacing w:before="240"/>
              <w:rPr>
                <w:rFonts w:ascii="Arial" w:eastAsia="Calibri" w:hAnsi="Arial" w:cs="Arial"/>
                <w:b/>
                <w:bCs/>
                <w:sz w:val="22"/>
                <w:szCs w:val="22"/>
                <w:u w:val="single"/>
              </w:rPr>
            </w:pPr>
            <w:hyperlink r:id="rId22" w:history="1">
              <w:r w:rsidR="0034014B" w:rsidRPr="00900054">
                <w:rPr>
                  <w:rStyle w:val="Hyperlink"/>
                  <w:rFonts w:ascii="Arial" w:hAnsi="Arial" w:cs="Arial"/>
                  <w:sz w:val="22"/>
                  <w:szCs w:val="22"/>
                </w:rPr>
                <w:t>Kevin.bunch@edfenergyna.com</w:t>
              </w:r>
            </w:hyperlink>
          </w:p>
        </w:tc>
        <w:tc>
          <w:tcPr>
            <w:tcW w:w="2700" w:type="dxa"/>
          </w:tcPr>
          <w:p w14:paraId="1DBE23A8" w14:textId="21F00981"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EDF Trading North America LLC</w:t>
            </w:r>
          </w:p>
        </w:tc>
        <w:tc>
          <w:tcPr>
            <w:tcW w:w="2250" w:type="dxa"/>
          </w:tcPr>
          <w:p w14:paraId="700F1334" w14:textId="45F31DE1"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Independent Power Marketer</w:t>
            </w:r>
          </w:p>
        </w:tc>
      </w:tr>
      <w:tr w:rsidR="0034014B" w14:paraId="6F919FBD" w14:textId="77777777" w:rsidTr="00014ED0">
        <w:tc>
          <w:tcPr>
            <w:tcW w:w="2160" w:type="dxa"/>
          </w:tcPr>
          <w:p w14:paraId="5077E1A8" w14:textId="5963AE2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Keith Emery</w:t>
            </w:r>
          </w:p>
        </w:tc>
        <w:tc>
          <w:tcPr>
            <w:tcW w:w="3510" w:type="dxa"/>
          </w:tcPr>
          <w:p w14:paraId="2218C8BE" w14:textId="4B099533" w:rsidR="0034014B" w:rsidRPr="00900054" w:rsidRDefault="00000000" w:rsidP="0034014B">
            <w:pPr>
              <w:spacing w:before="240"/>
              <w:rPr>
                <w:rFonts w:ascii="Arial" w:eastAsia="Calibri" w:hAnsi="Arial" w:cs="Arial"/>
                <w:b/>
                <w:bCs/>
                <w:sz w:val="22"/>
                <w:szCs w:val="22"/>
                <w:u w:val="single"/>
              </w:rPr>
            </w:pPr>
            <w:hyperlink r:id="rId23" w:history="1">
              <w:r w:rsidR="0034014B" w:rsidRPr="00900054">
                <w:rPr>
                  <w:rStyle w:val="Hyperlink"/>
                  <w:rFonts w:ascii="Arial" w:hAnsi="Arial" w:cs="Arial"/>
                  <w:sz w:val="22"/>
                  <w:szCs w:val="22"/>
                </w:rPr>
                <w:t>kemery@tnsk.com</w:t>
              </w:r>
            </w:hyperlink>
          </w:p>
        </w:tc>
        <w:tc>
          <w:tcPr>
            <w:tcW w:w="2700" w:type="dxa"/>
          </w:tcPr>
          <w:p w14:paraId="2BD9EB47" w14:textId="10A95EE0"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Tenaska Power Services Co.</w:t>
            </w:r>
          </w:p>
        </w:tc>
        <w:tc>
          <w:tcPr>
            <w:tcW w:w="2250" w:type="dxa"/>
          </w:tcPr>
          <w:p w14:paraId="14DCA423" w14:textId="1ACE2705"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Independent Power Marketer</w:t>
            </w:r>
          </w:p>
        </w:tc>
      </w:tr>
      <w:tr w:rsidR="0034014B" w14:paraId="0ACD9F05" w14:textId="77777777" w:rsidTr="00014ED0">
        <w:tc>
          <w:tcPr>
            <w:tcW w:w="2160" w:type="dxa"/>
          </w:tcPr>
          <w:p w14:paraId="40AA0B5F" w14:textId="548F51C3"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Alicia Hooks</w:t>
            </w:r>
          </w:p>
        </w:tc>
        <w:tc>
          <w:tcPr>
            <w:tcW w:w="3510" w:type="dxa"/>
          </w:tcPr>
          <w:p w14:paraId="56832323" w14:textId="49ADB5B2" w:rsidR="0034014B" w:rsidRPr="00900054" w:rsidRDefault="00000000" w:rsidP="0034014B">
            <w:pPr>
              <w:spacing w:before="240"/>
              <w:rPr>
                <w:rFonts w:ascii="Arial" w:eastAsia="Calibri" w:hAnsi="Arial" w:cs="Arial"/>
                <w:b/>
                <w:bCs/>
                <w:sz w:val="22"/>
                <w:szCs w:val="22"/>
                <w:u w:val="single"/>
              </w:rPr>
            </w:pPr>
            <w:hyperlink r:id="rId24" w:history="1">
              <w:r w:rsidR="0034014B" w:rsidRPr="00900054">
                <w:rPr>
                  <w:rStyle w:val="Hyperlink"/>
                  <w:rFonts w:ascii="Arial" w:hAnsi="Arial" w:cs="Arial"/>
                  <w:sz w:val="22"/>
                  <w:szCs w:val="22"/>
                </w:rPr>
                <w:t>ahooks@geus.org</w:t>
              </w:r>
            </w:hyperlink>
          </w:p>
        </w:tc>
        <w:tc>
          <w:tcPr>
            <w:tcW w:w="2700" w:type="dxa"/>
          </w:tcPr>
          <w:p w14:paraId="7FE7D791" w14:textId="4CA97604"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GEUS</w:t>
            </w:r>
          </w:p>
        </w:tc>
        <w:tc>
          <w:tcPr>
            <w:tcW w:w="2250" w:type="dxa"/>
          </w:tcPr>
          <w:p w14:paraId="1F729BBF" w14:textId="71BB9BF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Municipal </w:t>
            </w:r>
          </w:p>
        </w:tc>
      </w:tr>
      <w:tr w:rsidR="0034014B" w14:paraId="3C2AC0D4" w14:textId="77777777" w:rsidTr="00014ED0">
        <w:tc>
          <w:tcPr>
            <w:tcW w:w="2160" w:type="dxa"/>
          </w:tcPr>
          <w:p w14:paraId="0D5A31E0" w14:textId="5BF8D62A"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Gary Don Nietsche</w:t>
            </w:r>
          </w:p>
        </w:tc>
        <w:tc>
          <w:tcPr>
            <w:tcW w:w="3510" w:type="dxa"/>
          </w:tcPr>
          <w:p w14:paraId="5838148C" w14:textId="28205B49" w:rsidR="0034014B" w:rsidRPr="00900054" w:rsidRDefault="00000000" w:rsidP="0034014B">
            <w:pPr>
              <w:spacing w:before="240"/>
              <w:rPr>
                <w:rFonts w:ascii="Arial" w:eastAsia="Calibri" w:hAnsi="Arial" w:cs="Arial"/>
                <w:b/>
                <w:bCs/>
                <w:sz w:val="22"/>
                <w:szCs w:val="22"/>
                <w:u w:val="single"/>
              </w:rPr>
            </w:pPr>
            <w:hyperlink r:id="rId25" w:history="1">
              <w:r w:rsidR="0034014B" w:rsidRPr="00900054">
                <w:rPr>
                  <w:rStyle w:val="Hyperlink"/>
                  <w:rFonts w:ascii="Arial" w:hAnsi="Arial" w:cs="Arial"/>
                  <w:sz w:val="22"/>
                  <w:szCs w:val="22"/>
                </w:rPr>
                <w:t>garyn@fayette.coop</w:t>
              </w:r>
            </w:hyperlink>
          </w:p>
        </w:tc>
        <w:tc>
          <w:tcPr>
            <w:tcW w:w="2700" w:type="dxa"/>
          </w:tcPr>
          <w:p w14:paraId="7A792535" w14:textId="1C214B9A"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Fayette Electric Cooperative Inc. </w:t>
            </w:r>
          </w:p>
        </w:tc>
        <w:tc>
          <w:tcPr>
            <w:tcW w:w="2250" w:type="dxa"/>
          </w:tcPr>
          <w:p w14:paraId="42A12C3C" w14:textId="455B58ED"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Cooperative </w:t>
            </w:r>
          </w:p>
        </w:tc>
      </w:tr>
      <w:tr w:rsidR="0034014B" w14:paraId="024CBC66" w14:textId="77777777" w:rsidTr="00014ED0">
        <w:tc>
          <w:tcPr>
            <w:tcW w:w="2160" w:type="dxa"/>
          </w:tcPr>
          <w:p w14:paraId="4F346659" w14:textId="607095C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Bill Smith</w:t>
            </w:r>
          </w:p>
        </w:tc>
        <w:tc>
          <w:tcPr>
            <w:tcW w:w="3510" w:type="dxa"/>
          </w:tcPr>
          <w:p w14:paraId="28473C4D" w14:textId="7C5ACF64" w:rsidR="0034014B" w:rsidRPr="00900054" w:rsidRDefault="00000000" w:rsidP="0034014B">
            <w:pPr>
              <w:spacing w:before="240"/>
              <w:rPr>
                <w:rFonts w:ascii="Arial" w:eastAsia="Calibri" w:hAnsi="Arial" w:cs="Arial"/>
                <w:b/>
                <w:bCs/>
                <w:sz w:val="22"/>
                <w:szCs w:val="22"/>
                <w:u w:val="single"/>
              </w:rPr>
            </w:pPr>
            <w:hyperlink r:id="rId26" w:history="1">
              <w:r w:rsidR="0034014B" w:rsidRPr="00900054">
                <w:rPr>
                  <w:rStyle w:val="Hyperlink"/>
                  <w:rFonts w:ascii="Arial" w:hAnsi="Arial" w:cs="Arial"/>
                  <w:sz w:val="22"/>
                  <w:szCs w:val="22"/>
                </w:rPr>
                <w:t>Bill.smith@airliquide.com</w:t>
              </w:r>
            </w:hyperlink>
          </w:p>
        </w:tc>
        <w:tc>
          <w:tcPr>
            <w:tcW w:w="2700" w:type="dxa"/>
          </w:tcPr>
          <w:p w14:paraId="4FE112E4" w14:textId="445E05BF"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Air Liquide Large Industries U.S. LLP</w:t>
            </w:r>
          </w:p>
        </w:tc>
        <w:tc>
          <w:tcPr>
            <w:tcW w:w="2250" w:type="dxa"/>
          </w:tcPr>
          <w:p w14:paraId="43F3FD64" w14:textId="5C6F6239"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Industrial Consumer </w:t>
            </w:r>
          </w:p>
        </w:tc>
      </w:tr>
      <w:tr w:rsidR="0034014B" w14:paraId="0082EBEE" w14:textId="77777777" w:rsidTr="00014ED0">
        <w:tc>
          <w:tcPr>
            <w:tcW w:w="2160" w:type="dxa"/>
          </w:tcPr>
          <w:p w14:paraId="54E44B14" w14:textId="50D69F25"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Tina Lee</w:t>
            </w:r>
          </w:p>
        </w:tc>
        <w:tc>
          <w:tcPr>
            <w:tcW w:w="3510" w:type="dxa"/>
          </w:tcPr>
          <w:p w14:paraId="552116AF" w14:textId="42D3214B" w:rsidR="0034014B" w:rsidRPr="00900054" w:rsidRDefault="00000000" w:rsidP="0034014B">
            <w:pPr>
              <w:spacing w:before="240"/>
              <w:rPr>
                <w:rFonts w:ascii="Arial" w:eastAsia="Calibri" w:hAnsi="Arial" w:cs="Arial"/>
                <w:b/>
                <w:bCs/>
                <w:sz w:val="22"/>
                <w:szCs w:val="22"/>
                <w:u w:val="single"/>
              </w:rPr>
            </w:pPr>
            <w:hyperlink r:id="rId27" w:history="1">
              <w:r w:rsidR="0034014B" w:rsidRPr="00900054">
                <w:rPr>
                  <w:rStyle w:val="Hyperlink"/>
                  <w:rFonts w:ascii="Arial" w:hAnsi="Arial" w:cs="Arial"/>
                  <w:sz w:val="22"/>
                  <w:szCs w:val="22"/>
                </w:rPr>
                <w:t>tlee@wattbridge.info</w:t>
              </w:r>
            </w:hyperlink>
            <w:r w:rsidR="0034014B" w:rsidRPr="00900054">
              <w:rPr>
                <w:rFonts w:ascii="Arial" w:hAnsi="Arial" w:cs="Arial"/>
                <w:sz w:val="22"/>
                <w:szCs w:val="22"/>
              </w:rPr>
              <w:t xml:space="preserve"> </w:t>
            </w:r>
          </w:p>
        </w:tc>
        <w:tc>
          <w:tcPr>
            <w:tcW w:w="2700" w:type="dxa"/>
          </w:tcPr>
          <w:p w14:paraId="71700EF0" w14:textId="660F5011"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WattBridge Texas LLC</w:t>
            </w:r>
          </w:p>
        </w:tc>
        <w:tc>
          <w:tcPr>
            <w:tcW w:w="2250" w:type="dxa"/>
          </w:tcPr>
          <w:p w14:paraId="7CAFD4C8" w14:textId="381814A7"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Independent Generator </w:t>
            </w:r>
          </w:p>
        </w:tc>
      </w:tr>
      <w:tr w:rsidR="0034014B" w14:paraId="6D0FE89F" w14:textId="77777777" w:rsidTr="00014ED0">
        <w:tc>
          <w:tcPr>
            <w:tcW w:w="2160" w:type="dxa"/>
          </w:tcPr>
          <w:p w14:paraId="39A1B2E6" w14:textId="37513359"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Mark Dreyfus</w:t>
            </w:r>
          </w:p>
        </w:tc>
        <w:tc>
          <w:tcPr>
            <w:tcW w:w="3510" w:type="dxa"/>
          </w:tcPr>
          <w:p w14:paraId="0B58E632" w14:textId="38B11EBA" w:rsidR="0034014B" w:rsidRPr="00900054" w:rsidRDefault="00000000" w:rsidP="0034014B">
            <w:pPr>
              <w:spacing w:before="240"/>
              <w:rPr>
                <w:rFonts w:ascii="Arial" w:eastAsia="Calibri" w:hAnsi="Arial" w:cs="Arial"/>
                <w:b/>
                <w:bCs/>
                <w:sz w:val="22"/>
                <w:szCs w:val="22"/>
                <w:u w:val="single"/>
              </w:rPr>
            </w:pPr>
            <w:hyperlink r:id="rId28" w:history="1">
              <w:r w:rsidR="0034014B" w:rsidRPr="00900054">
                <w:rPr>
                  <w:rStyle w:val="Hyperlink"/>
                  <w:rFonts w:ascii="Arial" w:hAnsi="Arial" w:cs="Arial"/>
                  <w:sz w:val="22"/>
                  <w:szCs w:val="22"/>
                </w:rPr>
                <w:t>mark@mdenergyconsulting.com</w:t>
              </w:r>
            </w:hyperlink>
            <w:r w:rsidR="0034014B" w:rsidRPr="00900054">
              <w:rPr>
                <w:rFonts w:ascii="Arial" w:hAnsi="Arial" w:cs="Arial"/>
                <w:sz w:val="22"/>
                <w:szCs w:val="22"/>
              </w:rPr>
              <w:t xml:space="preserve"> </w:t>
            </w:r>
          </w:p>
        </w:tc>
        <w:tc>
          <w:tcPr>
            <w:tcW w:w="2700" w:type="dxa"/>
          </w:tcPr>
          <w:p w14:paraId="6C83B36D" w14:textId="04EA4BC8"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City of Eastland</w:t>
            </w:r>
            <w:r w:rsidR="003162B6" w:rsidRPr="00900054">
              <w:rPr>
                <w:rStyle w:val="FootnoteReference"/>
                <w:rFonts w:ascii="Arial" w:hAnsi="Arial" w:cs="Arial"/>
                <w:sz w:val="22"/>
                <w:szCs w:val="22"/>
              </w:rPr>
              <w:footnoteReference w:id="59"/>
            </w:r>
            <w:r w:rsidRPr="00900054">
              <w:rPr>
                <w:rFonts w:ascii="Arial" w:hAnsi="Arial" w:cs="Arial"/>
                <w:sz w:val="22"/>
                <w:szCs w:val="22"/>
              </w:rPr>
              <w:t xml:space="preserve"> </w:t>
            </w:r>
          </w:p>
        </w:tc>
        <w:tc>
          <w:tcPr>
            <w:tcW w:w="2250" w:type="dxa"/>
          </w:tcPr>
          <w:p w14:paraId="4648AC89" w14:textId="0EDD0C62"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Commercial Consumer </w:t>
            </w:r>
          </w:p>
        </w:tc>
      </w:tr>
      <w:tr w:rsidR="0034014B" w14:paraId="5C059A8E" w14:textId="77777777" w:rsidTr="00014ED0">
        <w:tc>
          <w:tcPr>
            <w:tcW w:w="2160" w:type="dxa"/>
          </w:tcPr>
          <w:p w14:paraId="165C0856" w14:textId="446CACAD"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lastRenderedPageBreak/>
              <w:t>Kevin E. Gresham</w:t>
            </w:r>
          </w:p>
        </w:tc>
        <w:tc>
          <w:tcPr>
            <w:tcW w:w="3510" w:type="dxa"/>
          </w:tcPr>
          <w:p w14:paraId="63B8865C" w14:textId="7DF48F4C" w:rsidR="0034014B" w:rsidRPr="00900054" w:rsidRDefault="00000000" w:rsidP="0034014B">
            <w:pPr>
              <w:spacing w:before="240"/>
              <w:rPr>
                <w:rFonts w:ascii="Arial" w:eastAsia="Calibri" w:hAnsi="Arial" w:cs="Arial"/>
                <w:b/>
                <w:bCs/>
                <w:sz w:val="22"/>
                <w:szCs w:val="22"/>
                <w:u w:val="single"/>
              </w:rPr>
            </w:pPr>
            <w:hyperlink r:id="rId29" w:history="1">
              <w:r w:rsidR="0034014B" w:rsidRPr="00900054">
                <w:rPr>
                  <w:rStyle w:val="Hyperlink"/>
                  <w:rFonts w:ascii="Arial" w:hAnsi="Arial" w:cs="Arial"/>
                  <w:sz w:val="22"/>
                  <w:szCs w:val="22"/>
                </w:rPr>
                <w:t>Kevin.gresham@rwe.com</w:t>
              </w:r>
            </w:hyperlink>
            <w:r w:rsidR="0034014B" w:rsidRPr="00900054">
              <w:rPr>
                <w:rFonts w:ascii="Arial" w:hAnsi="Arial" w:cs="Arial"/>
                <w:sz w:val="22"/>
                <w:szCs w:val="22"/>
              </w:rPr>
              <w:t xml:space="preserve"> </w:t>
            </w:r>
          </w:p>
        </w:tc>
        <w:tc>
          <w:tcPr>
            <w:tcW w:w="2700" w:type="dxa"/>
          </w:tcPr>
          <w:p w14:paraId="39075D53" w14:textId="6F880B56" w:rsidR="00900054" w:rsidRPr="00900054" w:rsidRDefault="0034014B" w:rsidP="0034014B">
            <w:pPr>
              <w:spacing w:before="240"/>
              <w:rPr>
                <w:rFonts w:ascii="Arial" w:hAnsi="Arial" w:cs="Arial"/>
                <w:sz w:val="22"/>
                <w:szCs w:val="22"/>
              </w:rPr>
            </w:pPr>
            <w:r w:rsidRPr="00900054">
              <w:rPr>
                <w:rFonts w:ascii="Arial" w:hAnsi="Arial" w:cs="Arial"/>
                <w:sz w:val="22"/>
                <w:szCs w:val="22"/>
              </w:rPr>
              <w:t>RWE Renewables Americas LLC</w:t>
            </w:r>
          </w:p>
        </w:tc>
        <w:tc>
          <w:tcPr>
            <w:tcW w:w="2250" w:type="dxa"/>
          </w:tcPr>
          <w:p w14:paraId="4DD769E0" w14:textId="5130CA8A" w:rsidR="0034014B" w:rsidRPr="00900054" w:rsidRDefault="0034014B" w:rsidP="0034014B">
            <w:pPr>
              <w:spacing w:before="240"/>
              <w:rPr>
                <w:rFonts w:ascii="Arial" w:eastAsia="Calibri" w:hAnsi="Arial" w:cs="Arial"/>
                <w:b/>
                <w:bCs/>
                <w:sz w:val="22"/>
                <w:szCs w:val="22"/>
                <w:u w:val="single"/>
              </w:rPr>
            </w:pPr>
            <w:r w:rsidRPr="00900054">
              <w:rPr>
                <w:rFonts w:ascii="Arial" w:hAnsi="Arial" w:cs="Arial"/>
                <w:sz w:val="22"/>
                <w:szCs w:val="22"/>
              </w:rPr>
              <w:t xml:space="preserve">Independent Generator </w:t>
            </w:r>
          </w:p>
        </w:tc>
      </w:tr>
      <w:tr w:rsidR="0034014B" w14:paraId="6254789F" w14:textId="77777777" w:rsidTr="00014ED0">
        <w:tc>
          <w:tcPr>
            <w:tcW w:w="2160" w:type="dxa"/>
          </w:tcPr>
          <w:p w14:paraId="35AD1540" w14:textId="7FEAC2E2" w:rsidR="0034014B" w:rsidRPr="00900054" w:rsidRDefault="0034014B" w:rsidP="0034014B">
            <w:pPr>
              <w:spacing w:before="240"/>
              <w:rPr>
                <w:rFonts w:ascii="Arial" w:hAnsi="Arial" w:cs="Arial"/>
                <w:sz w:val="22"/>
                <w:szCs w:val="22"/>
              </w:rPr>
            </w:pPr>
            <w:r w:rsidRPr="00900054">
              <w:rPr>
                <w:rFonts w:ascii="Arial" w:hAnsi="Arial" w:cs="Arial"/>
                <w:sz w:val="22"/>
                <w:szCs w:val="22"/>
              </w:rPr>
              <w:t>Chase Smith</w:t>
            </w:r>
          </w:p>
        </w:tc>
        <w:tc>
          <w:tcPr>
            <w:tcW w:w="3510" w:type="dxa"/>
          </w:tcPr>
          <w:p w14:paraId="4C1509FF" w14:textId="2A2A4CA0" w:rsidR="0034014B" w:rsidRPr="00900054" w:rsidRDefault="00000000" w:rsidP="0034014B">
            <w:pPr>
              <w:spacing w:before="240"/>
              <w:rPr>
                <w:rFonts w:ascii="Arial" w:hAnsi="Arial" w:cs="Arial"/>
                <w:sz w:val="22"/>
                <w:szCs w:val="22"/>
              </w:rPr>
            </w:pPr>
            <w:hyperlink r:id="rId30" w:history="1">
              <w:r w:rsidR="0034014B" w:rsidRPr="00900054">
                <w:rPr>
                  <w:rStyle w:val="Hyperlink"/>
                  <w:rFonts w:ascii="Arial" w:hAnsi="Arial" w:cs="Arial"/>
                  <w:sz w:val="22"/>
                  <w:szCs w:val="22"/>
                </w:rPr>
                <w:t>bcsmi@southernco.com</w:t>
              </w:r>
            </w:hyperlink>
          </w:p>
        </w:tc>
        <w:tc>
          <w:tcPr>
            <w:tcW w:w="2700" w:type="dxa"/>
          </w:tcPr>
          <w:p w14:paraId="5E2D5BFE" w14:textId="2D856EA0" w:rsidR="0034014B" w:rsidRPr="00900054" w:rsidRDefault="0034014B" w:rsidP="0034014B">
            <w:pPr>
              <w:spacing w:before="240"/>
              <w:rPr>
                <w:rFonts w:ascii="Arial" w:hAnsi="Arial" w:cs="Arial"/>
                <w:sz w:val="22"/>
                <w:szCs w:val="22"/>
              </w:rPr>
            </w:pPr>
            <w:r w:rsidRPr="00900054">
              <w:rPr>
                <w:rFonts w:ascii="Arial" w:hAnsi="Arial" w:cs="Arial"/>
                <w:sz w:val="22"/>
                <w:szCs w:val="22"/>
              </w:rPr>
              <w:t>Southern Power Company</w:t>
            </w:r>
          </w:p>
        </w:tc>
        <w:tc>
          <w:tcPr>
            <w:tcW w:w="2250" w:type="dxa"/>
          </w:tcPr>
          <w:p w14:paraId="617BB826" w14:textId="57D70026"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Generator</w:t>
            </w:r>
          </w:p>
        </w:tc>
      </w:tr>
      <w:tr w:rsidR="0034014B" w14:paraId="6EA84960" w14:textId="77777777" w:rsidTr="00014ED0">
        <w:tc>
          <w:tcPr>
            <w:tcW w:w="2160" w:type="dxa"/>
          </w:tcPr>
          <w:p w14:paraId="4BE91A08" w14:textId="707CA49D" w:rsidR="0034014B" w:rsidRPr="00900054" w:rsidRDefault="0034014B" w:rsidP="0034014B">
            <w:pPr>
              <w:spacing w:before="240"/>
              <w:rPr>
                <w:rFonts w:ascii="Arial" w:hAnsi="Arial" w:cs="Arial"/>
                <w:sz w:val="22"/>
                <w:szCs w:val="22"/>
              </w:rPr>
            </w:pPr>
            <w:r w:rsidRPr="00900054">
              <w:rPr>
                <w:rFonts w:ascii="Arial" w:hAnsi="Arial" w:cs="Arial"/>
                <w:sz w:val="22"/>
                <w:szCs w:val="22"/>
              </w:rPr>
              <w:t>Mike Wittler</w:t>
            </w:r>
          </w:p>
        </w:tc>
        <w:tc>
          <w:tcPr>
            <w:tcW w:w="3510" w:type="dxa"/>
          </w:tcPr>
          <w:p w14:paraId="489894A0" w14:textId="33CA4CE6" w:rsidR="0034014B" w:rsidRPr="00900054" w:rsidRDefault="00000000" w:rsidP="0034014B">
            <w:pPr>
              <w:spacing w:before="240"/>
              <w:rPr>
                <w:rFonts w:ascii="Arial" w:hAnsi="Arial" w:cs="Arial"/>
                <w:sz w:val="22"/>
                <w:szCs w:val="22"/>
              </w:rPr>
            </w:pPr>
            <w:hyperlink r:id="rId31" w:history="1">
              <w:r w:rsidR="0034014B" w:rsidRPr="00900054">
                <w:rPr>
                  <w:rStyle w:val="Hyperlink"/>
                  <w:rFonts w:ascii="Arial" w:hAnsi="Arial" w:cs="Arial"/>
                  <w:sz w:val="22"/>
                  <w:szCs w:val="22"/>
                </w:rPr>
                <w:t>mwittler@kpub.com</w:t>
              </w:r>
            </w:hyperlink>
          </w:p>
        </w:tc>
        <w:tc>
          <w:tcPr>
            <w:tcW w:w="2700" w:type="dxa"/>
          </w:tcPr>
          <w:p w14:paraId="208A914C" w14:textId="72F1BCB3" w:rsidR="0034014B" w:rsidRPr="00900054" w:rsidRDefault="0034014B" w:rsidP="0034014B">
            <w:pPr>
              <w:spacing w:before="240"/>
              <w:rPr>
                <w:rFonts w:ascii="Arial" w:hAnsi="Arial" w:cs="Arial"/>
                <w:sz w:val="22"/>
                <w:szCs w:val="22"/>
              </w:rPr>
            </w:pPr>
            <w:r w:rsidRPr="00900054">
              <w:rPr>
                <w:rFonts w:ascii="Arial" w:hAnsi="Arial" w:cs="Arial"/>
                <w:sz w:val="22"/>
                <w:szCs w:val="22"/>
              </w:rPr>
              <w:t>Kerrville Public Utility Board</w:t>
            </w:r>
          </w:p>
        </w:tc>
        <w:tc>
          <w:tcPr>
            <w:tcW w:w="2250" w:type="dxa"/>
          </w:tcPr>
          <w:p w14:paraId="12A5688B" w14:textId="6E2DA0D9" w:rsidR="0034014B" w:rsidRPr="00900054" w:rsidRDefault="0034014B" w:rsidP="0034014B">
            <w:pPr>
              <w:spacing w:before="240"/>
              <w:rPr>
                <w:rFonts w:ascii="Arial" w:hAnsi="Arial" w:cs="Arial"/>
                <w:sz w:val="22"/>
                <w:szCs w:val="22"/>
              </w:rPr>
            </w:pPr>
            <w:r w:rsidRPr="00900054">
              <w:rPr>
                <w:rFonts w:ascii="Arial" w:hAnsi="Arial" w:cs="Arial"/>
                <w:sz w:val="22"/>
                <w:szCs w:val="22"/>
              </w:rPr>
              <w:t xml:space="preserve">Municipal </w:t>
            </w:r>
          </w:p>
        </w:tc>
      </w:tr>
      <w:tr w:rsidR="0034014B" w14:paraId="34752691" w14:textId="77777777" w:rsidTr="00014ED0">
        <w:tc>
          <w:tcPr>
            <w:tcW w:w="2160" w:type="dxa"/>
          </w:tcPr>
          <w:p w14:paraId="10156C9F" w14:textId="128A309F" w:rsidR="0034014B" w:rsidRPr="00900054" w:rsidRDefault="0034014B" w:rsidP="0034014B">
            <w:pPr>
              <w:spacing w:before="240"/>
              <w:rPr>
                <w:rFonts w:ascii="Arial" w:hAnsi="Arial" w:cs="Arial"/>
                <w:sz w:val="22"/>
                <w:szCs w:val="22"/>
              </w:rPr>
            </w:pPr>
            <w:r w:rsidRPr="00900054">
              <w:rPr>
                <w:rFonts w:ascii="Arial" w:hAnsi="Arial" w:cs="Arial"/>
                <w:sz w:val="22"/>
                <w:szCs w:val="22"/>
              </w:rPr>
              <w:t>Darrell Cline</w:t>
            </w:r>
          </w:p>
        </w:tc>
        <w:tc>
          <w:tcPr>
            <w:tcW w:w="3510" w:type="dxa"/>
          </w:tcPr>
          <w:p w14:paraId="20F4CBC8" w14:textId="72F4E4ED" w:rsidR="0034014B" w:rsidRPr="00900054" w:rsidRDefault="00000000" w:rsidP="0034014B">
            <w:pPr>
              <w:spacing w:before="240"/>
              <w:rPr>
                <w:rFonts w:ascii="Arial" w:hAnsi="Arial" w:cs="Arial"/>
                <w:sz w:val="22"/>
                <w:szCs w:val="22"/>
              </w:rPr>
            </w:pPr>
            <w:hyperlink r:id="rId32" w:history="1">
              <w:r w:rsidR="0034014B" w:rsidRPr="00900054">
                <w:rPr>
                  <w:rStyle w:val="Hyperlink"/>
                  <w:rFonts w:ascii="Arial" w:hAnsi="Arial" w:cs="Arial"/>
                  <w:sz w:val="22"/>
                  <w:szCs w:val="22"/>
                </w:rPr>
                <w:t>dcline@gpltexas.org</w:t>
              </w:r>
            </w:hyperlink>
          </w:p>
        </w:tc>
        <w:tc>
          <w:tcPr>
            <w:tcW w:w="2700" w:type="dxa"/>
          </w:tcPr>
          <w:p w14:paraId="6A3A7E16" w14:textId="3EE1114B" w:rsidR="0034014B" w:rsidRPr="00900054" w:rsidRDefault="0034014B" w:rsidP="0034014B">
            <w:pPr>
              <w:spacing w:before="240"/>
              <w:rPr>
                <w:rFonts w:ascii="Arial" w:hAnsi="Arial" w:cs="Arial"/>
                <w:sz w:val="22"/>
                <w:szCs w:val="22"/>
              </w:rPr>
            </w:pPr>
            <w:r w:rsidRPr="00900054">
              <w:rPr>
                <w:rFonts w:ascii="Arial" w:hAnsi="Arial" w:cs="Arial"/>
                <w:sz w:val="22"/>
                <w:szCs w:val="22"/>
              </w:rPr>
              <w:t>City of Garland</w:t>
            </w:r>
          </w:p>
        </w:tc>
        <w:tc>
          <w:tcPr>
            <w:tcW w:w="2250" w:type="dxa"/>
          </w:tcPr>
          <w:p w14:paraId="72BF6AE7" w14:textId="67808603" w:rsidR="0034014B" w:rsidRPr="00900054" w:rsidRDefault="0034014B" w:rsidP="0034014B">
            <w:pPr>
              <w:spacing w:before="240"/>
              <w:rPr>
                <w:rFonts w:ascii="Arial" w:hAnsi="Arial" w:cs="Arial"/>
                <w:sz w:val="22"/>
                <w:szCs w:val="22"/>
              </w:rPr>
            </w:pPr>
            <w:r w:rsidRPr="00900054">
              <w:rPr>
                <w:rFonts w:ascii="Arial" w:hAnsi="Arial" w:cs="Arial"/>
                <w:sz w:val="22"/>
                <w:szCs w:val="22"/>
              </w:rPr>
              <w:t xml:space="preserve">Municipal </w:t>
            </w:r>
          </w:p>
        </w:tc>
      </w:tr>
      <w:tr w:rsidR="0034014B" w14:paraId="23E16B5B" w14:textId="77777777" w:rsidTr="00014ED0">
        <w:tc>
          <w:tcPr>
            <w:tcW w:w="2160" w:type="dxa"/>
          </w:tcPr>
          <w:p w14:paraId="00454F54" w14:textId="4A17D104" w:rsidR="0034014B" w:rsidRPr="00900054" w:rsidRDefault="0034014B" w:rsidP="0034014B">
            <w:pPr>
              <w:spacing w:before="240"/>
              <w:rPr>
                <w:rFonts w:ascii="Arial" w:hAnsi="Arial" w:cs="Arial"/>
                <w:sz w:val="22"/>
                <w:szCs w:val="22"/>
              </w:rPr>
            </w:pPr>
            <w:r w:rsidRPr="00900054">
              <w:rPr>
                <w:rFonts w:ascii="Arial" w:hAnsi="Arial" w:cs="Arial"/>
                <w:sz w:val="22"/>
                <w:szCs w:val="22"/>
              </w:rPr>
              <w:t>Chris Hendrix</w:t>
            </w:r>
          </w:p>
        </w:tc>
        <w:tc>
          <w:tcPr>
            <w:tcW w:w="3510" w:type="dxa"/>
          </w:tcPr>
          <w:p w14:paraId="7E0105FB" w14:textId="37FF3BFA" w:rsidR="0034014B" w:rsidRPr="00900054" w:rsidRDefault="00000000" w:rsidP="0034014B">
            <w:pPr>
              <w:spacing w:before="240"/>
              <w:rPr>
                <w:rFonts w:ascii="Arial" w:hAnsi="Arial" w:cs="Arial"/>
                <w:sz w:val="22"/>
                <w:szCs w:val="22"/>
              </w:rPr>
            </w:pPr>
            <w:hyperlink r:id="rId33" w:history="1">
              <w:r w:rsidR="0034014B" w:rsidRPr="00900054">
                <w:rPr>
                  <w:rStyle w:val="Hyperlink"/>
                  <w:rFonts w:ascii="Arial" w:hAnsi="Arial" w:cs="Arial"/>
                  <w:sz w:val="22"/>
                  <w:szCs w:val="22"/>
                </w:rPr>
                <w:t>chendrix@demandcontrol2.com</w:t>
              </w:r>
            </w:hyperlink>
          </w:p>
        </w:tc>
        <w:tc>
          <w:tcPr>
            <w:tcW w:w="2700" w:type="dxa"/>
          </w:tcPr>
          <w:p w14:paraId="084F5E6E" w14:textId="5B61443C" w:rsidR="0034014B" w:rsidRPr="00900054" w:rsidRDefault="0034014B" w:rsidP="0034014B">
            <w:pPr>
              <w:spacing w:before="240"/>
              <w:rPr>
                <w:rFonts w:ascii="Arial" w:hAnsi="Arial" w:cs="Arial"/>
                <w:sz w:val="22"/>
                <w:szCs w:val="22"/>
              </w:rPr>
            </w:pPr>
            <w:r w:rsidRPr="00900054">
              <w:rPr>
                <w:rFonts w:ascii="Arial" w:hAnsi="Arial" w:cs="Arial"/>
                <w:sz w:val="22"/>
                <w:szCs w:val="22"/>
              </w:rPr>
              <w:t>Demand Control 2, LLC</w:t>
            </w:r>
          </w:p>
        </w:tc>
        <w:tc>
          <w:tcPr>
            <w:tcW w:w="2250" w:type="dxa"/>
          </w:tcPr>
          <w:p w14:paraId="0D201C11" w14:textId="48A2118F"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Retail Electric Provider</w:t>
            </w:r>
          </w:p>
        </w:tc>
      </w:tr>
      <w:tr w:rsidR="0034014B" w14:paraId="39033B6B" w14:textId="77777777" w:rsidTr="00014ED0">
        <w:tc>
          <w:tcPr>
            <w:tcW w:w="2160" w:type="dxa"/>
          </w:tcPr>
          <w:p w14:paraId="54C69808" w14:textId="2248C9AD" w:rsidR="0034014B" w:rsidRPr="00900054" w:rsidRDefault="0034014B" w:rsidP="0034014B">
            <w:pPr>
              <w:spacing w:before="240"/>
              <w:rPr>
                <w:rFonts w:ascii="Arial" w:hAnsi="Arial" w:cs="Arial"/>
                <w:sz w:val="22"/>
                <w:szCs w:val="22"/>
              </w:rPr>
            </w:pPr>
            <w:r w:rsidRPr="00900054">
              <w:rPr>
                <w:rFonts w:ascii="Arial" w:hAnsi="Arial" w:cs="Arial"/>
                <w:sz w:val="22"/>
                <w:szCs w:val="22"/>
              </w:rPr>
              <w:t>Stephanie Smith</w:t>
            </w:r>
          </w:p>
        </w:tc>
        <w:tc>
          <w:tcPr>
            <w:tcW w:w="3510" w:type="dxa"/>
          </w:tcPr>
          <w:p w14:paraId="61C3444B" w14:textId="55ACC49B" w:rsidR="0034014B" w:rsidRPr="00900054" w:rsidRDefault="00000000" w:rsidP="0034014B">
            <w:pPr>
              <w:spacing w:before="240"/>
              <w:rPr>
                <w:rFonts w:ascii="Arial" w:hAnsi="Arial" w:cs="Arial"/>
                <w:sz w:val="22"/>
                <w:szCs w:val="22"/>
              </w:rPr>
            </w:pPr>
            <w:hyperlink r:id="rId34" w:history="1">
              <w:r w:rsidR="0034014B" w:rsidRPr="00900054">
                <w:rPr>
                  <w:rStyle w:val="Hyperlink"/>
                  <w:rFonts w:ascii="Arial" w:hAnsi="Arial" w:cs="Arial"/>
                  <w:sz w:val="22"/>
                  <w:szCs w:val="22"/>
                </w:rPr>
                <w:t>ssmith@eolianenergy.com</w:t>
              </w:r>
            </w:hyperlink>
          </w:p>
        </w:tc>
        <w:tc>
          <w:tcPr>
            <w:tcW w:w="2700" w:type="dxa"/>
          </w:tcPr>
          <w:p w14:paraId="1B1FE5D6" w14:textId="3D839168" w:rsidR="0034014B" w:rsidRPr="00900054" w:rsidRDefault="0034014B" w:rsidP="0034014B">
            <w:pPr>
              <w:spacing w:before="240"/>
              <w:rPr>
                <w:rFonts w:ascii="Arial" w:hAnsi="Arial" w:cs="Arial"/>
                <w:sz w:val="22"/>
                <w:szCs w:val="22"/>
              </w:rPr>
            </w:pPr>
            <w:r w:rsidRPr="00900054">
              <w:rPr>
                <w:rFonts w:ascii="Arial" w:hAnsi="Arial" w:cs="Arial"/>
                <w:sz w:val="22"/>
                <w:szCs w:val="22"/>
              </w:rPr>
              <w:t>Eolian, L.P.</w:t>
            </w:r>
          </w:p>
        </w:tc>
        <w:tc>
          <w:tcPr>
            <w:tcW w:w="2250" w:type="dxa"/>
          </w:tcPr>
          <w:p w14:paraId="5655EA1D" w14:textId="0C886714"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Generator</w:t>
            </w:r>
          </w:p>
        </w:tc>
      </w:tr>
      <w:tr w:rsidR="0034014B" w14:paraId="7E0FDB64" w14:textId="77777777" w:rsidTr="00014ED0">
        <w:tc>
          <w:tcPr>
            <w:tcW w:w="2160" w:type="dxa"/>
          </w:tcPr>
          <w:p w14:paraId="0AA9E121" w14:textId="52B6EF76" w:rsidR="0034014B" w:rsidRPr="00900054" w:rsidRDefault="0034014B" w:rsidP="0034014B">
            <w:pPr>
              <w:spacing w:before="240"/>
              <w:rPr>
                <w:rFonts w:ascii="Arial" w:hAnsi="Arial" w:cs="Arial"/>
                <w:sz w:val="22"/>
                <w:szCs w:val="22"/>
              </w:rPr>
            </w:pPr>
            <w:r w:rsidRPr="00900054">
              <w:rPr>
                <w:rFonts w:ascii="Arial" w:hAnsi="Arial" w:cs="Arial"/>
                <w:sz w:val="22"/>
                <w:szCs w:val="22"/>
              </w:rPr>
              <w:t>Antonio Puente</w:t>
            </w:r>
          </w:p>
        </w:tc>
        <w:tc>
          <w:tcPr>
            <w:tcW w:w="3510" w:type="dxa"/>
          </w:tcPr>
          <w:p w14:paraId="322E5700" w14:textId="5FFF3F87" w:rsidR="0034014B" w:rsidRPr="00900054" w:rsidRDefault="00000000" w:rsidP="0034014B">
            <w:pPr>
              <w:spacing w:before="240"/>
              <w:rPr>
                <w:rFonts w:ascii="Arial" w:hAnsi="Arial" w:cs="Arial"/>
                <w:sz w:val="22"/>
                <w:szCs w:val="22"/>
              </w:rPr>
            </w:pPr>
            <w:hyperlink r:id="rId35" w:history="1">
              <w:r w:rsidR="0034014B" w:rsidRPr="00900054">
                <w:rPr>
                  <w:rStyle w:val="Hyperlink"/>
                  <w:rFonts w:ascii="Arial" w:hAnsi="Arial" w:cs="Arial"/>
                  <w:sz w:val="22"/>
                  <w:szCs w:val="22"/>
                </w:rPr>
                <w:t>anotnio.puente@cityofdenton.com</w:t>
              </w:r>
            </w:hyperlink>
          </w:p>
        </w:tc>
        <w:tc>
          <w:tcPr>
            <w:tcW w:w="2700" w:type="dxa"/>
          </w:tcPr>
          <w:p w14:paraId="36CC74B1" w14:textId="7B6E13ED" w:rsidR="0034014B" w:rsidRPr="00900054" w:rsidRDefault="0034014B" w:rsidP="0034014B">
            <w:pPr>
              <w:spacing w:before="240"/>
              <w:rPr>
                <w:rFonts w:ascii="Arial" w:hAnsi="Arial" w:cs="Arial"/>
                <w:sz w:val="22"/>
                <w:szCs w:val="22"/>
              </w:rPr>
            </w:pPr>
            <w:r w:rsidRPr="00900054">
              <w:rPr>
                <w:rFonts w:ascii="Arial" w:hAnsi="Arial" w:cs="Arial"/>
                <w:sz w:val="22"/>
                <w:szCs w:val="22"/>
              </w:rPr>
              <w:t>Denton Municipal Electric</w:t>
            </w:r>
          </w:p>
        </w:tc>
        <w:tc>
          <w:tcPr>
            <w:tcW w:w="2250" w:type="dxa"/>
          </w:tcPr>
          <w:p w14:paraId="517B30E6" w14:textId="67E732B8" w:rsidR="0034014B" w:rsidRPr="00900054" w:rsidRDefault="0034014B" w:rsidP="0034014B">
            <w:pPr>
              <w:spacing w:before="240"/>
              <w:rPr>
                <w:rFonts w:ascii="Arial" w:hAnsi="Arial" w:cs="Arial"/>
                <w:sz w:val="22"/>
                <w:szCs w:val="22"/>
              </w:rPr>
            </w:pPr>
            <w:r w:rsidRPr="00900054">
              <w:rPr>
                <w:rFonts w:ascii="Arial" w:hAnsi="Arial" w:cs="Arial"/>
                <w:sz w:val="22"/>
                <w:szCs w:val="22"/>
              </w:rPr>
              <w:t xml:space="preserve">Municipal </w:t>
            </w:r>
          </w:p>
        </w:tc>
      </w:tr>
      <w:tr w:rsidR="0034014B" w14:paraId="43F48A50" w14:textId="77777777" w:rsidTr="00014ED0">
        <w:tc>
          <w:tcPr>
            <w:tcW w:w="2160" w:type="dxa"/>
          </w:tcPr>
          <w:p w14:paraId="0FB90548" w14:textId="4FA3737E" w:rsidR="0034014B" w:rsidRPr="00900054" w:rsidRDefault="0034014B" w:rsidP="0034014B">
            <w:pPr>
              <w:spacing w:before="240"/>
              <w:rPr>
                <w:rFonts w:ascii="Arial" w:hAnsi="Arial" w:cs="Arial"/>
                <w:sz w:val="22"/>
                <w:szCs w:val="22"/>
              </w:rPr>
            </w:pPr>
            <w:r w:rsidRPr="00900054">
              <w:rPr>
                <w:rFonts w:ascii="Arial" w:hAnsi="Arial" w:cs="Arial"/>
                <w:sz w:val="22"/>
                <w:szCs w:val="22"/>
              </w:rPr>
              <w:t>Don Whaley</w:t>
            </w:r>
          </w:p>
        </w:tc>
        <w:tc>
          <w:tcPr>
            <w:tcW w:w="3510" w:type="dxa"/>
          </w:tcPr>
          <w:p w14:paraId="480C4D48" w14:textId="5E351A59" w:rsidR="0034014B" w:rsidRPr="00900054" w:rsidRDefault="00000000" w:rsidP="0034014B">
            <w:pPr>
              <w:spacing w:before="240"/>
              <w:rPr>
                <w:rFonts w:ascii="Arial" w:hAnsi="Arial" w:cs="Arial"/>
                <w:sz w:val="22"/>
                <w:szCs w:val="22"/>
              </w:rPr>
            </w:pPr>
            <w:hyperlink r:id="rId36" w:history="1">
              <w:r w:rsidR="0034014B" w:rsidRPr="00900054">
                <w:rPr>
                  <w:rStyle w:val="Hyperlink"/>
                  <w:rFonts w:ascii="Arial" w:hAnsi="Arial" w:cs="Arial"/>
                  <w:sz w:val="22"/>
                  <w:szCs w:val="22"/>
                </w:rPr>
                <w:t>Don@ohmconnect.com</w:t>
              </w:r>
            </w:hyperlink>
          </w:p>
        </w:tc>
        <w:tc>
          <w:tcPr>
            <w:tcW w:w="2700" w:type="dxa"/>
          </w:tcPr>
          <w:p w14:paraId="1AFDB0DB" w14:textId="48FF606F" w:rsidR="0034014B" w:rsidRPr="00900054" w:rsidRDefault="0034014B" w:rsidP="0034014B">
            <w:pPr>
              <w:spacing w:before="240"/>
              <w:rPr>
                <w:rFonts w:ascii="Arial" w:hAnsi="Arial" w:cs="Arial"/>
                <w:sz w:val="22"/>
                <w:szCs w:val="22"/>
              </w:rPr>
            </w:pPr>
            <w:r w:rsidRPr="00900054">
              <w:rPr>
                <w:rFonts w:ascii="Arial" w:hAnsi="Arial" w:cs="Arial"/>
                <w:sz w:val="22"/>
                <w:szCs w:val="22"/>
              </w:rPr>
              <w:t>OhmConnect Texas LLC</w:t>
            </w:r>
          </w:p>
        </w:tc>
        <w:tc>
          <w:tcPr>
            <w:tcW w:w="2250" w:type="dxa"/>
          </w:tcPr>
          <w:p w14:paraId="0801B11E" w14:textId="2B91AF7C" w:rsidR="0034014B" w:rsidRPr="00900054" w:rsidRDefault="0034014B" w:rsidP="0034014B">
            <w:pPr>
              <w:spacing w:before="240"/>
              <w:rPr>
                <w:rFonts w:ascii="Arial" w:hAnsi="Arial" w:cs="Arial"/>
                <w:sz w:val="22"/>
                <w:szCs w:val="22"/>
              </w:rPr>
            </w:pPr>
            <w:r w:rsidRPr="00900054">
              <w:rPr>
                <w:rFonts w:ascii="Arial" w:hAnsi="Arial" w:cs="Arial"/>
                <w:sz w:val="22"/>
                <w:szCs w:val="22"/>
              </w:rPr>
              <w:t xml:space="preserve">Independent Retail Electric Provider </w:t>
            </w:r>
          </w:p>
        </w:tc>
      </w:tr>
      <w:tr w:rsidR="0034014B" w14:paraId="7CEECBC9" w14:textId="77777777" w:rsidTr="00014ED0">
        <w:tc>
          <w:tcPr>
            <w:tcW w:w="2160" w:type="dxa"/>
          </w:tcPr>
          <w:p w14:paraId="0C8B9679" w14:textId="2D13C26A" w:rsidR="0034014B" w:rsidRPr="00900054" w:rsidRDefault="0034014B" w:rsidP="0034014B">
            <w:pPr>
              <w:spacing w:before="240"/>
              <w:rPr>
                <w:rFonts w:ascii="Arial" w:hAnsi="Arial" w:cs="Arial"/>
                <w:sz w:val="22"/>
                <w:szCs w:val="22"/>
              </w:rPr>
            </w:pPr>
            <w:r w:rsidRPr="00900054">
              <w:rPr>
                <w:rFonts w:ascii="Arial" w:hAnsi="Arial" w:cs="Arial"/>
                <w:sz w:val="22"/>
                <w:szCs w:val="22"/>
              </w:rPr>
              <w:t>Jay Harpole</w:t>
            </w:r>
          </w:p>
        </w:tc>
        <w:tc>
          <w:tcPr>
            <w:tcW w:w="3510" w:type="dxa"/>
          </w:tcPr>
          <w:p w14:paraId="62184C03" w14:textId="3640AF49" w:rsidR="0034014B" w:rsidRPr="00900054" w:rsidRDefault="00000000" w:rsidP="0034014B">
            <w:pPr>
              <w:spacing w:before="240"/>
              <w:rPr>
                <w:rFonts w:ascii="Arial" w:hAnsi="Arial" w:cs="Arial"/>
                <w:sz w:val="22"/>
                <w:szCs w:val="22"/>
              </w:rPr>
            </w:pPr>
            <w:hyperlink r:id="rId37" w:history="1">
              <w:r w:rsidR="0034014B" w:rsidRPr="00900054">
                <w:rPr>
                  <w:rStyle w:val="Hyperlink"/>
                  <w:rFonts w:ascii="Arial" w:hAnsi="Arial" w:cs="Arial"/>
                  <w:sz w:val="22"/>
                  <w:szCs w:val="22"/>
                </w:rPr>
                <w:t>jharpole@apge.com</w:t>
              </w:r>
            </w:hyperlink>
          </w:p>
        </w:tc>
        <w:tc>
          <w:tcPr>
            <w:tcW w:w="2700" w:type="dxa"/>
          </w:tcPr>
          <w:p w14:paraId="592907CC" w14:textId="08236D8D" w:rsidR="0034014B" w:rsidRPr="00900054" w:rsidRDefault="0034014B" w:rsidP="0034014B">
            <w:pPr>
              <w:spacing w:before="240"/>
              <w:rPr>
                <w:rFonts w:ascii="Arial" w:hAnsi="Arial" w:cs="Arial"/>
                <w:sz w:val="22"/>
                <w:szCs w:val="22"/>
              </w:rPr>
            </w:pPr>
            <w:r w:rsidRPr="00900054">
              <w:rPr>
                <w:rFonts w:ascii="Arial" w:hAnsi="Arial" w:cs="Arial"/>
                <w:sz w:val="22"/>
                <w:szCs w:val="22"/>
              </w:rPr>
              <w:t>AP Gas &amp; Electric (TX) LLC dba APG&amp;E</w:t>
            </w:r>
          </w:p>
        </w:tc>
        <w:tc>
          <w:tcPr>
            <w:tcW w:w="2250" w:type="dxa"/>
          </w:tcPr>
          <w:p w14:paraId="73CF90B1" w14:textId="0F05FE71"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Retail Electric Provider</w:t>
            </w:r>
          </w:p>
        </w:tc>
      </w:tr>
      <w:tr w:rsidR="0034014B" w14:paraId="6E28CA94" w14:textId="77777777" w:rsidTr="00014ED0">
        <w:tc>
          <w:tcPr>
            <w:tcW w:w="2160" w:type="dxa"/>
          </w:tcPr>
          <w:p w14:paraId="45F62D1A" w14:textId="6E0AEA36" w:rsidR="0034014B" w:rsidRPr="00900054" w:rsidRDefault="0034014B" w:rsidP="0034014B">
            <w:pPr>
              <w:spacing w:before="240"/>
              <w:rPr>
                <w:rFonts w:ascii="Arial" w:hAnsi="Arial" w:cs="Arial"/>
                <w:sz w:val="22"/>
                <w:szCs w:val="22"/>
              </w:rPr>
            </w:pPr>
            <w:r w:rsidRPr="00900054">
              <w:rPr>
                <w:rFonts w:ascii="Arial" w:hAnsi="Arial" w:cs="Arial"/>
                <w:sz w:val="22"/>
                <w:szCs w:val="22"/>
              </w:rPr>
              <w:t>Resmi Surendran</w:t>
            </w:r>
          </w:p>
        </w:tc>
        <w:tc>
          <w:tcPr>
            <w:tcW w:w="3510" w:type="dxa"/>
          </w:tcPr>
          <w:p w14:paraId="102D1AFC" w14:textId="4D3886DD" w:rsidR="0034014B" w:rsidRPr="00900054" w:rsidRDefault="00000000" w:rsidP="0034014B">
            <w:pPr>
              <w:spacing w:before="240"/>
              <w:rPr>
                <w:rFonts w:ascii="Arial" w:hAnsi="Arial" w:cs="Arial"/>
                <w:sz w:val="22"/>
                <w:szCs w:val="22"/>
              </w:rPr>
            </w:pPr>
            <w:hyperlink r:id="rId38" w:history="1">
              <w:r w:rsidR="00F400FE" w:rsidRPr="00900054">
                <w:rPr>
                  <w:rStyle w:val="Hyperlink"/>
                  <w:rFonts w:ascii="Arial" w:hAnsi="Arial" w:cs="Arial"/>
                  <w:sz w:val="22"/>
                  <w:szCs w:val="22"/>
                </w:rPr>
                <w:t>Resmi.surendran@shell.com</w:t>
              </w:r>
            </w:hyperlink>
          </w:p>
        </w:tc>
        <w:tc>
          <w:tcPr>
            <w:tcW w:w="2700" w:type="dxa"/>
          </w:tcPr>
          <w:p w14:paraId="2D70F589" w14:textId="522E6AED" w:rsidR="0034014B" w:rsidRPr="00900054" w:rsidRDefault="0034014B" w:rsidP="0034014B">
            <w:pPr>
              <w:spacing w:before="240"/>
              <w:rPr>
                <w:rFonts w:ascii="Arial" w:hAnsi="Arial" w:cs="Arial"/>
                <w:sz w:val="22"/>
                <w:szCs w:val="22"/>
              </w:rPr>
            </w:pPr>
            <w:r w:rsidRPr="00900054">
              <w:rPr>
                <w:rFonts w:ascii="Arial" w:hAnsi="Arial" w:cs="Arial"/>
                <w:sz w:val="22"/>
                <w:szCs w:val="22"/>
              </w:rPr>
              <w:t>Shell Energy North America (US) LP</w:t>
            </w:r>
          </w:p>
        </w:tc>
        <w:tc>
          <w:tcPr>
            <w:tcW w:w="2250" w:type="dxa"/>
          </w:tcPr>
          <w:p w14:paraId="48EE0453" w14:textId="73FEF915"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Power Marketer</w:t>
            </w:r>
          </w:p>
        </w:tc>
      </w:tr>
      <w:tr w:rsidR="0034014B" w14:paraId="4C2BEE72" w14:textId="77777777" w:rsidTr="00014ED0">
        <w:tc>
          <w:tcPr>
            <w:tcW w:w="2160" w:type="dxa"/>
          </w:tcPr>
          <w:p w14:paraId="6855D5FB" w14:textId="1EF51AA4" w:rsidR="0034014B" w:rsidRPr="00900054" w:rsidRDefault="0034014B" w:rsidP="0034014B">
            <w:pPr>
              <w:spacing w:before="240"/>
              <w:rPr>
                <w:rFonts w:ascii="Arial" w:hAnsi="Arial" w:cs="Arial"/>
                <w:sz w:val="22"/>
                <w:szCs w:val="22"/>
              </w:rPr>
            </w:pPr>
            <w:r w:rsidRPr="00900054">
              <w:rPr>
                <w:rFonts w:ascii="Arial" w:hAnsi="Arial" w:cs="Arial"/>
                <w:sz w:val="22"/>
                <w:szCs w:val="22"/>
              </w:rPr>
              <w:t>Danny Musher</w:t>
            </w:r>
          </w:p>
        </w:tc>
        <w:tc>
          <w:tcPr>
            <w:tcW w:w="3510" w:type="dxa"/>
          </w:tcPr>
          <w:p w14:paraId="3FFEF46C" w14:textId="6344C049" w:rsidR="0034014B" w:rsidRPr="00900054" w:rsidRDefault="00000000" w:rsidP="0034014B">
            <w:pPr>
              <w:spacing w:before="240"/>
              <w:rPr>
                <w:rFonts w:ascii="Arial" w:hAnsi="Arial" w:cs="Arial"/>
                <w:sz w:val="22"/>
                <w:szCs w:val="22"/>
              </w:rPr>
            </w:pPr>
            <w:hyperlink r:id="rId39" w:history="1">
              <w:r w:rsidR="0034014B" w:rsidRPr="00900054">
                <w:rPr>
                  <w:rStyle w:val="Hyperlink"/>
                  <w:rFonts w:ascii="Arial" w:hAnsi="Arial" w:cs="Arial"/>
                  <w:sz w:val="22"/>
                  <w:szCs w:val="22"/>
                </w:rPr>
                <w:t>Danny.musher@keycaptureenergy.com</w:t>
              </w:r>
            </w:hyperlink>
          </w:p>
        </w:tc>
        <w:tc>
          <w:tcPr>
            <w:tcW w:w="2700" w:type="dxa"/>
          </w:tcPr>
          <w:p w14:paraId="32F39ED7" w14:textId="59C8E27C" w:rsidR="0034014B" w:rsidRPr="00900054" w:rsidRDefault="0034014B" w:rsidP="0034014B">
            <w:pPr>
              <w:spacing w:before="240"/>
              <w:rPr>
                <w:rFonts w:ascii="Arial" w:hAnsi="Arial" w:cs="Arial"/>
                <w:sz w:val="22"/>
                <w:szCs w:val="22"/>
              </w:rPr>
            </w:pPr>
            <w:r w:rsidRPr="00900054">
              <w:rPr>
                <w:rFonts w:ascii="Arial" w:hAnsi="Arial" w:cs="Arial"/>
                <w:sz w:val="22"/>
                <w:szCs w:val="22"/>
              </w:rPr>
              <w:t>Key Capture Energy LLC</w:t>
            </w:r>
          </w:p>
        </w:tc>
        <w:tc>
          <w:tcPr>
            <w:tcW w:w="2250" w:type="dxa"/>
          </w:tcPr>
          <w:p w14:paraId="65D8E090" w14:textId="17A69823"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Generator</w:t>
            </w:r>
          </w:p>
        </w:tc>
      </w:tr>
      <w:tr w:rsidR="0034014B" w14:paraId="14919E36" w14:textId="77777777" w:rsidTr="00014ED0">
        <w:tc>
          <w:tcPr>
            <w:tcW w:w="2160" w:type="dxa"/>
          </w:tcPr>
          <w:p w14:paraId="577BD12C" w14:textId="316F299A" w:rsidR="0034014B" w:rsidRPr="00900054" w:rsidRDefault="0034014B" w:rsidP="0034014B">
            <w:pPr>
              <w:spacing w:before="240"/>
              <w:rPr>
                <w:rFonts w:ascii="Arial" w:hAnsi="Arial" w:cs="Arial"/>
                <w:sz w:val="22"/>
                <w:szCs w:val="22"/>
              </w:rPr>
            </w:pPr>
            <w:r w:rsidRPr="00900054">
              <w:rPr>
                <w:rFonts w:ascii="Arial" w:hAnsi="Arial" w:cs="Arial"/>
                <w:sz w:val="22"/>
                <w:szCs w:val="22"/>
              </w:rPr>
              <w:t xml:space="preserve">Mark Stover </w:t>
            </w:r>
          </w:p>
        </w:tc>
        <w:tc>
          <w:tcPr>
            <w:tcW w:w="3510" w:type="dxa"/>
          </w:tcPr>
          <w:p w14:paraId="4414638B" w14:textId="5F9199F1" w:rsidR="0034014B" w:rsidRPr="00900054" w:rsidRDefault="00000000" w:rsidP="0034014B">
            <w:pPr>
              <w:spacing w:before="240"/>
              <w:rPr>
                <w:rFonts w:ascii="Arial" w:hAnsi="Arial" w:cs="Arial"/>
                <w:sz w:val="22"/>
                <w:szCs w:val="22"/>
              </w:rPr>
            </w:pPr>
            <w:hyperlink r:id="rId40" w:history="1">
              <w:r w:rsidR="0034014B" w:rsidRPr="00900054">
                <w:rPr>
                  <w:rStyle w:val="Hyperlink"/>
                  <w:rFonts w:ascii="Arial" w:hAnsi="Arial" w:cs="Arial"/>
                  <w:sz w:val="22"/>
                  <w:szCs w:val="22"/>
                </w:rPr>
                <w:t>Mark.stover@apexcleanenergy.com</w:t>
              </w:r>
            </w:hyperlink>
          </w:p>
        </w:tc>
        <w:tc>
          <w:tcPr>
            <w:tcW w:w="2700" w:type="dxa"/>
          </w:tcPr>
          <w:p w14:paraId="5D3BAE2D" w14:textId="0AA58777" w:rsidR="0034014B" w:rsidRPr="00900054" w:rsidRDefault="0034014B" w:rsidP="0034014B">
            <w:pPr>
              <w:spacing w:before="240"/>
              <w:rPr>
                <w:rFonts w:ascii="Arial" w:hAnsi="Arial" w:cs="Arial"/>
                <w:sz w:val="22"/>
                <w:szCs w:val="22"/>
              </w:rPr>
            </w:pPr>
            <w:r w:rsidRPr="00900054">
              <w:rPr>
                <w:rFonts w:ascii="Arial" w:hAnsi="Arial" w:cs="Arial"/>
                <w:sz w:val="22"/>
                <w:szCs w:val="22"/>
              </w:rPr>
              <w:t>Apex Clean Energy Holdings</w:t>
            </w:r>
          </w:p>
        </w:tc>
        <w:tc>
          <w:tcPr>
            <w:tcW w:w="2250" w:type="dxa"/>
          </w:tcPr>
          <w:p w14:paraId="7058AA7E" w14:textId="6D2733C7" w:rsidR="0034014B" w:rsidRPr="00900054" w:rsidRDefault="0034014B" w:rsidP="0034014B">
            <w:pPr>
              <w:spacing w:before="240"/>
              <w:rPr>
                <w:rFonts w:ascii="Arial" w:hAnsi="Arial" w:cs="Arial"/>
                <w:sz w:val="22"/>
                <w:szCs w:val="22"/>
              </w:rPr>
            </w:pPr>
            <w:r w:rsidRPr="00900054">
              <w:rPr>
                <w:rFonts w:ascii="Arial" w:hAnsi="Arial" w:cs="Arial"/>
                <w:sz w:val="22"/>
                <w:szCs w:val="22"/>
              </w:rPr>
              <w:t>Independent Generator</w:t>
            </w:r>
          </w:p>
        </w:tc>
      </w:tr>
      <w:tr w:rsidR="00014ED0" w14:paraId="7A570214" w14:textId="77777777" w:rsidTr="00014ED0">
        <w:tc>
          <w:tcPr>
            <w:tcW w:w="2160" w:type="dxa"/>
          </w:tcPr>
          <w:p w14:paraId="6443F6B0" w14:textId="4DECE781" w:rsidR="00014ED0" w:rsidRPr="00900054" w:rsidRDefault="00014ED0" w:rsidP="0034014B">
            <w:pPr>
              <w:spacing w:before="240"/>
              <w:rPr>
                <w:rFonts w:ascii="Arial" w:hAnsi="Arial" w:cs="Arial"/>
                <w:sz w:val="22"/>
                <w:szCs w:val="22"/>
              </w:rPr>
            </w:pPr>
            <w:r w:rsidRPr="00900054">
              <w:rPr>
                <w:rFonts w:ascii="Arial" w:hAnsi="Arial" w:cs="Arial"/>
                <w:sz w:val="22"/>
                <w:szCs w:val="22"/>
              </w:rPr>
              <w:t>Sergio Gonsales</w:t>
            </w:r>
          </w:p>
        </w:tc>
        <w:tc>
          <w:tcPr>
            <w:tcW w:w="3510" w:type="dxa"/>
          </w:tcPr>
          <w:p w14:paraId="1E5BB826" w14:textId="1758F3EC" w:rsidR="00014ED0" w:rsidRPr="00900054" w:rsidRDefault="00000000" w:rsidP="0034014B">
            <w:pPr>
              <w:spacing w:before="240"/>
              <w:rPr>
                <w:rFonts w:ascii="Arial" w:hAnsi="Arial" w:cs="Arial"/>
                <w:sz w:val="22"/>
                <w:szCs w:val="22"/>
              </w:rPr>
            </w:pPr>
            <w:hyperlink r:id="rId41" w:history="1">
              <w:r w:rsidR="00014ED0" w:rsidRPr="00900054">
                <w:rPr>
                  <w:rStyle w:val="Hyperlink"/>
                  <w:rFonts w:ascii="Arial" w:hAnsi="Arial" w:cs="Arial"/>
                  <w:sz w:val="22"/>
                  <w:szCs w:val="22"/>
                </w:rPr>
                <w:t>Sergio.gonsales@aes.com</w:t>
              </w:r>
            </w:hyperlink>
          </w:p>
        </w:tc>
        <w:tc>
          <w:tcPr>
            <w:tcW w:w="2700" w:type="dxa"/>
          </w:tcPr>
          <w:p w14:paraId="3FB44719" w14:textId="0DA4A150" w:rsidR="00014ED0" w:rsidRPr="00900054" w:rsidRDefault="00014ED0" w:rsidP="0034014B">
            <w:pPr>
              <w:spacing w:before="240"/>
              <w:rPr>
                <w:rFonts w:ascii="Arial" w:hAnsi="Arial" w:cs="Arial"/>
                <w:sz w:val="22"/>
                <w:szCs w:val="22"/>
              </w:rPr>
            </w:pPr>
            <w:r w:rsidRPr="00900054">
              <w:rPr>
                <w:rFonts w:ascii="Arial" w:hAnsi="Arial" w:cs="Arial"/>
                <w:sz w:val="22"/>
                <w:szCs w:val="22"/>
              </w:rPr>
              <w:t>Buffalo Gap Wind, LLC</w:t>
            </w:r>
          </w:p>
        </w:tc>
        <w:tc>
          <w:tcPr>
            <w:tcW w:w="2250" w:type="dxa"/>
          </w:tcPr>
          <w:p w14:paraId="021853E4" w14:textId="1C823C40" w:rsidR="00014ED0" w:rsidRPr="00900054" w:rsidRDefault="00014ED0" w:rsidP="0034014B">
            <w:pPr>
              <w:spacing w:before="240"/>
              <w:rPr>
                <w:rFonts w:ascii="Arial" w:hAnsi="Arial" w:cs="Arial"/>
                <w:sz w:val="22"/>
                <w:szCs w:val="22"/>
              </w:rPr>
            </w:pPr>
            <w:r w:rsidRPr="00900054">
              <w:rPr>
                <w:rFonts w:ascii="Arial" w:hAnsi="Arial" w:cs="Arial"/>
                <w:sz w:val="22"/>
                <w:szCs w:val="22"/>
              </w:rPr>
              <w:t xml:space="preserve">Independent Generator </w:t>
            </w:r>
          </w:p>
        </w:tc>
      </w:tr>
      <w:tr w:rsidR="0091385E" w14:paraId="6827DEDE" w14:textId="77777777" w:rsidTr="00014ED0">
        <w:tc>
          <w:tcPr>
            <w:tcW w:w="2160" w:type="dxa"/>
          </w:tcPr>
          <w:p w14:paraId="048B1B25" w14:textId="28256002" w:rsidR="0091385E" w:rsidRPr="00900054" w:rsidRDefault="0091385E" w:rsidP="0034014B">
            <w:pPr>
              <w:spacing w:before="240"/>
              <w:rPr>
                <w:rFonts w:ascii="Arial" w:hAnsi="Arial" w:cs="Arial"/>
                <w:sz w:val="22"/>
                <w:szCs w:val="22"/>
              </w:rPr>
            </w:pPr>
            <w:r w:rsidRPr="00900054">
              <w:rPr>
                <w:rFonts w:ascii="Arial" w:hAnsi="Arial" w:cs="Arial"/>
                <w:sz w:val="22"/>
                <w:szCs w:val="22"/>
              </w:rPr>
              <w:t xml:space="preserve">Todd Jonas </w:t>
            </w:r>
          </w:p>
        </w:tc>
        <w:tc>
          <w:tcPr>
            <w:tcW w:w="3510" w:type="dxa"/>
          </w:tcPr>
          <w:p w14:paraId="679D1003" w14:textId="2EEB04AB" w:rsidR="0091385E" w:rsidRPr="00900054" w:rsidRDefault="0091385E" w:rsidP="0034014B">
            <w:pPr>
              <w:spacing w:before="240"/>
              <w:rPr>
                <w:rFonts w:ascii="Arial" w:hAnsi="Arial" w:cs="Arial"/>
                <w:sz w:val="22"/>
                <w:szCs w:val="22"/>
              </w:rPr>
            </w:pPr>
            <w:hyperlink r:id="rId42" w:history="1">
              <w:r w:rsidRPr="00900054">
                <w:rPr>
                  <w:rStyle w:val="Hyperlink"/>
                  <w:rFonts w:ascii="Arial" w:hAnsi="Arial" w:cs="Arial"/>
                  <w:sz w:val="22"/>
                  <w:szCs w:val="22"/>
                </w:rPr>
                <w:t>tjonas@tenaska.com</w:t>
              </w:r>
            </w:hyperlink>
          </w:p>
        </w:tc>
        <w:tc>
          <w:tcPr>
            <w:tcW w:w="2700" w:type="dxa"/>
          </w:tcPr>
          <w:p w14:paraId="0F7C3E6D" w14:textId="190FFA5D" w:rsidR="0091385E" w:rsidRPr="00900054" w:rsidRDefault="0091385E" w:rsidP="0034014B">
            <w:pPr>
              <w:spacing w:before="240"/>
              <w:rPr>
                <w:rFonts w:ascii="Arial" w:hAnsi="Arial" w:cs="Arial"/>
                <w:sz w:val="22"/>
                <w:szCs w:val="22"/>
              </w:rPr>
            </w:pPr>
            <w:r w:rsidRPr="00900054">
              <w:rPr>
                <w:rFonts w:ascii="Arial" w:hAnsi="Arial" w:cs="Arial"/>
                <w:sz w:val="22"/>
                <w:szCs w:val="22"/>
              </w:rPr>
              <w:t xml:space="preserve">Tenaska Energy, Inc. </w:t>
            </w:r>
          </w:p>
        </w:tc>
        <w:tc>
          <w:tcPr>
            <w:tcW w:w="2250" w:type="dxa"/>
          </w:tcPr>
          <w:p w14:paraId="2C738E53" w14:textId="09DD4DBD" w:rsidR="0091385E" w:rsidRPr="00900054" w:rsidRDefault="0091385E" w:rsidP="0034014B">
            <w:pPr>
              <w:spacing w:before="240"/>
              <w:rPr>
                <w:rFonts w:ascii="Arial" w:hAnsi="Arial" w:cs="Arial"/>
                <w:sz w:val="22"/>
                <w:szCs w:val="22"/>
              </w:rPr>
            </w:pPr>
            <w:r w:rsidRPr="00900054">
              <w:rPr>
                <w:rFonts w:ascii="Arial" w:hAnsi="Arial" w:cs="Arial"/>
                <w:sz w:val="22"/>
                <w:szCs w:val="22"/>
              </w:rPr>
              <w:t>Independent Generator (Associate Member)</w:t>
            </w:r>
          </w:p>
        </w:tc>
      </w:tr>
    </w:tbl>
    <w:p w14:paraId="267ED552" w14:textId="77777777" w:rsidR="005F1469" w:rsidRPr="000C3758" w:rsidRDefault="005F1469" w:rsidP="005F1469">
      <w:pPr>
        <w:spacing w:before="240"/>
        <w:rPr>
          <w:rFonts w:ascii="Arial" w:eastAsia="Calibri" w:hAnsi="Arial" w:cs="Arial"/>
          <w:b/>
          <w:bCs/>
          <w:u w:val="single"/>
        </w:rPr>
      </w:pPr>
    </w:p>
    <w:sectPr w:rsidR="005F1469" w:rsidRPr="000C3758" w:rsidSect="0074209E">
      <w:headerReference w:type="default" r:id="rId43"/>
      <w:footerReference w:type="defaul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AB5E" w14:textId="77777777" w:rsidR="0089628E" w:rsidRDefault="0089628E">
      <w:r>
        <w:separator/>
      </w:r>
    </w:p>
  </w:endnote>
  <w:endnote w:type="continuationSeparator" w:id="0">
    <w:p w14:paraId="16E8340B" w14:textId="77777777" w:rsidR="0089628E" w:rsidRDefault="0089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2F9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04512">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604512">
      <w:rPr>
        <w:rFonts w:ascii="Arial" w:hAnsi="Arial"/>
        <w:noProof/>
        <w:sz w:val="18"/>
      </w:rPr>
      <w:t>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EB0E" w14:textId="77777777" w:rsidR="0089628E" w:rsidRDefault="0089628E">
      <w:r>
        <w:separator/>
      </w:r>
    </w:p>
  </w:footnote>
  <w:footnote w:type="continuationSeparator" w:id="0">
    <w:p w14:paraId="4949B85E" w14:textId="77777777" w:rsidR="0089628E" w:rsidRDefault="0089628E">
      <w:r>
        <w:continuationSeparator/>
      </w:r>
    </w:p>
  </w:footnote>
  <w:footnote w:id="1">
    <w:p w14:paraId="6613B589" w14:textId="5255C104" w:rsidR="003162B6" w:rsidRPr="00ED6C9C" w:rsidRDefault="003162B6">
      <w:pPr>
        <w:pStyle w:val="FootnoteText"/>
        <w:rPr>
          <w:rFonts w:ascii="Arial" w:hAnsi="Arial" w:cs="Arial"/>
        </w:rPr>
      </w:pPr>
      <w:r w:rsidRPr="003162B6">
        <w:rPr>
          <w:rStyle w:val="FootnoteReference"/>
          <w:rFonts w:ascii="Arial" w:hAnsi="Arial" w:cs="Arial"/>
        </w:rPr>
        <w:footnoteRef/>
      </w:r>
      <w:r w:rsidRPr="003162B6">
        <w:rPr>
          <w:rFonts w:ascii="Arial" w:hAnsi="Arial" w:cs="Arial"/>
        </w:rPr>
        <w:t xml:space="preserve"> Mark Dreyfus for City of Eastland joining on behalf of 134 municipalities participating as Corporate Me</w:t>
      </w:r>
      <w:r w:rsidRPr="00ED6C9C">
        <w:rPr>
          <w:rFonts w:ascii="Arial" w:hAnsi="Arial" w:cs="Arial"/>
        </w:rPr>
        <w:t>mbers in the Small Commercial Consumer and Large Commercial Consumer Segments.</w:t>
      </w:r>
    </w:p>
  </w:footnote>
  <w:footnote w:id="2">
    <w:p w14:paraId="4E3BA828" w14:textId="646F4F57" w:rsidR="00ED6C9C" w:rsidRDefault="00ED6C9C">
      <w:pPr>
        <w:pStyle w:val="FootnoteText"/>
      </w:pPr>
      <w:r w:rsidRPr="00ED6C9C">
        <w:rPr>
          <w:rStyle w:val="FootnoteReference"/>
          <w:rFonts w:ascii="Arial" w:hAnsi="Arial" w:cs="Arial"/>
        </w:rPr>
        <w:footnoteRef/>
      </w:r>
      <w:r w:rsidRPr="00ED6C9C">
        <w:rPr>
          <w:rFonts w:ascii="Arial" w:hAnsi="Arial" w:cs="Arial"/>
        </w:rPr>
        <w:t xml:space="preserve"> Tenaska Energy, Inc., an Associate Member of the Independent Generator Segment also joins these comments.</w:t>
      </w:r>
    </w:p>
  </w:footnote>
  <w:footnote w:id="3">
    <w:p w14:paraId="3A61917C" w14:textId="0D27DB8A" w:rsidR="003162B6" w:rsidRDefault="003162B6">
      <w:pPr>
        <w:pStyle w:val="FootnoteText"/>
      </w:pPr>
      <w:r>
        <w:rPr>
          <w:rStyle w:val="FootnoteReference"/>
        </w:rPr>
        <w:footnoteRef/>
      </w:r>
      <w:r>
        <w:t xml:space="preserve"> </w:t>
      </w:r>
      <w:r>
        <w:rPr>
          <w:rFonts w:ascii="Arial" w:hAnsi="Arial" w:cs="Arial"/>
        </w:rPr>
        <w:t>Joint C</w:t>
      </w:r>
      <w:r w:rsidRPr="003162B6">
        <w:rPr>
          <w:rFonts w:ascii="Arial" w:hAnsi="Arial" w:cs="Arial"/>
        </w:rPr>
        <w:t>omments are also supported by the Texas Competitive Power Advocates (“TCPA”). TCPA is a trade association, not an ERCOT Corporate Member itself, but represents 11 member companies, many of which are Corporate Members who have signed on to these comments. TCPA members are Calpine, Cogentrix, Constellation, EDF Energy Trading North America, Luminant, NRG, Shell, Talen Energy, Tenaska, TexGen Power, and WattBridge. They are members of the Independent Generator and Independent Power Marketer segments, with almost 53,000MW of generation in ERCOT and many billions of dollars invested in the ERCOT market.</w:t>
      </w:r>
    </w:p>
  </w:footnote>
  <w:footnote w:id="4">
    <w:p w14:paraId="52C49CC5" w14:textId="09D10458" w:rsidR="003064C8" w:rsidRPr="003056A2" w:rsidRDefault="003064C8">
      <w:pPr>
        <w:pStyle w:val="FootnoteText"/>
        <w:rPr>
          <w:rFonts w:ascii="Arial" w:hAnsi="Arial" w:cs="Arial"/>
        </w:rPr>
      </w:pPr>
      <w:r w:rsidRPr="003056A2">
        <w:rPr>
          <w:rStyle w:val="FootnoteReference"/>
          <w:rFonts w:ascii="Arial" w:hAnsi="Arial" w:cs="Arial"/>
        </w:rPr>
        <w:footnoteRef/>
      </w:r>
      <w:r w:rsidRPr="003056A2">
        <w:rPr>
          <w:rFonts w:ascii="Arial" w:hAnsi="Arial" w:cs="Arial"/>
        </w:rPr>
        <w:t xml:space="preserve"> See </w:t>
      </w:r>
      <w:hyperlink r:id="rId1" w:history="1">
        <w:r w:rsidR="003056A2" w:rsidRPr="003056A2">
          <w:rPr>
            <w:rStyle w:val="Hyperlink"/>
            <w:rFonts w:ascii="Arial" w:hAnsi="Arial" w:cs="Arial"/>
          </w:rPr>
          <w:t>https://www.ercot.com/services/comm/mkt_notices</w:t>
        </w:r>
      </w:hyperlink>
      <w:r w:rsidR="003056A2" w:rsidRPr="003056A2">
        <w:rPr>
          <w:rFonts w:ascii="Arial" w:hAnsi="Arial" w:cs="Arial"/>
        </w:rPr>
        <w:t xml:space="preserve"> (last visited Sept. 30, 2022).</w:t>
      </w:r>
    </w:p>
  </w:footnote>
  <w:footnote w:id="5">
    <w:p w14:paraId="1A566B6A" w14:textId="68776EC1"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 xml:space="preserve">See </w:t>
      </w:r>
      <w:hyperlink r:id="rId2" w:history="1">
        <w:r w:rsidRPr="0054611D">
          <w:rPr>
            <w:rStyle w:val="Hyperlink"/>
            <w:rFonts w:ascii="Arial" w:hAnsi="Arial" w:cs="Arial"/>
          </w:rPr>
          <w:t>https://www.ercot.com/mktrules</w:t>
        </w:r>
      </w:hyperlink>
      <w:r w:rsidRPr="0054611D">
        <w:rPr>
          <w:rFonts w:ascii="Arial" w:hAnsi="Arial" w:cs="Arial"/>
        </w:rPr>
        <w:t xml:space="preserve"> (last visited Sept. 27, 2022)</w:t>
      </w:r>
      <w:r w:rsidR="0061072B" w:rsidRPr="0054611D">
        <w:rPr>
          <w:rFonts w:ascii="Arial" w:hAnsi="Arial" w:cs="Arial"/>
        </w:rPr>
        <w:t xml:space="preserve"> (emphasis added)</w:t>
      </w:r>
      <w:r w:rsidRPr="0054611D">
        <w:rPr>
          <w:rFonts w:ascii="Arial" w:hAnsi="Arial" w:cs="Arial"/>
        </w:rPr>
        <w:t xml:space="preserve">. </w:t>
      </w:r>
    </w:p>
  </w:footnote>
  <w:footnote w:id="6">
    <w:p w14:paraId="00638266" w14:textId="1F36B41F"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w:t>
      </w:r>
      <w:r w:rsidRPr="0054611D">
        <w:rPr>
          <w:rFonts w:ascii="Arial" w:hAnsi="Arial" w:cs="Arial"/>
        </w:rPr>
        <w:t xml:space="preserve"> </w:t>
      </w:r>
      <w:hyperlink r:id="rId3" w:history="1">
        <w:r w:rsidRPr="0054611D">
          <w:rPr>
            <w:rStyle w:val="Hyperlink"/>
            <w:rFonts w:ascii="Arial" w:hAnsi="Arial" w:cs="Arial"/>
          </w:rPr>
          <w:t>https://www.ercot.com/committees</w:t>
        </w:r>
      </w:hyperlink>
      <w:r w:rsidRPr="0054611D">
        <w:rPr>
          <w:rFonts w:ascii="Arial" w:hAnsi="Arial" w:cs="Arial"/>
        </w:rPr>
        <w:t xml:space="preserve"> (last visited Sept. 27, 2022)</w:t>
      </w:r>
      <w:r w:rsidR="0061072B" w:rsidRPr="0054611D">
        <w:rPr>
          <w:rFonts w:ascii="Arial" w:hAnsi="Arial" w:cs="Arial"/>
        </w:rPr>
        <w:t xml:space="preserve"> (emphasis added)</w:t>
      </w:r>
      <w:r w:rsidRPr="0054611D">
        <w:rPr>
          <w:rFonts w:ascii="Arial" w:hAnsi="Arial" w:cs="Arial"/>
        </w:rPr>
        <w:t xml:space="preserve">. </w:t>
      </w:r>
    </w:p>
  </w:footnote>
  <w:footnote w:id="7">
    <w:p w14:paraId="048E4213" w14:textId="255EF20D"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ERCOT Nodal Protocols, Section 1.1(1), Summary of the ERCOT Protocols Document (Aug. 1, 2022), </w:t>
      </w:r>
      <w:hyperlink r:id="rId4" w:history="1">
        <w:r w:rsidRPr="0054611D">
          <w:rPr>
            <w:rStyle w:val="Hyperlink"/>
            <w:rFonts w:ascii="Arial" w:hAnsi="Arial" w:cs="Arial"/>
          </w:rPr>
          <w:t>https://www.ercot.com/files/docs/2022/08/01/01-080122_Nodal.docx</w:t>
        </w:r>
      </w:hyperlink>
      <w:r w:rsidR="0061072B" w:rsidRPr="0054611D">
        <w:rPr>
          <w:rFonts w:ascii="Arial" w:hAnsi="Arial" w:cs="Arial"/>
        </w:rPr>
        <w:t xml:space="preserve"> (emphasis added).</w:t>
      </w:r>
      <w:r w:rsidRPr="0054611D">
        <w:rPr>
          <w:rFonts w:ascii="Arial" w:hAnsi="Arial" w:cs="Arial"/>
        </w:rPr>
        <w:t xml:space="preserve"> </w:t>
      </w:r>
    </w:p>
  </w:footnote>
  <w:footnote w:id="8">
    <w:p w14:paraId="60897D29" w14:textId="4678A434"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Section 1.1(2)</w:t>
      </w:r>
      <w:r w:rsidR="0061072B" w:rsidRPr="0054611D">
        <w:rPr>
          <w:rFonts w:ascii="Arial" w:hAnsi="Arial" w:cs="Arial"/>
        </w:rPr>
        <w:t xml:space="preserve"> (emphasis added).</w:t>
      </w:r>
    </w:p>
  </w:footnote>
  <w:footnote w:id="9">
    <w:p w14:paraId="15938731"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16 TAC § 25.361(b); </w:t>
      </w:r>
      <w:r w:rsidRPr="0054611D">
        <w:rPr>
          <w:rFonts w:ascii="Arial" w:hAnsi="Arial" w:cs="Arial"/>
          <w:i/>
          <w:iCs/>
        </w:rPr>
        <w:t xml:space="preserve">see also </w:t>
      </w:r>
      <w:r w:rsidRPr="0054611D">
        <w:rPr>
          <w:rFonts w:ascii="Arial" w:hAnsi="Arial" w:cs="Arial"/>
        </w:rPr>
        <w:t>PURA § 39.151.</w:t>
      </w:r>
    </w:p>
  </w:footnote>
  <w:footnote w:id="10">
    <w:p w14:paraId="57B628B5" w14:textId="77777777" w:rsidR="005A21EE" w:rsidRPr="00715816" w:rsidRDefault="005A21EE" w:rsidP="0054611D">
      <w:pPr>
        <w:pStyle w:val="FootnoteText"/>
        <w:jc w:val="both"/>
        <w:rPr>
          <w:rFonts w:ascii="Arial" w:hAnsi="Arial" w:cs="Arial"/>
        </w:rPr>
      </w:pPr>
      <w:r w:rsidRPr="00715816">
        <w:rPr>
          <w:rStyle w:val="FootnoteReference"/>
          <w:rFonts w:ascii="Arial" w:hAnsi="Arial" w:cs="Arial"/>
        </w:rPr>
        <w:footnoteRef/>
      </w:r>
      <w:r w:rsidRPr="00715816">
        <w:rPr>
          <w:rFonts w:ascii="Arial" w:hAnsi="Arial" w:cs="Arial"/>
        </w:rPr>
        <w:t xml:space="preserve"> CAISO, </w:t>
      </w:r>
      <w:r w:rsidRPr="00715816">
        <w:rPr>
          <w:rFonts w:ascii="Arial" w:hAnsi="Arial" w:cs="Arial"/>
          <w:i/>
          <w:iCs/>
        </w:rPr>
        <w:t xml:space="preserve">Amended &amp; Restated Bylaws of California Independent System Operator Corporation </w:t>
      </w:r>
      <w:r w:rsidRPr="00715816">
        <w:rPr>
          <w:rFonts w:ascii="Arial" w:hAnsi="Arial" w:cs="Arial"/>
        </w:rPr>
        <w:t xml:space="preserve">art. IX, § 3(a) (Nov. 3, 2021), </w:t>
      </w:r>
      <w:hyperlink r:id="rId5" w:history="1">
        <w:r w:rsidRPr="00715816">
          <w:rPr>
            <w:rStyle w:val="Hyperlink"/>
            <w:rFonts w:ascii="Arial" w:hAnsi="Arial" w:cs="Arial"/>
          </w:rPr>
          <w:t>http://www.caiso.com/Documents/ISO-Corporate-Bylaws-amended-and-restated.pdf</w:t>
        </w:r>
      </w:hyperlink>
      <w:r w:rsidRPr="00715816">
        <w:rPr>
          <w:rFonts w:ascii="Arial" w:hAnsi="Arial" w:cs="Arial"/>
        </w:rPr>
        <w:t xml:space="preserve">. </w:t>
      </w:r>
    </w:p>
  </w:footnote>
  <w:footnote w:id="11">
    <w:p w14:paraId="024493A8" w14:textId="77777777" w:rsidR="005A21EE" w:rsidRPr="00715816" w:rsidRDefault="005A21EE" w:rsidP="0054611D">
      <w:pPr>
        <w:pStyle w:val="FootnoteText"/>
        <w:jc w:val="both"/>
        <w:rPr>
          <w:rFonts w:ascii="Arial" w:hAnsi="Arial" w:cs="Arial"/>
        </w:rPr>
      </w:pPr>
      <w:r w:rsidRPr="00715816">
        <w:rPr>
          <w:rStyle w:val="FootnoteReference"/>
          <w:rFonts w:ascii="Arial" w:hAnsi="Arial" w:cs="Arial"/>
        </w:rPr>
        <w:footnoteRef/>
      </w:r>
      <w:r w:rsidRPr="00715816">
        <w:rPr>
          <w:rFonts w:ascii="Arial" w:hAnsi="Arial" w:cs="Arial"/>
        </w:rPr>
        <w:t xml:space="preserve"> </w:t>
      </w:r>
      <w:r w:rsidRPr="00715816">
        <w:rPr>
          <w:rFonts w:ascii="Arial" w:hAnsi="Arial" w:cs="Arial"/>
          <w:i/>
          <w:iCs/>
        </w:rPr>
        <w:t>Id.</w:t>
      </w:r>
      <w:r w:rsidRPr="00715816">
        <w:rPr>
          <w:rFonts w:ascii="Arial" w:hAnsi="Arial" w:cs="Arial"/>
        </w:rPr>
        <w:t xml:space="preserve"> art. III, § 4.1. </w:t>
      </w:r>
    </w:p>
  </w:footnote>
  <w:footnote w:id="12">
    <w:p w14:paraId="1BE136BA" w14:textId="77777777" w:rsidR="005A21EE" w:rsidRPr="00715816" w:rsidRDefault="005A21EE" w:rsidP="0054611D">
      <w:pPr>
        <w:pStyle w:val="FootnoteText"/>
        <w:jc w:val="both"/>
        <w:rPr>
          <w:rFonts w:ascii="Arial" w:hAnsi="Arial" w:cs="Arial"/>
        </w:rPr>
      </w:pPr>
      <w:r w:rsidRPr="00715816">
        <w:rPr>
          <w:rStyle w:val="FootnoteReference"/>
          <w:rFonts w:ascii="Arial" w:hAnsi="Arial" w:cs="Arial"/>
        </w:rPr>
        <w:footnoteRef/>
      </w:r>
      <w:r w:rsidRPr="00715816">
        <w:rPr>
          <w:rFonts w:ascii="Arial" w:hAnsi="Arial" w:cs="Arial"/>
        </w:rPr>
        <w:t xml:space="preserve"> </w:t>
      </w:r>
      <w:r w:rsidRPr="00715816">
        <w:rPr>
          <w:rFonts w:ascii="Arial" w:hAnsi="Arial" w:cs="Arial"/>
          <w:i/>
          <w:iCs/>
        </w:rPr>
        <w:t>Id.</w:t>
      </w:r>
      <w:r w:rsidRPr="00715816">
        <w:rPr>
          <w:rFonts w:ascii="Arial" w:hAnsi="Arial" w:cs="Arial"/>
        </w:rPr>
        <w:t xml:space="preserve"> art. IX, § 3(b).</w:t>
      </w:r>
    </w:p>
  </w:footnote>
  <w:footnote w:id="13">
    <w:p w14:paraId="29FD34DF" w14:textId="77777777" w:rsidR="005A21EE" w:rsidRPr="00715816" w:rsidRDefault="005A21EE" w:rsidP="0054611D">
      <w:pPr>
        <w:pStyle w:val="FootnoteText"/>
        <w:jc w:val="both"/>
        <w:rPr>
          <w:rFonts w:ascii="Arial" w:hAnsi="Arial" w:cs="Arial"/>
        </w:rPr>
      </w:pPr>
      <w:r w:rsidRPr="00715816">
        <w:rPr>
          <w:rStyle w:val="FootnoteReference"/>
          <w:rFonts w:ascii="Arial" w:hAnsi="Arial" w:cs="Arial"/>
        </w:rPr>
        <w:footnoteRef/>
      </w:r>
      <w:r w:rsidRPr="00715816">
        <w:rPr>
          <w:rFonts w:ascii="Arial" w:hAnsi="Arial" w:cs="Arial"/>
        </w:rPr>
        <w:t xml:space="preserve"> </w:t>
      </w:r>
      <w:r w:rsidRPr="00715816">
        <w:rPr>
          <w:rFonts w:ascii="Arial" w:hAnsi="Arial" w:cs="Arial"/>
          <w:i/>
          <w:iCs/>
        </w:rPr>
        <w:t>Id.</w:t>
      </w:r>
      <w:r w:rsidRPr="00715816">
        <w:rPr>
          <w:rFonts w:ascii="Arial" w:hAnsi="Arial" w:cs="Arial"/>
        </w:rPr>
        <w:t xml:space="preserve"> art. IV, § 2.</w:t>
      </w:r>
    </w:p>
  </w:footnote>
  <w:footnote w:id="14">
    <w:p w14:paraId="71E21B70" w14:textId="77777777" w:rsidR="005A21EE" w:rsidRPr="0054611D" w:rsidRDefault="005A21EE" w:rsidP="0054611D">
      <w:pPr>
        <w:pStyle w:val="FootnoteText"/>
        <w:jc w:val="both"/>
        <w:rPr>
          <w:rFonts w:ascii="Arial" w:hAnsi="Arial" w:cs="Arial"/>
        </w:rPr>
      </w:pPr>
      <w:r w:rsidRPr="00715816">
        <w:rPr>
          <w:rStyle w:val="FootnoteReference"/>
          <w:rFonts w:ascii="Arial" w:hAnsi="Arial" w:cs="Arial"/>
        </w:rPr>
        <w:footnoteRef/>
      </w:r>
      <w:r w:rsidRPr="00715816">
        <w:rPr>
          <w:rFonts w:ascii="Arial" w:hAnsi="Arial" w:cs="Arial"/>
        </w:rPr>
        <w:t xml:space="preserve"> </w:t>
      </w:r>
      <w:r w:rsidRPr="00715816">
        <w:rPr>
          <w:rFonts w:ascii="Arial" w:hAnsi="Arial" w:cs="Arial"/>
          <w:i/>
          <w:iCs/>
        </w:rPr>
        <w:t>Id.</w:t>
      </w:r>
      <w:r w:rsidRPr="00715816">
        <w:rPr>
          <w:rFonts w:ascii="Arial" w:hAnsi="Arial" w:cs="Arial"/>
        </w:rPr>
        <w:t xml:space="preserve"> art. IV, § 1(a)-(b).</w:t>
      </w:r>
    </w:p>
  </w:footnote>
  <w:footnote w:id="15">
    <w:p w14:paraId="4D7A02A6" w14:textId="77777777" w:rsidR="005514C2" w:rsidRPr="0054611D" w:rsidRDefault="005514C2"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art. IX, § 3(b)(iii).</w:t>
      </w:r>
    </w:p>
  </w:footnote>
  <w:footnote w:id="16">
    <w:p w14:paraId="00C58760" w14:textId="3CA0217F" w:rsidR="00AA4310" w:rsidRPr="0054611D" w:rsidRDefault="00AA4310"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w:t>
      </w:r>
      <w:r w:rsidRPr="0054611D">
        <w:rPr>
          <w:rFonts w:ascii="Arial" w:hAnsi="Arial" w:cs="Arial"/>
        </w:rPr>
        <w:t xml:space="preserve"> 16 U.S.C. § 824e.</w:t>
      </w:r>
    </w:p>
  </w:footnote>
  <w:footnote w:id="17">
    <w:p w14:paraId="59F987AF"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MISO, </w:t>
      </w:r>
      <w:r w:rsidRPr="0054611D">
        <w:rPr>
          <w:rFonts w:ascii="Arial" w:hAnsi="Arial" w:cs="Arial"/>
          <w:i/>
          <w:iCs/>
        </w:rPr>
        <w:t>Bylaws of the Midcontinent Independent System Operator, Inc.</w:t>
      </w:r>
      <w:r w:rsidRPr="0054611D">
        <w:rPr>
          <w:rFonts w:ascii="Arial" w:hAnsi="Arial" w:cs="Arial"/>
        </w:rPr>
        <w:t xml:space="preserve"> § 9.1 (Feb. 27, 2017), </w:t>
      </w:r>
      <w:hyperlink r:id="rId6" w:history="1">
        <w:r w:rsidRPr="0054611D">
          <w:rPr>
            <w:rStyle w:val="Hyperlink"/>
            <w:rFonts w:ascii="Arial" w:hAnsi="Arial" w:cs="Arial"/>
          </w:rPr>
          <w:t>https://cdn.misoenergy.org/MISO%20TOA%20(for%20posting)47071.pdf</w:t>
        </w:r>
      </w:hyperlink>
      <w:r w:rsidRPr="0054611D">
        <w:rPr>
          <w:rFonts w:ascii="Arial" w:hAnsi="Arial" w:cs="Arial"/>
        </w:rPr>
        <w:t xml:space="preserve">. </w:t>
      </w:r>
    </w:p>
  </w:footnote>
  <w:footnote w:id="18">
    <w:p w14:paraId="54D7236F"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NYISO, </w:t>
      </w:r>
      <w:r w:rsidRPr="0054611D">
        <w:rPr>
          <w:rFonts w:ascii="Arial" w:hAnsi="Arial" w:cs="Arial"/>
          <w:i/>
          <w:iCs/>
        </w:rPr>
        <w:t xml:space="preserve">By-laws of the New York Independent System Operator, Inc. </w:t>
      </w:r>
      <w:r w:rsidRPr="0054611D">
        <w:rPr>
          <w:rFonts w:ascii="Arial" w:hAnsi="Arial" w:cs="Arial"/>
        </w:rPr>
        <w:t xml:space="preserve">art. X (May 18, 2017), </w:t>
      </w:r>
      <w:hyperlink r:id="rId7" w:history="1">
        <w:r w:rsidRPr="0054611D">
          <w:rPr>
            <w:rStyle w:val="Hyperlink"/>
            <w:rFonts w:ascii="Arial" w:hAnsi="Arial" w:cs="Arial"/>
          </w:rPr>
          <w:t>https://www.nyiso.com/documents/20142/1399438/By_Laws_NYISO_2017.pdf/ec19049e-f8f3-f72d-6460-699f8db53251</w:t>
        </w:r>
      </w:hyperlink>
      <w:r w:rsidRPr="0054611D">
        <w:rPr>
          <w:rFonts w:ascii="Arial" w:hAnsi="Arial" w:cs="Arial"/>
        </w:rPr>
        <w:t xml:space="preserve">. </w:t>
      </w:r>
    </w:p>
  </w:footnote>
  <w:footnote w:id="19">
    <w:p w14:paraId="5C773183"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MISO, </w:t>
      </w:r>
      <w:r w:rsidRPr="0054611D">
        <w:rPr>
          <w:rFonts w:ascii="Arial" w:hAnsi="Arial" w:cs="Arial"/>
          <w:i/>
          <w:iCs/>
        </w:rPr>
        <w:t>Bylaws of the Midcontinent Independent System Operator, Inc.</w:t>
      </w:r>
      <w:r w:rsidRPr="0054611D">
        <w:rPr>
          <w:rFonts w:ascii="Arial" w:hAnsi="Arial" w:cs="Arial"/>
        </w:rPr>
        <w:t xml:space="preserve"> §§ 4.1, .3 (Feb. 27, 2017).</w:t>
      </w:r>
    </w:p>
  </w:footnote>
  <w:footnote w:id="20">
    <w:p w14:paraId="63B366C6"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4.2.</w:t>
      </w:r>
    </w:p>
  </w:footnote>
  <w:footnote w:id="21">
    <w:p w14:paraId="747AA141"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6.1.</w:t>
      </w:r>
    </w:p>
  </w:footnote>
  <w:footnote w:id="22">
    <w:p w14:paraId="1F8926F6"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4.3.</w:t>
      </w:r>
    </w:p>
  </w:footnote>
  <w:footnote w:id="23">
    <w:p w14:paraId="6BA87804"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NYISO, </w:t>
      </w:r>
      <w:r w:rsidRPr="0054611D">
        <w:rPr>
          <w:rFonts w:ascii="Arial" w:hAnsi="Arial" w:cs="Arial"/>
          <w:i/>
          <w:iCs/>
        </w:rPr>
        <w:t xml:space="preserve">By-laws of the New York Independent System Operator, Inc. </w:t>
      </w:r>
      <w:r w:rsidRPr="0054611D">
        <w:rPr>
          <w:rFonts w:ascii="Arial" w:hAnsi="Arial" w:cs="Arial"/>
        </w:rPr>
        <w:t>art. II, §§ 2-3 (May 18, 2017).</w:t>
      </w:r>
    </w:p>
  </w:footnote>
  <w:footnote w:id="24">
    <w:p w14:paraId="39112AB0"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art. II, § 3.</w:t>
      </w:r>
    </w:p>
  </w:footnote>
  <w:footnote w:id="25">
    <w:p w14:paraId="629F77E1"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PJM, </w:t>
      </w:r>
      <w:r w:rsidRPr="0054611D">
        <w:rPr>
          <w:rFonts w:ascii="Arial" w:hAnsi="Arial" w:cs="Arial"/>
          <w:i/>
          <w:iCs/>
        </w:rPr>
        <w:t xml:space="preserve">Amended and Restated Operating Agreement of PJM Interconnection, L.L.C. </w:t>
      </w:r>
      <w:r w:rsidRPr="0054611D">
        <w:rPr>
          <w:rFonts w:ascii="Arial" w:hAnsi="Arial" w:cs="Arial"/>
        </w:rPr>
        <w:t xml:space="preserve">§ 18.6 (Feb. 18, 2020), </w:t>
      </w:r>
      <w:hyperlink r:id="rId8" w:history="1">
        <w:r w:rsidRPr="0054611D">
          <w:rPr>
            <w:rStyle w:val="Hyperlink"/>
            <w:rFonts w:ascii="Arial" w:hAnsi="Arial" w:cs="Arial"/>
          </w:rPr>
          <w:t>https://www.pjm.com/directory/merged-tariffs/oa.pdf</w:t>
        </w:r>
      </w:hyperlink>
      <w:r w:rsidRPr="0054611D">
        <w:rPr>
          <w:rFonts w:ascii="Arial" w:hAnsi="Arial" w:cs="Arial"/>
        </w:rPr>
        <w:t xml:space="preserve"> (emphasis added).</w:t>
      </w:r>
    </w:p>
  </w:footnote>
  <w:footnote w:id="26">
    <w:p w14:paraId="1AC6D9B1"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1.</w:t>
      </w:r>
    </w:p>
  </w:footnote>
  <w:footnote w:id="27">
    <w:p w14:paraId="599A24CE"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8.1.1.</w:t>
      </w:r>
    </w:p>
  </w:footnote>
  <w:footnote w:id="28">
    <w:p w14:paraId="0982D3F2" w14:textId="77777777" w:rsidR="005A21EE" w:rsidRPr="0054611D" w:rsidRDefault="005A21EE"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7.1.</w:t>
      </w:r>
    </w:p>
  </w:footnote>
  <w:footnote w:id="29">
    <w:p w14:paraId="49143B8F" w14:textId="208D6920" w:rsidR="00A244E0" w:rsidRPr="0054611D" w:rsidRDefault="00A244E0" w:rsidP="0054611D">
      <w:pPr>
        <w:pStyle w:val="FootnoteText"/>
        <w:jc w:val="both"/>
        <w:rPr>
          <w:rFonts w:ascii="Arial" w:hAnsi="Arial" w:cs="Arial"/>
        </w:rPr>
      </w:pPr>
    </w:p>
  </w:footnote>
  <w:footnote w:id="30">
    <w:p w14:paraId="283DBC8F" w14:textId="5A923469" w:rsidR="00A244E0" w:rsidRPr="0054611D" w:rsidRDefault="00A244E0" w:rsidP="0054611D">
      <w:pPr>
        <w:pStyle w:val="FootnoteText"/>
        <w:jc w:val="both"/>
        <w:rPr>
          <w:rFonts w:ascii="Arial" w:hAnsi="Arial" w:cs="Arial"/>
        </w:rPr>
      </w:pPr>
    </w:p>
  </w:footnote>
  <w:footnote w:id="31">
    <w:p w14:paraId="63778B18" w14:textId="0F0C25C1" w:rsidR="00A244E0" w:rsidRPr="0054611D" w:rsidRDefault="00A244E0" w:rsidP="0054611D">
      <w:pPr>
        <w:pStyle w:val="FootnoteText"/>
        <w:jc w:val="both"/>
        <w:rPr>
          <w:rFonts w:ascii="Arial" w:hAnsi="Arial" w:cs="Arial"/>
        </w:rPr>
      </w:pPr>
    </w:p>
  </w:footnote>
  <w:footnote w:id="32">
    <w:p w14:paraId="7C200D0E" w14:textId="07F5D6B5" w:rsidR="00A244E0" w:rsidRPr="0054611D" w:rsidRDefault="00A244E0" w:rsidP="0054611D">
      <w:pPr>
        <w:pStyle w:val="FootnoteText"/>
        <w:jc w:val="both"/>
        <w:rPr>
          <w:rFonts w:ascii="Arial" w:hAnsi="Arial" w:cs="Arial"/>
        </w:rPr>
      </w:pPr>
    </w:p>
  </w:footnote>
  <w:footnote w:id="33">
    <w:p w14:paraId="3F598DE6" w14:textId="77777777" w:rsidR="00B4003A" w:rsidRPr="0054611D" w:rsidRDefault="00B4003A"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w:t>
      </w:r>
      <w:r w:rsidRPr="0054611D">
        <w:rPr>
          <w:rFonts w:ascii="Arial" w:hAnsi="Arial" w:cs="Arial"/>
        </w:rPr>
        <w:t xml:space="preserve"> </w:t>
      </w:r>
      <w:bookmarkStart w:id="0" w:name="_Hlk115163928"/>
      <w:r w:rsidRPr="0054611D">
        <w:rPr>
          <w:rFonts w:ascii="Arial" w:hAnsi="Arial" w:cs="Arial"/>
        </w:rPr>
        <w:t>ERCOT Bylaws § 13.1(d)(4).</w:t>
      </w:r>
      <w:bookmarkEnd w:id="0"/>
    </w:p>
  </w:footnote>
  <w:footnote w:id="34">
    <w:p w14:paraId="69A579C2" w14:textId="77777777" w:rsidR="00667F15" w:rsidRPr="0054611D" w:rsidRDefault="00667F15"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TBOC § 22.102(c)(1).</w:t>
      </w:r>
    </w:p>
  </w:footnote>
  <w:footnote w:id="35">
    <w:p w14:paraId="0C3CF314" w14:textId="77777777" w:rsidR="00667F15" w:rsidRPr="0054611D" w:rsidRDefault="00667F15"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000E556A" w:rsidRPr="0054611D">
        <w:rPr>
          <w:rFonts w:ascii="Arial" w:hAnsi="Arial" w:cs="Arial"/>
          <w:i/>
          <w:iCs/>
        </w:rPr>
        <w:t>Id.</w:t>
      </w:r>
      <w:r w:rsidR="000E556A" w:rsidRPr="0054611D">
        <w:rPr>
          <w:rFonts w:ascii="Arial" w:hAnsi="Arial" w:cs="Arial"/>
        </w:rPr>
        <w:t xml:space="preserve"> § 22.102(c)(3).</w:t>
      </w:r>
    </w:p>
  </w:footnote>
  <w:footnote w:id="36">
    <w:p w14:paraId="1945F373" w14:textId="77777777" w:rsidR="00667F15" w:rsidRPr="0054611D" w:rsidRDefault="00667F15"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00F83660" w:rsidRPr="0054611D">
        <w:rPr>
          <w:rFonts w:ascii="Arial" w:hAnsi="Arial" w:cs="Arial"/>
          <w:i/>
          <w:iCs/>
        </w:rPr>
        <w:t xml:space="preserve"> </w:t>
      </w:r>
      <w:r w:rsidR="00F83660" w:rsidRPr="0054611D">
        <w:rPr>
          <w:rFonts w:ascii="Arial" w:hAnsi="Arial" w:cs="Arial"/>
        </w:rPr>
        <w:t>§ 22.102(c)(1).</w:t>
      </w:r>
    </w:p>
  </w:footnote>
  <w:footnote w:id="37">
    <w:p w14:paraId="2B994A8F" w14:textId="62F9F7FB" w:rsidR="000E556A" w:rsidRPr="0054611D" w:rsidRDefault="000E556A"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ERCOT COF art. 9</w:t>
      </w:r>
      <w:r w:rsidR="009D6448" w:rsidRPr="0054611D">
        <w:rPr>
          <w:rFonts w:ascii="Arial" w:hAnsi="Arial" w:cs="Arial"/>
        </w:rPr>
        <w:t xml:space="preserve">; </w:t>
      </w:r>
      <w:r w:rsidR="009D6448" w:rsidRPr="0054611D">
        <w:rPr>
          <w:rFonts w:ascii="Arial" w:hAnsi="Arial" w:cs="Arial"/>
          <w:i/>
          <w:iCs/>
        </w:rPr>
        <w:t>see also Keating v. K-C-K Corp</w:t>
      </w:r>
      <w:r w:rsidR="009D6448" w:rsidRPr="0054611D">
        <w:rPr>
          <w:rFonts w:ascii="Arial" w:hAnsi="Arial" w:cs="Arial"/>
        </w:rPr>
        <w:t>., 383 S.W.2d 69, 71 (Tex. Civ. App.—Houston 1964, no writ) (“</w:t>
      </w:r>
      <w:r w:rsidR="007036B2" w:rsidRPr="0054611D">
        <w:rPr>
          <w:rFonts w:ascii="Arial" w:hAnsi="Arial" w:cs="Arial"/>
        </w:rPr>
        <w:t>Whereby</w:t>
      </w:r>
      <w:r w:rsidR="009D6448" w:rsidRPr="0054611D">
        <w:rPr>
          <w:rFonts w:ascii="Arial" w:hAnsi="Arial" w:cs="Arial"/>
        </w:rPr>
        <w:t xml:space="preserve"> statute, or by charter provision, certain formal procedures are prescribed for the enactment, or amendment, of by-laws they must be substantially followed.”).</w:t>
      </w:r>
    </w:p>
  </w:footnote>
  <w:footnote w:id="38">
    <w:p w14:paraId="32CE2A3D" w14:textId="77777777" w:rsidR="000E556A" w:rsidRPr="0054611D" w:rsidRDefault="000E556A"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ERCOT Bylaws art. 3.</w:t>
      </w:r>
    </w:p>
  </w:footnote>
  <w:footnote w:id="39">
    <w:p w14:paraId="2A373B48" w14:textId="77777777" w:rsidR="000E556A" w:rsidRPr="0054611D" w:rsidRDefault="000E556A"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ERCOT Bylaws § 13.1.</w:t>
      </w:r>
    </w:p>
  </w:footnote>
  <w:footnote w:id="40">
    <w:p w14:paraId="79D8E6BA" w14:textId="7DCEA91C" w:rsidR="009D6448" w:rsidRPr="0054611D" w:rsidRDefault="009D6448"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3.2.</w:t>
      </w:r>
    </w:p>
  </w:footnote>
  <w:footnote w:id="41">
    <w:p w14:paraId="23E9F9D2" w14:textId="77777777" w:rsidR="00ED3E74" w:rsidRPr="0054611D" w:rsidRDefault="00ED3E74"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 Sullivan v. Abraham</w:t>
      </w:r>
      <w:r w:rsidRPr="0054611D">
        <w:rPr>
          <w:rFonts w:ascii="Arial" w:hAnsi="Arial" w:cs="Arial"/>
        </w:rPr>
        <w:t xml:space="preserve">, 488 S.W.3d 294, 297 (Tex. 2016) (quoting </w:t>
      </w:r>
      <w:r w:rsidRPr="0054611D">
        <w:rPr>
          <w:rFonts w:ascii="Arial" w:hAnsi="Arial" w:cs="Arial"/>
          <w:i/>
          <w:iCs/>
        </w:rPr>
        <w:t>Spradlin v. Jim Walter Homes, Inc.</w:t>
      </w:r>
      <w:r w:rsidRPr="0054611D">
        <w:rPr>
          <w:rFonts w:ascii="Arial" w:hAnsi="Arial" w:cs="Arial"/>
        </w:rPr>
        <w:t xml:space="preserve">, 34 S.W.3d 578, 580 (Tex. 2000)) (“a qualifying phrase . . . must be confined to the words and phrases immediately preceding it to which it may, without impairing the meaning of the sentence, be applied.”); </w:t>
      </w:r>
      <w:r w:rsidRPr="0054611D">
        <w:rPr>
          <w:rFonts w:ascii="Arial" w:hAnsi="Arial" w:cs="Arial"/>
          <w:i/>
          <w:iCs/>
        </w:rPr>
        <w:t>see also Samano v. Sun Oil Co.</w:t>
      </w:r>
      <w:r w:rsidRPr="0054611D">
        <w:rPr>
          <w:rFonts w:ascii="Arial" w:hAnsi="Arial" w:cs="Arial"/>
        </w:rPr>
        <w:t>, 621 S.W.2d 580, 581–82 (Tex. 1981) (noting that that “the correct rule” is that “modifiers are intended to refer to the words closest to them in the sentence”).</w:t>
      </w:r>
    </w:p>
  </w:footnote>
  <w:footnote w:id="42">
    <w:p w14:paraId="6221BDC3" w14:textId="77777777" w:rsidR="0042581D" w:rsidRPr="0054611D" w:rsidRDefault="0042581D"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Tex. Gov’t Code § 311.016(1).</w:t>
      </w:r>
    </w:p>
  </w:footnote>
  <w:footnote w:id="43">
    <w:p w14:paraId="309A8E74" w14:textId="77777777" w:rsidR="005F0598" w:rsidRPr="0054611D" w:rsidRDefault="005F0598"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ERCOT Bylaws § 13.1(d) (emphasis added).</w:t>
      </w:r>
    </w:p>
  </w:footnote>
  <w:footnote w:id="44">
    <w:p w14:paraId="3457BDE6" w14:textId="77777777" w:rsidR="005F0598" w:rsidRPr="0054611D" w:rsidRDefault="005F0598"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Id.</w:t>
      </w:r>
      <w:r w:rsidRPr="0054611D">
        <w:rPr>
          <w:rFonts w:ascii="Arial" w:hAnsi="Arial" w:cs="Arial"/>
        </w:rPr>
        <w:t xml:space="preserve"> § 13.1(d) (emphasis added).</w:t>
      </w:r>
    </w:p>
  </w:footnote>
  <w:footnote w:id="45">
    <w:p w14:paraId="251CFE84" w14:textId="77777777" w:rsidR="005E0A02" w:rsidRPr="0054611D" w:rsidRDefault="005E0A02"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Application of the ERCOT ISO for Certification as the Independent Organizations to Perform Transmission and Distribution Access, Reliability, Information Exchange, and Settlement Functions</w:t>
      </w:r>
      <w:r w:rsidRPr="0054611D">
        <w:rPr>
          <w:rFonts w:ascii="Arial" w:hAnsi="Arial" w:cs="Arial"/>
        </w:rPr>
        <w:t xml:space="preserve">, Docket No. 22061, </w:t>
      </w:r>
      <w:r w:rsidR="000B36C9" w:rsidRPr="0054611D">
        <w:rPr>
          <w:rFonts w:ascii="Arial" w:hAnsi="Arial" w:cs="Arial"/>
        </w:rPr>
        <w:t>Final Order</w:t>
      </w:r>
      <w:r w:rsidRPr="0054611D">
        <w:rPr>
          <w:rFonts w:ascii="Arial" w:hAnsi="Arial" w:cs="Arial"/>
        </w:rPr>
        <w:t xml:space="preserve"> (Feb. 2, 2001); </w:t>
      </w:r>
      <w:bookmarkStart w:id="2" w:name="_Hlk114829126"/>
      <w:r w:rsidRPr="0054611D">
        <w:rPr>
          <w:rFonts w:ascii="Arial" w:hAnsi="Arial" w:cs="Arial"/>
          <w:i/>
          <w:iCs/>
        </w:rPr>
        <w:t>Petition of the Electric Reliability Council of Texas (ERCOT) for Approval of Governance Changes</w:t>
      </w:r>
      <w:bookmarkEnd w:id="2"/>
      <w:r w:rsidRPr="0054611D">
        <w:rPr>
          <w:rFonts w:ascii="Arial" w:hAnsi="Arial" w:cs="Arial"/>
        </w:rPr>
        <w:t xml:space="preserve">, Docket No. 24932, </w:t>
      </w:r>
      <w:r w:rsidR="000B36C9" w:rsidRPr="0054611D">
        <w:rPr>
          <w:rFonts w:ascii="Arial" w:hAnsi="Arial" w:cs="Arial"/>
        </w:rPr>
        <w:t>Final Order</w:t>
      </w:r>
      <w:r w:rsidRPr="0054611D">
        <w:rPr>
          <w:rFonts w:ascii="Arial" w:hAnsi="Arial" w:cs="Arial"/>
        </w:rPr>
        <w:t xml:space="preserve"> (Dec. 17, 2001); </w:t>
      </w:r>
      <w:r w:rsidRPr="0054611D">
        <w:rPr>
          <w:rFonts w:ascii="Arial" w:hAnsi="Arial" w:cs="Arial"/>
          <w:i/>
          <w:iCs/>
        </w:rPr>
        <w:t>Petition of the Electric Reliability Council of Texas (ERCOT) for Approval of Governance Changes</w:t>
      </w:r>
      <w:r w:rsidRPr="0054611D">
        <w:rPr>
          <w:rFonts w:ascii="Arial" w:hAnsi="Arial" w:cs="Arial"/>
        </w:rPr>
        <w:t xml:space="preserve">, Docket No. 26861, </w:t>
      </w:r>
      <w:r w:rsidR="000B36C9" w:rsidRPr="0054611D">
        <w:rPr>
          <w:rFonts w:ascii="Arial" w:hAnsi="Arial" w:cs="Arial"/>
        </w:rPr>
        <w:t>Final Order</w:t>
      </w:r>
      <w:r w:rsidRPr="0054611D">
        <w:rPr>
          <w:rFonts w:ascii="Arial" w:hAnsi="Arial" w:cs="Arial"/>
        </w:rPr>
        <w:t xml:space="preserve"> (Dec. 9, 2002); </w:t>
      </w:r>
      <w:bookmarkStart w:id="3" w:name="_Hlk114829495"/>
      <w:r w:rsidRPr="0054611D">
        <w:rPr>
          <w:rFonts w:ascii="Arial" w:hAnsi="Arial" w:cs="Arial"/>
          <w:i/>
          <w:iCs/>
        </w:rPr>
        <w:t>Petition of the Electric Reliability Council of Texas for Approval of Amended and Restated Bylaws</w:t>
      </w:r>
      <w:r w:rsidRPr="0054611D">
        <w:rPr>
          <w:rFonts w:ascii="Arial" w:hAnsi="Arial" w:cs="Arial"/>
        </w:rPr>
        <w:t>, Docket No. 32025,</w:t>
      </w:r>
      <w:bookmarkEnd w:id="3"/>
      <w:r w:rsidR="000B36C9" w:rsidRPr="0054611D">
        <w:rPr>
          <w:rFonts w:ascii="Arial" w:hAnsi="Arial" w:cs="Arial"/>
        </w:rPr>
        <w:t xml:space="preserve"> Final Order (May 15, 2006</w:t>
      </w:r>
      <w:r w:rsidRPr="0054611D">
        <w:rPr>
          <w:rFonts w:ascii="Arial" w:hAnsi="Arial" w:cs="Arial"/>
        </w:rPr>
        <w:t>)</w:t>
      </w:r>
      <w:r w:rsidR="000B36C9" w:rsidRPr="0054611D">
        <w:rPr>
          <w:rFonts w:ascii="Arial" w:hAnsi="Arial" w:cs="Arial"/>
        </w:rPr>
        <w:t>;</w:t>
      </w:r>
      <w:r w:rsidRPr="0054611D">
        <w:rPr>
          <w:rFonts w:ascii="Arial" w:hAnsi="Arial" w:cs="Arial"/>
        </w:rPr>
        <w:t xml:space="preserve"> </w:t>
      </w:r>
      <w:bookmarkStart w:id="4" w:name="_Hlk114828954"/>
      <w:r w:rsidRPr="0054611D">
        <w:rPr>
          <w:rFonts w:ascii="Arial" w:hAnsi="Arial" w:cs="Arial"/>
          <w:i/>
          <w:iCs/>
        </w:rPr>
        <w:t>Petition of the Electric Reliability Council of Texas for Approval of Amended and Restated Bylaws</w:t>
      </w:r>
      <w:bookmarkEnd w:id="4"/>
      <w:r w:rsidRPr="0054611D">
        <w:rPr>
          <w:rFonts w:ascii="Arial" w:hAnsi="Arial" w:cs="Arial"/>
        </w:rPr>
        <w:t xml:space="preserve">, Docket No. 34427, </w:t>
      </w:r>
      <w:r w:rsidR="000B36C9" w:rsidRPr="0054611D">
        <w:rPr>
          <w:rFonts w:ascii="Arial" w:hAnsi="Arial" w:cs="Arial"/>
        </w:rPr>
        <w:t>Final Order (Sept. 18, 2007);</w:t>
      </w:r>
      <w:r w:rsidRPr="0054611D">
        <w:rPr>
          <w:rFonts w:ascii="Arial" w:hAnsi="Arial" w:cs="Arial"/>
        </w:rPr>
        <w:t xml:space="preserve"> </w:t>
      </w:r>
      <w:r w:rsidRPr="0054611D">
        <w:rPr>
          <w:rFonts w:ascii="Arial" w:hAnsi="Arial" w:cs="Arial"/>
          <w:i/>
          <w:iCs/>
        </w:rPr>
        <w:t>Petition of the Electric Reliability Council of Texas for Approval of Amended and Restated Bylaws</w:t>
      </w:r>
      <w:r w:rsidRPr="0054611D">
        <w:rPr>
          <w:rFonts w:ascii="Arial" w:hAnsi="Arial" w:cs="Arial"/>
        </w:rPr>
        <w:t>, Docket No. 37852</w:t>
      </w:r>
      <w:r w:rsidR="000B36C9" w:rsidRPr="0054611D">
        <w:rPr>
          <w:rFonts w:ascii="Arial" w:hAnsi="Arial" w:cs="Arial"/>
        </w:rPr>
        <w:t>, Final Order (Apr. 16, 2010</w:t>
      </w:r>
      <w:r w:rsidRPr="0054611D">
        <w:rPr>
          <w:rFonts w:ascii="Arial" w:hAnsi="Arial" w:cs="Arial"/>
        </w:rPr>
        <w:t xml:space="preserve">); </w:t>
      </w:r>
      <w:r w:rsidRPr="0054611D">
        <w:rPr>
          <w:rFonts w:ascii="Arial" w:hAnsi="Arial" w:cs="Arial"/>
          <w:i/>
          <w:iCs/>
        </w:rPr>
        <w:t>Petition of Electric Reliability Council of Texas, Inc. for Approval of Bylaws Amendments</w:t>
      </w:r>
      <w:r w:rsidRPr="0054611D">
        <w:rPr>
          <w:rFonts w:ascii="Arial" w:hAnsi="Arial" w:cs="Arial"/>
        </w:rPr>
        <w:t xml:space="preserve">, </w:t>
      </w:r>
      <w:bookmarkStart w:id="5" w:name="_Hlk115165724"/>
      <w:r w:rsidRPr="0054611D">
        <w:rPr>
          <w:rFonts w:ascii="Arial" w:hAnsi="Arial" w:cs="Arial"/>
        </w:rPr>
        <w:t xml:space="preserve">Docket No. 41761, </w:t>
      </w:r>
      <w:r w:rsidR="000B36C9" w:rsidRPr="0054611D">
        <w:rPr>
          <w:rFonts w:ascii="Arial" w:hAnsi="Arial" w:cs="Arial"/>
        </w:rPr>
        <w:t>Final Order</w:t>
      </w:r>
      <w:bookmarkEnd w:id="5"/>
      <w:r w:rsidRPr="0054611D">
        <w:rPr>
          <w:rFonts w:ascii="Arial" w:hAnsi="Arial" w:cs="Arial"/>
        </w:rPr>
        <w:t xml:space="preserve"> (</w:t>
      </w:r>
      <w:r w:rsidR="000B36C9" w:rsidRPr="0054611D">
        <w:rPr>
          <w:rFonts w:ascii="Arial" w:hAnsi="Arial" w:cs="Arial"/>
        </w:rPr>
        <w:t>Oct. 17</w:t>
      </w:r>
      <w:r w:rsidRPr="0054611D">
        <w:rPr>
          <w:rFonts w:ascii="Arial" w:hAnsi="Arial" w:cs="Arial"/>
        </w:rPr>
        <w:t xml:space="preserve">, 2013); </w:t>
      </w:r>
      <w:r w:rsidRPr="0054611D">
        <w:rPr>
          <w:rFonts w:ascii="Arial" w:hAnsi="Arial" w:cs="Arial"/>
          <w:i/>
          <w:iCs/>
        </w:rPr>
        <w:t>Petition of Electric Reliability Council of Texas, Inc. for Approval of Bylaws Amendments</w:t>
      </w:r>
      <w:r w:rsidRPr="0054611D">
        <w:rPr>
          <w:rFonts w:ascii="Arial" w:hAnsi="Arial" w:cs="Arial"/>
        </w:rPr>
        <w:t xml:space="preserve">, Docket No. 42548, </w:t>
      </w:r>
      <w:r w:rsidR="000B36C9" w:rsidRPr="0054611D">
        <w:rPr>
          <w:rFonts w:ascii="Arial" w:hAnsi="Arial" w:cs="Arial"/>
        </w:rPr>
        <w:t xml:space="preserve">Final Order (Sept. 11, 2014); </w:t>
      </w:r>
      <w:r w:rsidRPr="0054611D">
        <w:rPr>
          <w:rFonts w:ascii="Arial" w:hAnsi="Arial" w:cs="Arial"/>
          <w:i/>
          <w:iCs/>
        </w:rPr>
        <w:t>Petition of the Electric Reliability Council of Texas, Inc. for Approval of Bylaws Amendment</w:t>
      </w:r>
      <w:r w:rsidRPr="0054611D">
        <w:rPr>
          <w:rFonts w:ascii="Arial" w:hAnsi="Arial" w:cs="Arial"/>
        </w:rPr>
        <w:t xml:space="preserve">, Docket No. 44741, </w:t>
      </w:r>
      <w:r w:rsidR="000B36C9" w:rsidRPr="0054611D">
        <w:rPr>
          <w:rFonts w:ascii="Arial" w:hAnsi="Arial" w:cs="Arial"/>
        </w:rPr>
        <w:t>Final Order</w:t>
      </w:r>
      <w:r w:rsidRPr="0054611D">
        <w:rPr>
          <w:rFonts w:ascii="Arial" w:hAnsi="Arial" w:cs="Arial"/>
        </w:rPr>
        <w:t xml:space="preserve"> (</w:t>
      </w:r>
      <w:r w:rsidR="000B36C9" w:rsidRPr="0054611D">
        <w:rPr>
          <w:rFonts w:ascii="Arial" w:hAnsi="Arial" w:cs="Arial"/>
        </w:rPr>
        <w:t>Aug. 17,</w:t>
      </w:r>
      <w:r w:rsidRPr="0054611D">
        <w:rPr>
          <w:rFonts w:ascii="Arial" w:hAnsi="Arial" w:cs="Arial"/>
        </w:rPr>
        <w:t xml:space="preserve"> 2015); </w:t>
      </w:r>
      <w:r w:rsidRPr="0054611D">
        <w:rPr>
          <w:rFonts w:ascii="Arial" w:hAnsi="Arial" w:cs="Arial"/>
          <w:i/>
          <w:iCs/>
        </w:rPr>
        <w:t>Petition of Electric Reliability Council of Texas, Inc. for Approval of Amendments to Articles of Incorporation and Amended and Restated Bylaws</w:t>
      </w:r>
      <w:r w:rsidRPr="0054611D">
        <w:rPr>
          <w:rFonts w:ascii="Arial" w:hAnsi="Arial" w:cs="Arial"/>
        </w:rPr>
        <w:t xml:space="preserve">, Docket No. 48677, </w:t>
      </w:r>
      <w:r w:rsidR="000B36C9" w:rsidRPr="0054611D">
        <w:rPr>
          <w:rFonts w:ascii="Arial" w:hAnsi="Arial" w:cs="Arial"/>
        </w:rPr>
        <w:t>Final Order</w:t>
      </w:r>
      <w:r w:rsidRPr="0054611D">
        <w:rPr>
          <w:rFonts w:ascii="Arial" w:hAnsi="Arial" w:cs="Arial"/>
        </w:rPr>
        <w:t xml:space="preserve"> (</w:t>
      </w:r>
      <w:r w:rsidR="000B36C9" w:rsidRPr="0054611D">
        <w:rPr>
          <w:rFonts w:ascii="Arial" w:hAnsi="Arial" w:cs="Arial"/>
        </w:rPr>
        <w:t>Jan. 17, 2019</w:t>
      </w:r>
      <w:r w:rsidRPr="0054611D">
        <w:rPr>
          <w:rFonts w:ascii="Arial" w:hAnsi="Arial" w:cs="Arial"/>
        </w:rPr>
        <w:t xml:space="preserve">); </w:t>
      </w:r>
      <w:r w:rsidRPr="0054611D">
        <w:rPr>
          <w:rFonts w:ascii="Arial" w:hAnsi="Arial" w:cs="Arial"/>
          <w:i/>
          <w:iCs/>
        </w:rPr>
        <w:t>Petition of Electric Reliability Council of Texas, Inc. for Expedited Approval of Bylaws Amendment</w:t>
      </w:r>
      <w:r w:rsidRPr="0054611D">
        <w:rPr>
          <w:rFonts w:ascii="Arial" w:hAnsi="Arial" w:cs="Arial"/>
        </w:rPr>
        <w:t xml:space="preserve">, Docket No. 50918, </w:t>
      </w:r>
      <w:r w:rsidR="000B36C9" w:rsidRPr="0054611D">
        <w:rPr>
          <w:rFonts w:ascii="Arial" w:hAnsi="Arial" w:cs="Arial"/>
        </w:rPr>
        <w:t>Final Order</w:t>
      </w:r>
      <w:r w:rsidRPr="0054611D">
        <w:rPr>
          <w:rFonts w:ascii="Arial" w:hAnsi="Arial" w:cs="Arial"/>
        </w:rPr>
        <w:t xml:space="preserve"> (</w:t>
      </w:r>
      <w:r w:rsidR="000B36C9" w:rsidRPr="0054611D">
        <w:rPr>
          <w:rFonts w:ascii="Arial" w:hAnsi="Arial" w:cs="Arial"/>
        </w:rPr>
        <w:t>Jul. 31</w:t>
      </w:r>
      <w:r w:rsidRPr="0054611D">
        <w:rPr>
          <w:rFonts w:ascii="Arial" w:hAnsi="Arial" w:cs="Arial"/>
        </w:rPr>
        <w:t>, 2020);</w:t>
      </w:r>
      <w:r w:rsidRPr="0054611D">
        <w:rPr>
          <w:rFonts w:ascii="Arial" w:hAnsi="Arial" w:cs="Arial"/>
          <w:i/>
          <w:iCs/>
        </w:rPr>
        <w:t xml:space="preserve"> Petition of the Electric Reliability Council of Texas, Inc for Expedited Approval of Bylaws Amendment</w:t>
      </w:r>
      <w:r w:rsidRPr="0054611D">
        <w:rPr>
          <w:rFonts w:ascii="Arial" w:hAnsi="Arial" w:cs="Arial"/>
        </w:rPr>
        <w:t xml:space="preserve">, Docket No. 52683, </w:t>
      </w:r>
      <w:r w:rsidR="000B36C9" w:rsidRPr="0054611D">
        <w:rPr>
          <w:rFonts w:ascii="Arial" w:hAnsi="Arial" w:cs="Arial"/>
        </w:rPr>
        <w:t>Final Order</w:t>
      </w:r>
      <w:r w:rsidRPr="0054611D">
        <w:rPr>
          <w:rFonts w:ascii="Arial" w:hAnsi="Arial" w:cs="Arial"/>
        </w:rPr>
        <w:t xml:space="preserve"> (Oct. 20. 2021).</w:t>
      </w:r>
    </w:p>
  </w:footnote>
  <w:footnote w:id="46">
    <w:p w14:paraId="645CDF40" w14:textId="77777777" w:rsidR="00CC60D0" w:rsidRPr="0054611D" w:rsidRDefault="00CC60D0"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Docket No. 32025, Interim Order (Dec. 20, 2005).</w:t>
      </w:r>
    </w:p>
  </w:footnote>
  <w:footnote w:id="47">
    <w:p w14:paraId="59ED7729" w14:textId="77777777" w:rsidR="00BF6E65" w:rsidRPr="0054611D" w:rsidRDefault="00BF6E65"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Docket No. 32025, Reply of the Electric Reliability Council of Texas to Comments of Commission Staff and Shannon McClendon at 8–9 (Nov. 9, 2005).</w:t>
      </w:r>
    </w:p>
  </w:footnote>
  <w:footnote w:id="48">
    <w:p w14:paraId="060142BB" w14:textId="77777777" w:rsidR="000B7DB0" w:rsidRPr="0054611D" w:rsidRDefault="000B7DB0"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001D5AA0" w:rsidRPr="0054611D">
        <w:rPr>
          <w:rFonts w:ascii="Arial" w:hAnsi="Arial" w:cs="Arial"/>
          <w:i/>
          <w:iCs/>
        </w:rPr>
        <w:t>Petition of Electric Reliability Council of Texas, Inc. for Approval of Bylaws Amendments</w:t>
      </w:r>
      <w:r w:rsidR="001D5AA0" w:rsidRPr="0054611D">
        <w:rPr>
          <w:rFonts w:ascii="Arial" w:hAnsi="Arial" w:cs="Arial"/>
        </w:rPr>
        <w:t>, Docket No. 41761, Petition at 1 (Aug. 13, 2013).</w:t>
      </w:r>
    </w:p>
  </w:footnote>
  <w:footnote w:id="49">
    <w:p w14:paraId="7969A372" w14:textId="77777777" w:rsidR="005A67CC" w:rsidRPr="0054611D" w:rsidRDefault="005A67C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Petition of the Electric Reliability Council of Texas, Inc for Expedited Approval of Bylaws Amendmen</w:t>
      </w:r>
      <w:r w:rsidRPr="0054611D">
        <w:rPr>
          <w:rFonts w:ascii="Arial" w:hAnsi="Arial" w:cs="Arial"/>
        </w:rPr>
        <w:t>t, Docket No. 52683, Petition at 4 (Oct. 20. 2021).</w:t>
      </w:r>
    </w:p>
  </w:footnote>
  <w:footnote w:id="50">
    <w:p w14:paraId="64B0505C" w14:textId="77777777" w:rsidR="00A54D0C" w:rsidRPr="0054611D" w:rsidRDefault="00A54D0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Highland Crusader Offshore Partners, L.P. v. Andrews &amp; Kurth, L.L.P.</w:t>
      </w:r>
      <w:r w:rsidRPr="0054611D">
        <w:rPr>
          <w:rFonts w:ascii="Arial" w:hAnsi="Arial" w:cs="Arial"/>
        </w:rPr>
        <w:t>, 248 S.W.3d 887, 891–92 (Tex. App. 2008) (“Giving the phrase ‘non-voting stock’ a literal interpretation maximizes the board's options in defining voting rights and gives the board clear guidance as to what is forbidden.”).</w:t>
      </w:r>
    </w:p>
  </w:footnote>
  <w:footnote w:id="51">
    <w:p w14:paraId="5B07D4AD" w14:textId="77777777" w:rsidR="00A54D0C" w:rsidRPr="0054611D" w:rsidRDefault="00A54D0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See </w:t>
      </w:r>
      <w:r w:rsidRPr="0054611D">
        <w:rPr>
          <w:rFonts w:ascii="Arial" w:hAnsi="Arial" w:cs="Arial"/>
          <w:i/>
          <w:iCs/>
        </w:rPr>
        <w:t>Calvert v. Capital Southwest Corp.</w:t>
      </w:r>
      <w:r w:rsidRPr="0054611D">
        <w:rPr>
          <w:rFonts w:ascii="Arial" w:hAnsi="Arial" w:cs="Arial"/>
        </w:rPr>
        <w:t>, 441 S.W.2d 247 (Tex. Civ. App.—Austin 1969, writ ref'd n.r.e.) (the relation between a corporation and its shareholders is contractual in nature</w:t>
      </w:r>
      <w:r w:rsidR="00D050C7" w:rsidRPr="0054611D">
        <w:rPr>
          <w:rFonts w:ascii="Arial" w:hAnsi="Arial" w:cs="Arial"/>
        </w:rPr>
        <w:t>)</w:t>
      </w:r>
      <w:r w:rsidRPr="0054611D">
        <w:rPr>
          <w:rFonts w:ascii="Arial" w:hAnsi="Arial" w:cs="Arial"/>
        </w:rPr>
        <w:t xml:space="preserve">; </w:t>
      </w:r>
      <w:r w:rsidRPr="0054611D">
        <w:rPr>
          <w:rFonts w:ascii="Arial" w:hAnsi="Arial" w:cs="Arial"/>
          <w:i/>
          <w:iCs/>
        </w:rPr>
        <w:t>Milton v. Aransas Shrimp Cooperative</w:t>
      </w:r>
      <w:r w:rsidRPr="0054611D">
        <w:rPr>
          <w:rFonts w:ascii="Arial" w:hAnsi="Arial" w:cs="Arial"/>
        </w:rPr>
        <w:t xml:space="preserve">, 668 S.W.2d 735, 740 (Tex. App.—Corpus Christi 1983) (“As for a corporation and its shareholders, the relation between a cooperative and its stockholders is contractual in nature.”); </w:t>
      </w:r>
      <w:r w:rsidRPr="0054611D">
        <w:rPr>
          <w:rFonts w:ascii="Arial" w:hAnsi="Arial" w:cs="Arial"/>
          <w:i/>
          <w:iCs/>
        </w:rPr>
        <w:t>Austin v. Strong</w:t>
      </w:r>
      <w:r w:rsidRPr="0054611D">
        <w:rPr>
          <w:rFonts w:ascii="Arial" w:hAnsi="Arial" w:cs="Arial"/>
        </w:rPr>
        <w:t xml:space="preserve">, 117 Tex. 263, 268, 1 S.W.2d 872, 874 (Comm'n App. 1928) (“The relation of stockholders to the corporation whose stock they hold is that of contract.”); </w:t>
      </w:r>
      <w:r w:rsidRPr="0054611D">
        <w:rPr>
          <w:rFonts w:ascii="Arial" w:hAnsi="Arial" w:cs="Arial"/>
          <w:i/>
          <w:iCs/>
        </w:rPr>
        <w:t>High Rd. on Dawson v. Benevolent &amp; Protective Order of Elks of the United States of Am., Inc.</w:t>
      </w:r>
      <w:r w:rsidRPr="0054611D">
        <w:rPr>
          <w:rFonts w:ascii="Arial" w:hAnsi="Arial" w:cs="Arial"/>
        </w:rPr>
        <w:t>, 608 S.W.3d 869, 880 (Tex. App.—Houston [14th Dist.] 2020, pet. denied) (explaining that voluntary association's bylaws are contract between association and its members).</w:t>
      </w:r>
    </w:p>
  </w:footnote>
  <w:footnote w:id="52">
    <w:p w14:paraId="5676E955" w14:textId="77777777" w:rsidR="00A54D0C" w:rsidRPr="0054611D" w:rsidRDefault="00A54D0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 Dipprey v. Double Diamond, Inc.</w:t>
      </w:r>
      <w:r w:rsidRPr="0054611D">
        <w:rPr>
          <w:rFonts w:ascii="Arial" w:hAnsi="Arial" w:cs="Arial"/>
        </w:rPr>
        <w:t>, 637 S.W.3d 784, 794 (Tex. App.—Eastland 2021, no pet.).</w:t>
      </w:r>
    </w:p>
  </w:footnote>
  <w:footnote w:id="53">
    <w:p w14:paraId="2AE23EB7" w14:textId="77777777" w:rsidR="00A54D0C" w:rsidRPr="0054611D" w:rsidRDefault="00A54D0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 Ralston Purina Co. v. McKendrick</w:t>
      </w:r>
      <w:r w:rsidRPr="0054611D">
        <w:rPr>
          <w:rFonts w:ascii="Arial" w:hAnsi="Arial" w:cs="Arial"/>
        </w:rPr>
        <w:t xml:space="preserve">, S.W.2d 629, 638 (Tex. App.—San Antonio 1993, writ denied).  </w:t>
      </w:r>
    </w:p>
  </w:footnote>
  <w:footnote w:id="54">
    <w:p w14:paraId="448CCE58" w14:textId="77777777" w:rsidR="00A54D0C" w:rsidRPr="0054611D" w:rsidRDefault="00A54D0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Denson v. Dallas City Credit Union</w:t>
      </w:r>
      <w:r w:rsidRPr="0054611D">
        <w:rPr>
          <w:rFonts w:ascii="Arial" w:hAnsi="Arial" w:cs="Arial"/>
        </w:rPr>
        <w:t>, 262 S.W.3d 846 (Tex. App. —Dallas 2008, no pet.).</w:t>
      </w:r>
    </w:p>
  </w:footnote>
  <w:footnote w:id="55">
    <w:p w14:paraId="68D4D3F8" w14:textId="77777777" w:rsidR="00A54D0C" w:rsidRPr="0054611D" w:rsidRDefault="00A54D0C" w:rsidP="0054611D">
      <w:pPr>
        <w:pStyle w:val="FootnoteText"/>
        <w:jc w:val="both"/>
        <w:rPr>
          <w:rFonts w:ascii="Arial" w:hAnsi="Arial" w:cs="Arial"/>
          <w:i/>
          <w:iCs/>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See e.g., Leonard v. Paxson</w:t>
      </w:r>
      <w:r w:rsidRPr="0054611D">
        <w:rPr>
          <w:rFonts w:ascii="Arial" w:hAnsi="Arial" w:cs="Arial"/>
        </w:rPr>
        <w:t>, 654 S.W.2d 440, 441 (Tex. 1983) (holding that a contract containing a provision related to venue was deemed void as against public policy because the venue provision conflicted with an express venue provision under Texas law).</w:t>
      </w:r>
    </w:p>
  </w:footnote>
  <w:footnote w:id="56">
    <w:p w14:paraId="47D4AE4E" w14:textId="77777777" w:rsidR="00A54D0C" w:rsidRPr="0054611D" w:rsidRDefault="00A54D0C"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Sacks v. Dallas Gold &amp; Silver Exch.</w:t>
      </w:r>
      <w:r w:rsidRPr="0054611D">
        <w:rPr>
          <w:rFonts w:ascii="Arial" w:hAnsi="Arial" w:cs="Arial"/>
        </w:rPr>
        <w:t>, 720 S.W.2d 177, 180 (Tex. App.—Dallas 1986, no writ.).</w:t>
      </w:r>
    </w:p>
  </w:footnote>
  <w:footnote w:id="57">
    <w:p w14:paraId="53B2D29B" w14:textId="77777777" w:rsidR="00074422" w:rsidRPr="0054611D" w:rsidRDefault="00074422"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Act of May 31, 2021, 87th Leg, R.S., ch. 425, § 3, 2021 Tex. Gen. Laws ____, ____ (codified at Tex. Util. Code § 39.151(g-1)), </w:t>
      </w:r>
      <w:hyperlink r:id="rId9" w:history="1">
        <w:r w:rsidRPr="0054611D">
          <w:rPr>
            <w:rStyle w:val="Hyperlink"/>
            <w:rFonts w:ascii="Arial" w:hAnsi="Arial" w:cs="Arial"/>
          </w:rPr>
          <w:t>https://lrl.texas.gov/scanned/signedBills/87-0/SB2.pdf</w:t>
        </w:r>
      </w:hyperlink>
      <w:r w:rsidRPr="0054611D">
        <w:rPr>
          <w:rFonts w:ascii="Arial" w:hAnsi="Arial" w:cs="Arial"/>
        </w:rPr>
        <w:t>.</w:t>
      </w:r>
    </w:p>
  </w:footnote>
  <w:footnote w:id="58">
    <w:p w14:paraId="3425CF9A" w14:textId="559FD062" w:rsidR="00141B19" w:rsidRPr="0054611D" w:rsidRDefault="00141B19" w:rsidP="0054611D">
      <w:pPr>
        <w:pStyle w:val="FootnoteText"/>
        <w:jc w:val="both"/>
        <w:rPr>
          <w:rFonts w:ascii="Arial" w:hAnsi="Arial" w:cs="Arial"/>
        </w:rPr>
      </w:pPr>
      <w:r w:rsidRPr="0054611D">
        <w:rPr>
          <w:rStyle w:val="FootnoteReference"/>
          <w:rFonts w:ascii="Arial" w:hAnsi="Arial" w:cs="Arial"/>
        </w:rPr>
        <w:footnoteRef/>
      </w:r>
      <w:r w:rsidRPr="0054611D">
        <w:rPr>
          <w:rFonts w:ascii="Arial" w:hAnsi="Arial" w:cs="Arial"/>
        </w:rPr>
        <w:t xml:space="preserve"> </w:t>
      </w:r>
      <w:r w:rsidRPr="0054611D">
        <w:rPr>
          <w:rFonts w:ascii="Arial" w:hAnsi="Arial" w:cs="Arial"/>
          <w:i/>
          <w:iCs/>
        </w:rPr>
        <w:t>Governing Document Amendment Proposals Reports: All Amendment Proposals</w:t>
      </w:r>
      <w:r w:rsidRPr="0054611D">
        <w:rPr>
          <w:rFonts w:ascii="Arial" w:hAnsi="Arial" w:cs="Arial"/>
        </w:rPr>
        <w:t xml:space="preserve">, ERCOT, </w:t>
      </w:r>
      <w:hyperlink r:id="rId10" w:history="1">
        <w:r w:rsidRPr="0054611D">
          <w:rPr>
            <w:rStyle w:val="Hyperlink"/>
            <w:rFonts w:ascii="Arial" w:hAnsi="Arial" w:cs="Arial"/>
          </w:rPr>
          <w:t>https://www.ercot.com/committees/board/proposals/report/all</w:t>
        </w:r>
      </w:hyperlink>
      <w:r w:rsidRPr="0054611D">
        <w:rPr>
          <w:rFonts w:ascii="Arial" w:hAnsi="Arial" w:cs="Arial"/>
        </w:rPr>
        <w:t xml:space="preserve"> (last visited Sept. 28, 2022).</w:t>
      </w:r>
    </w:p>
  </w:footnote>
  <w:footnote w:id="59">
    <w:p w14:paraId="2B69F061" w14:textId="4AA26050" w:rsidR="003162B6" w:rsidRDefault="003162B6">
      <w:pPr>
        <w:pStyle w:val="FootnoteText"/>
      </w:pPr>
      <w:r>
        <w:rPr>
          <w:rStyle w:val="FootnoteReference"/>
        </w:rPr>
        <w:footnoteRef/>
      </w:r>
      <w:r>
        <w:t xml:space="preserve"> </w:t>
      </w:r>
      <w:r w:rsidRPr="003162B6">
        <w:rPr>
          <w:rFonts w:ascii="Arial" w:hAnsi="Arial" w:cs="Arial"/>
        </w:rPr>
        <w:t>Mark Dreyfus for City of Eastland joining on behalf of 134 municipalities participating as Corporate Members in the Small Commercial Consumer and Large Commercial Consumer Segments</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60F8" w14:textId="77777777" w:rsidR="00EE6681" w:rsidRDefault="00EE6681">
    <w:pPr>
      <w:pStyle w:val="Header"/>
      <w:jc w:val="center"/>
      <w:rPr>
        <w:sz w:val="32"/>
      </w:rPr>
    </w:pPr>
    <w:r>
      <w:rPr>
        <w:sz w:val="32"/>
      </w:rPr>
      <w:t>Comments</w:t>
    </w:r>
  </w:p>
  <w:p w14:paraId="1EA9DC5E"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E1D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D0B5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7EDB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F8E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D0D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72E6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DA59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5E1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A44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868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4C82F18"/>
    <w:multiLevelType w:val="hybridMultilevel"/>
    <w:tmpl w:val="D428B020"/>
    <w:lvl w:ilvl="0" w:tplc="94BC64D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B97884"/>
    <w:multiLevelType w:val="hybridMultilevel"/>
    <w:tmpl w:val="94F4FA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3A2378"/>
    <w:multiLevelType w:val="hybridMultilevel"/>
    <w:tmpl w:val="E830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95CB9"/>
    <w:multiLevelType w:val="hybridMultilevel"/>
    <w:tmpl w:val="017427CA"/>
    <w:lvl w:ilvl="0" w:tplc="504A9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742E8"/>
    <w:multiLevelType w:val="hybridMultilevel"/>
    <w:tmpl w:val="67B054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07484"/>
    <w:multiLevelType w:val="hybridMultilevel"/>
    <w:tmpl w:val="7548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032DDF"/>
    <w:multiLevelType w:val="hybridMultilevel"/>
    <w:tmpl w:val="F752A9BE"/>
    <w:lvl w:ilvl="0" w:tplc="88D6E6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40B84"/>
    <w:multiLevelType w:val="hybridMultilevel"/>
    <w:tmpl w:val="1414CBA0"/>
    <w:lvl w:ilvl="0" w:tplc="5DE2F9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A22E89"/>
    <w:multiLevelType w:val="hybridMultilevel"/>
    <w:tmpl w:val="2968BD50"/>
    <w:lvl w:ilvl="0" w:tplc="8894F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474A9"/>
    <w:multiLevelType w:val="hybridMultilevel"/>
    <w:tmpl w:val="F39C3C42"/>
    <w:lvl w:ilvl="0" w:tplc="8894F6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50164"/>
    <w:multiLevelType w:val="hybridMultilevel"/>
    <w:tmpl w:val="94F4FA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ED077E"/>
    <w:multiLevelType w:val="multilevel"/>
    <w:tmpl w:val="22AEF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D242F"/>
    <w:multiLevelType w:val="hybridMultilevel"/>
    <w:tmpl w:val="C37C2004"/>
    <w:lvl w:ilvl="0" w:tplc="8894F6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C3765"/>
    <w:multiLevelType w:val="hybridMultilevel"/>
    <w:tmpl w:val="67B054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1308542">
    <w:abstractNumId w:val="10"/>
  </w:num>
  <w:num w:numId="2" w16cid:durableId="1617174634">
    <w:abstractNumId w:val="22"/>
  </w:num>
  <w:num w:numId="3" w16cid:durableId="213086091">
    <w:abstractNumId w:val="19"/>
  </w:num>
  <w:num w:numId="4" w16cid:durableId="2140613134">
    <w:abstractNumId w:val="11"/>
  </w:num>
  <w:num w:numId="5" w16cid:durableId="2044556023">
    <w:abstractNumId w:val="21"/>
  </w:num>
  <w:num w:numId="6" w16cid:durableId="701708853">
    <w:abstractNumId w:val="12"/>
  </w:num>
  <w:num w:numId="7" w16cid:durableId="898829401">
    <w:abstractNumId w:val="15"/>
  </w:num>
  <w:num w:numId="8" w16cid:durableId="757673768">
    <w:abstractNumId w:val="25"/>
  </w:num>
  <w:num w:numId="9" w16cid:durableId="226844104">
    <w:abstractNumId w:val="14"/>
  </w:num>
  <w:num w:numId="10" w16cid:durableId="99028369">
    <w:abstractNumId w:val="24"/>
  </w:num>
  <w:num w:numId="11" w16cid:durableId="1743985779">
    <w:abstractNumId w:val="20"/>
  </w:num>
  <w:num w:numId="12" w16cid:durableId="919371624">
    <w:abstractNumId w:val="9"/>
  </w:num>
  <w:num w:numId="13" w16cid:durableId="1091587782">
    <w:abstractNumId w:val="18"/>
  </w:num>
  <w:num w:numId="14" w16cid:durableId="680279825">
    <w:abstractNumId w:val="7"/>
  </w:num>
  <w:num w:numId="15" w16cid:durableId="860319865">
    <w:abstractNumId w:val="6"/>
  </w:num>
  <w:num w:numId="16" w16cid:durableId="2099060165">
    <w:abstractNumId w:val="5"/>
  </w:num>
  <w:num w:numId="17" w16cid:durableId="323823786">
    <w:abstractNumId w:val="4"/>
  </w:num>
  <w:num w:numId="18" w16cid:durableId="828398500">
    <w:abstractNumId w:val="8"/>
  </w:num>
  <w:num w:numId="19" w16cid:durableId="2026203904">
    <w:abstractNumId w:val="3"/>
  </w:num>
  <w:num w:numId="20" w16cid:durableId="881015477">
    <w:abstractNumId w:val="2"/>
  </w:num>
  <w:num w:numId="21" w16cid:durableId="1317610581">
    <w:abstractNumId w:val="1"/>
  </w:num>
  <w:num w:numId="22" w16cid:durableId="1206285403">
    <w:abstractNumId w:val="0"/>
  </w:num>
  <w:num w:numId="23" w16cid:durableId="247429105">
    <w:abstractNumId w:val="17"/>
  </w:num>
  <w:num w:numId="24" w16cid:durableId="80295982">
    <w:abstractNumId w:val="23"/>
  </w:num>
  <w:num w:numId="25" w16cid:durableId="1057897401">
    <w:abstractNumId w:val="13"/>
  </w:num>
  <w:num w:numId="26" w16cid:durableId="11839823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1A227D"/>
    <w:rsid w:val="00002C7F"/>
    <w:rsid w:val="00002EE3"/>
    <w:rsid w:val="00014ED0"/>
    <w:rsid w:val="00031262"/>
    <w:rsid w:val="00031C19"/>
    <w:rsid w:val="00032647"/>
    <w:rsid w:val="00032A41"/>
    <w:rsid w:val="00037668"/>
    <w:rsid w:val="00041B46"/>
    <w:rsid w:val="00045409"/>
    <w:rsid w:val="000461E4"/>
    <w:rsid w:val="000543E8"/>
    <w:rsid w:val="00071CF4"/>
    <w:rsid w:val="00074422"/>
    <w:rsid w:val="00075A94"/>
    <w:rsid w:val="00082926"/>
    <w:rsid w:val="000850EB"/>
    <w:rsid w:val="00094E98"/>
    <w:rsid w:val="000A5228"/>
    <w:rsid w:val="000B1BE6"/>
    <w:rsid w:val="000B36C9"/>
    <w:rsid w:val="000B59BA"/>
    <w:rsid w:val="000B7DB0"/>
    <w:rsid w:val="000C1D40"/>
    <w:rsid w:val="000C2C90"/>
    <w:rsid w:val="000C3284"/>
    <w:rsid w:val="000C3758"/>
    <w:rsid w:val="000E1EF6"/>
    <w:rsid w:val="000E2A96"/>
    <w:rsid w:val="000E556A"/>
    <w:rsid w:val="000E70BC"/>
    <w:rsid w:val="000F5A65"/>
    <w:rsid w:val="00101E5D"/>
    <w:rsid w:val="0012316E"/>
    <w:rsid w:val="00132855"/>
    <w:rsid w:val="0013300D"/>
    <w:rsid w:val="00141B19"/>
    <w:rsid w:val="00144B77"/>
    <w:rsid w:val="001466DD"/>
    <w:rsid w:val="00146A32"/>
    <w:rsid w:val="001472E1"/>
    <w:rsid w:val="00151B47"/>
    <w:rsid w:val="00152993"/>
    <w:rsid w:val="00161270"/>
    <w:rsid w:val="00164F36"/>
    <w:rsid w:val="001673C6"/>
    <w:rsid w:val="00170297"/>
    <w:rsid w:val="001722E5"/>
    <w:rsid w:val="0018618C"/>
    <w:rsid w:val="0019603A"/>
    <w:rsid w:val="001A227D"/>
    <w:rsid w:val="001D5AA0"/>
    <w:rsid w:val="001E2032"/>
    <w:rsid w:val="001F2834"/>
    <w:rsid w:val="00225686"/>
    <w:rsid w:val="00231F8E"/>
    <w:rsid w:val="002475CC"/>
    <w:rsid w:val="00275474"/>
    <w:rsid w:val="00281486"/>
    <w:rsid w:val="002837F5"/>
    <w:rsid w:val="00284AE2"/>
    <w:rsid w:val="002A045F"/>
    <w:rsid w:val="002A3C6F"/>
    <w:rsid w:val="002A5D48"/>
    <w:rsid w:val="002B727E"/>
    <w:rsid w:val="002D5845"/>
    <w:rsid w:val="002F3AE8"/>
    <w:rsid w:val="003010C0"/>
    <w:rsid w:val="003056A2"/>
    <w:rsid w:val="003064C8"/>
    <w:rsid w:val="00312857"/>
    <w:rsid w:val="00312B87"/>
    <w:rsid w:val="00315FA3"/>
    <w:rsid w:val="003162B6"/>
    <w:rsid w:val="00324386"/>
    <w:rsid w:val="00326668"/>
    <w:rsid w:val="00327B5B"/>
    <w:rsid w:val="00331517"/>
    <w:rsid w:val="00332A97"/>
    <w:rsid w:val="00335052"/>
    <w:rsid w:val="0034014B"/>
    <w:rsid w:val="00341C50"/>
    <w:rsid w:val="00350C00"/>
    <w:rsid w:val="00351061"/>
    <w:rsid w:val="00353DC8"/>
    <w:rsid w:val="00354F91"/>
    <w:rsid w:val="00356F8B"/>
    <w:rsid w:val="00366113"/>
    <w:rsid w:val="00366B0C"/>
    <w:rsid w:val="003A0D72"/>
    <w:rsid w:val="003B11F5"/>
    <w:rsid w:val="003B5B8A"/>
    <w:rsid w:val="003C02A0"/>
    <w:rsid w:val="003C270C"/>
    <w:rsid w:val="003D0994"/>
    <w:rsid w:val="003D1CE9"/>
    <w:rsid w:val="00403246"/>
    <w:rsid w:val="00411FD0"/>
    <w:rsid w:val="00411FE6"/>
    <w:rsid w:val="00415071"/>
    <w:rsid w:val="00423824"/>
    <w:rsid w:val="0042581D"/>
    <w:rsid w:val="0043567D"/>
    <w:rsid w:val="00440BCF"/>
    <w:rsid w:val="00451A80"/>
    <w:rsid w:val="0046503C"/>
    <w:rsid w:val="00465657"/>
    <w:rsid w:val="00467877"/>
    <w:rsid w:val="004A3A83"/>
    <w:rsid w:val="004B7229"/>
    <w:rsid w:val="004B7B90"/>
    <w:rsid w:val="004D2111"/>
    <w:rsid w:val="004D48A4"/>
    <w:rsid w:val="004E2C19"/>
    <w:rsid w:val="004E2F5E"/>
    <w:rsid w:val="004E6835"/>
    <w:rsid w:val="004F4BA4"/>
    <w:rsid w:val="00504B58"/>
    <w:rsid w:val="005118B5"/>
    <w:rsid w:val="005233C4"/>
    <w:rsid w:val="00524DE5"/>
    <w:rsid w:val="00526C79"/>
    <w:rsid w:val="00536556"/>
    <w:rsid w:val="005376E8"/>
    <w:rsid w:val="00544004"/>
    <w:rsid w:val="00545B42"/>
    <w:rsid w:val="0054611D"/>
    <w:rsid w:val="005514C2"/>
    <w:rsid w:val="00552EE5"/>
    <w:rsid w:val="005541F4"/>
    <w:rsid w:val="0056724F"/>
    <w:rsid w:val="00576C68"/>
    <w:rsid w:val="00582C76"/>
    <w:rsid w:val="005A21EE"/>
    <w:rsid w:val="005A67CC"/>
    <w:rsid w:val="005B556F"/>
    <w:rsid w:val="005C0646"/>
    <w:rsid w:val="005C5EA4"/>
    <w:rsid w:val="005D284C"/>
    <w:rsid w:val="005E0A02"/>
    <w:rsid w:val="005F0598"/>
    <w:rsid w:val="005F1469"/>
    <w:rsid w:val="00604512"/>
    <w:rsid w:val="0060608F"/>
    <w:rsid w:val="0061072B"/>
    <w:rsid w:val="006111F7"/>
    <w:rsid w:val="00624C81"/>
    <w:rsid w:val="006302C7"/>
    <w:rsid w:val="00633E23"/>
    <w:rsid w:val="0063417A"/>
    <w:rsid w:val="00641F1E"/>
    <w:rsid w:val="00650A83"/>
    <w:rsid w:val="00662E78"/>
    <w:rsid w:val="00667F15"/>
    <w:rsid w:val="00673B94"/>
    <w:rsid w:val="00680AC6"/>
    <w:rsid w:val="006835D8"/>
    <w:rsid w:val="00685852"/>
    <w:rsid w:val="006B0DAA"/>
    <w:rsid w:val="006B26DC"/>
    <w:rsid w:val="006B5A10"/>
    <w:rsid w:val="006B6B37"/>
    <w:rsid w:val="006C13E0"/>
    <w:rsid w:val="006C316E"/>
    <w:rsid w:val="006C4212"/>
    <w:rsid w:val="006C56A9"/>
    <w:rsid w:val="006C70D0"/>
    <w:rsid w:val="006D0F7C"/>
    <w:rsid w:val="006F00C3"/>
    <w:rsid w:val="006F2174"/>
    <w:rsid w:val="006F62FC"/>
    <w:rsid w:val="007036B2"/>
    <w:rsid w:val="00703B51"/>
    <w:rsid w:val="00710B5A"/>
    <w:rsid w:val="00715816"/>
    <w:rsid w:val="007269C4"/>
    <w:rsid w:val="0074209E"/>
    <w:rsid w:val="00746506"/>
    <w:rsid w:val="00747C13"/>
    <w:rsid w:val="00750AEA"/>
    <w:rsid w:val="00755DC2"/>
    <w:rsid w:val="00756D74"/>
    <w:rsid w:val="00760288"/>
    <w:rsid w:val="00760418"/>
    <w:rsid w:val="00770559"/>
    <w:rsid w:val="007818FB"/>
    <w:rsid w:val="00796EAA"/>
    <w:rsid w:val="007A09FA"/>
    <w:rsid w:val="007B032C"/>
    <w:rsid w:val="007C222C"/>
    <w:rsid w:val="007C633C"/>
    <w:rsid w:val="007E3B9B"/>
    <w:rsid w:val="007F2CA8"/>
    <w:rsid w:val="007F5B43"/>
    <w:rsid w:val="007F7161"/>
    <w:rsid w:val="0082421C"/>
    <w:rsid w:val="00844735"/>
    <w:rsid w:val="00853111"/>
    <w:rsid w:val="0085559E"/>
    <w:rsid w:val="00890960"/>
    <w:rsid w:val="00890BC4"/>
    <w:rsid w:val="00891FF8"/>
    <w:rsid w:val="00895998"/>
    <w:rsid w:val="00895BB4"/>
    <w:rsid w:val="0089628E"/>
    <w:rsid w:val="00896B1B"/>
    <w:rsid w:val="008975FD"/>
    <w:rsid w:val="008A138D"/>
    <w:rsid w:val="008C5215"/>
    <w:rsid w:val="008D44E1"/>
    <w:rsid w:val="008E0397"/>
    <w:rsid w:val="008E3131"/>
    <w:rsid w:val="008E559E"/>
    <w:rsid w:val="00900054"/>
    <w:rsid w:val="00911AB3"/>
    <w:rsid w:val="0091385E"/>
    <w:rsid w:val="00913E68"/>
    <w:rsid w:val="00914703"/>
    <w:rsid w:val="00916080"/>
    <w:rsid w:val="00921A68"/>
    <w:rsid w:val="00927972"/>
    <w:rsid w:val="00935694"/>
    <w:rsid w:val="009378F7"/>
    <w:rsid w:val="00940522"/>
    <w:rsid w:val="00965190"/>
    <w:rsid w:val="00967671"/>
    <w:rsid w:val="00970226"/>
    <w:rsid w:val="00972389"/>
    <w:rsid w:val="00985818"/>
    <w:rsid w:val="009A021F"/>
    <w:rsid w:val="009A3BCE"/>
    <w:rsid w:val="009B2A19"/>
    <w:rsid w:val="009C3D84"/>
    <w:rsid w:val="009C6968"/>
    <w:rsid w:val="009D1AA5"/>
    <w:rsid w:val="009D6448"/>
    <w:rsid w:val="009D6E5E"/>
    <w:rsid w:val="009E612F"/>
    <w:rsid w:val="009F42D6"/>
    <w:rsid w:val="00A015C4"/>
    <w:rsid w:val="00A07AD3"/>
    <w:rsid w:val="00A12DED"/>
    <w:rsid w:val="00A13882"/>
    <w:rsid w:val="00A15172"/>
    <w:rsid w:val="00A15AB4"/>
    <w:rsid w:val="00A20B07"/>
    <w:rsid w:val="00A22BC2"/>
    <w:rsid w:val="00A244E0"/>
    <w:rsid w:val="00A30FFA"/>
    <w:rsid w:val="00A3106D"/>
    <w:rsid w:val="00A4477B"/>
    <w:rsid w:val="00A45D05"/>
    <w:rsid w:val="00A4791F"/>
    <w:rsid w:val="00A54D0C"/>
    <w:rsid w:val="00A7027D"/>
    <w:rsid w:val="00A70703"/>
    <w:rsid w:val="00A77292"/>
    <w:rsid w:val="00AA4310"/>
    <w:rsid w:val="00AB6D98"/>
    <w:rsid w:val="00AC4D40"/>
    <w:rsid w:val="00AC50BB"/>
    <w:rsid w:val="00AD2F90"/>
    <w:rsid w:val="00AD5E7D"/>
    <w:rsid w:val="00AD74C8"/>
    <w:rsid w:val="00AE069B"/>
    <w:rsid w:val="00AF219F"/>
    <w:rsid w:val="00AF6F19"/>
    <w:rsid w:val="00B05B24"/>
    <w:rsid w:val="00B20322"/>
    <w:rsid w:val="00B30CE5"/>
    <w:rsid w:val="00B37199"/>
    <w:rsid w:val="00B4003A"/>
    <w:rsid w:val="00B5080A"/>
    <w:rsid w:val="00B53A52"/>
    <w:rsid w:val="00B82531"/>
    <w:rsid w:val="00B943AE"/>
    <w:rsid w:val="00BA3533"/>
    <w:rsid w:val="00BC1DAD"/>
    <w:rsid w:val="00BC3F5F"/>
    <w:rsid w:val="00BD7258"/>
    <w:rsid w:val="00BE05EF"/>
    <w:rsid w:val="00BF6E65"/>
    <w:rsid w:val="00BF7747"/>
    <w:rsid w:val="00C04047"/>
    <w:rsid w:val="00C0598D"/>
    <w:rsid w:val="00C11956"/>
    <w:rsid w:val="00C11D72"/>
    <w:rsid w:val="00C129B4"/>
    <w:rsid w:val="00C21A13"/>
    <w:rsid w:val="00C24529"/>
    <w:rsid w:val="00C25E06"/>
    <w:rsid w:val="00C330CB"/>
    <w:rsid w:val="00C55BF0"/>
    <w:rsid w:val="00C56934"/>
    <w:rsid w:val="00C602E5"/>
    <w:rsid w:val="00C70AC7"/>
    <w:rsid w:val="00C733BB"/>
    <w:rsid w:val="00C748FD"/>
    <w:rsid w:val="00CA3760"/>
    <w:rsid w:val="00CA5B86"/>
    <w:rsid w:val="00CC2FBD"/>
    <w:rsid w:val="00CC5A74"/>
    <w:rsid w:val="00CC60D0"/>
    <w:rsid w:val="00CC712B"/>
    <w:rsid w:val="00CC72C6"/>
    <w:rsid w:val="00CD2926"/>
    <w:rsid w:val="00CD6DBF"/>
    <w:rsid w:val="00CE0DE4"/>
    <w:rsid w:val="00CE3C5D"/>
    <w:rsid w:val="00CE4426"/>
    <w:rsid w:val="00D0454D"/>
    <w:rsid w:val="00D050C7"/>
    <w:rsid w:val="00D06137"/>
    <w:rsid w:val="00D13A6F"/>
    <w:rsid w:val="00D1460F"/>
    <w:rsid w:val="00D16C23"/>
    <w:rsid w:val="00D23B6E"/>
    <w:rsid w:val="00D25DA2"/>
    <w:rsid w:val="00D34EB1"/>
    <w:rsid w:val="00D35DC0"/>
    <w:rsid w:val="00D4046E"/>
    <w:rsid w:val="00D4362F"/>
    <w:rsid w:val="00D46A84"/>
    <w:rsid w:val="00D47769"/>
    <w:rsid w:val="00D54E27"/>
    <w:rsid w:val="00D5661C"/>
    <w:rsid w:val="00D60ADA"/>
    <w:rsid w:val="00D664CE"/>
    <w:rsid w:val="00D85735"/>
    <w:rsid w:val="00D95106"/>
    <w:rsid w:val="00DA0C09"/>
    <w:rsid w:val="00DB1848"/>
    <w:rsid w:val="00DB4B28"/>
    <w:rsid w:val="00DB4D36"/>
    <w:rsid w:val="00DD4739"/>
    <w:rsid w:val="00DE076B"/>
    <w:rsid w:val="00DE3351"/>
    <w:rsid w:val="00DE5F33"/>
    <w:rsid w:val="00DF133F"/>
    <w:rsid w:val="00E07B54"/>
    <w:rsid w:val="00E11F78"/>
    <w:rsid w:val="00E2202E"/>
    <w:rsid w:val="00E3467E"/>
    <w:rsid w:val="00E47DBA"/>
    <w:rsid w:val="00E551A9"/>
    <w:rsid w:val="00E57BDD"/>
    <w:rsid w:val="00E61B21"/>
    <w:rsid w:val="00E621E1"/>
    <w:rsid w:val="00E70AA9"/>
    <w:rsid w:val="00E721F9"/>
    <w:rsid w:val="00E86ECD"/>
    <w:rsid w:val="00E916BC"/>
    <w:rsid w:val="00E92E2B"/>
    <w:rsid w:val="00E9582F"/>
    <w:rsid w:val="00E96E55"/>
    <w:rsid w:val="00EA20DE"/>
    <w:rsid w:val="00EB77C9"/>
    <w:rsid w:val="00EC55B3"/>
    <w:rsid w:val="00EC7A7B"/>
    <w:rsid w:val="00ED3E74"/>
    <w:rsid w:val="00ED61D7"/>
    <w:rsid w:val="00ED6C9C"/>
    <w:rsid w:val="00EE6681"/>
    <w:rsid w:val="00EE6B6E"/>
    <w:rsid w:val="00EE6EAF"/>
    <w:rsid w:val="00F0538A"/>
    <w:rsid w:val="00F2381E"/>
    <w:rsid w:val="00F238E6"/>
    <w:rsid w:val="00F33A8A"/>
    <w:rsid w:val="00F400FE"/>
    <w:rsid w:val="00F457DE"/>
    <w:rsid w:val="00F47CE4"/>
    <w:rsid w:val="00F50681"/>
    <w:rsid w:val="00F57732"/>
    <w:rsid w:val="00F83660"/>
    <w:rsid w:val="00F96FB2"/>
    <w:rsid w:val="00FA560A"/>
    <w:rsid w:val="00FB0CE8"/>
    <w:rsid w:val="00FB4E57"/>
    <w:rsid w:val="00FB51D8"/>
    <w:rsid w:val="00FC098F"/>
    <w:rsid w:val="00FD08E8"/>
    <w:rsid w:val="00FD2AA9"/>
    <w:rsid w:val="00FD6FE3"/>
    <w:rsid w:val="00FE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F5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1EE"/>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rsid w:val="005A21EE"/>
    <w:pPr>
      <w:spacing w:before="120" w:after="120"/>
    </w:pPr>
    <w:rPr>
      <w:rFonts w:ascii="Arial" w:hAnsi="Arial"/>
    </w:r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1673C6"/>
    <w:rPr>
      <w:color w:val="605E5C"/>
      <w:shd w:val="clear" w:color="auto" w:fill="E1DFDD"/>
    </w:rPr>
  </w:style>
  <w:style w:type="paragraph" w:styleId="FootnoteText">
    <w:name w:val="footnote text"/>
    <w:basedOn w:val="Normal"/>
    <w:link w:val="FootnoteTextChar"/>
    <w:uiPriority w:val="99"/>
    <w:rsid w:val="005118B5"/>
    <w:rPr>
      <w:sz w:val="20"/>
      <w:szCs w:val="20"/>
    </w:rPr>
  </w:style>
  <w:style w:type="character" w:customStyle="1" w:styleId="FootnoteTextChar">
    <w:name w:val="Footnote Text Char"/>
    <w:basedOn w:val="DefaultParagraphFont"/>
    <w:link w:val="FootnoteText"/>
    <w:uiPriority w:val="99"/>
    <w:rsid w:val="005118B5"/>
  </w:style>
  <w:style w:type="character" w:styleId="FootnoteReference">
    <w:name w:val="footnote reference"/>
    <w:uiPriority w:val="99"/>
    <w:rsid w:val="005118B5"/>
    <w:rPr>
      <w:vertAlign w:val="superscript"/>
    </w:rPr>
  </w:style>
  <w:style w:type="character" w:styleId="FollowedHyperlink">
    <w:name w:val="FollowedHyperlink"/>
    <w:rsid w:val="00AF6F19"/>
    <w:rPr>
      <w:color w:val="954F72"/>
      <w:u w:val="single"/>
    </w:rPr>
  </w:style>
  <w:style w:type="paragraph" w:styleId="NormalWeb">
    <w:name w:val="Normal (Web)"/>
    <w:basedOn w:val="Normal"/>
    <w:rsid w:val="00BE05EF"/>
  </w:style>
  <w:style w:type="paragraph" w:styleId="Revision">
    <w:name w:val="Revision"/>
    <w:hidden/>
    <w:uiPriority w:val="99"/>
    <w:semiHidden/>
    <w:rsid w:val="00E551A9"/>
    <w:rPr>
      <w:sz w:val="24"/>
      <w:szCs w:val="24"/>
    </w:rPr>
  </w:style>
  <w:style w:type="paragraph" w:styleId="EndnoteText">
    <w:name w:val="endnote text"/>
    <w:basedOn w:val="Normal"/>
    <w:link w:val="EndnoteTextChar"/>
    <w:rsid w:val="005A21EE"/>
    <w:rPr>
      <w:rFonts w:ascii="Arial" w:hAnsi="Arial"/>
      <w:color w:val="000000" w:themeColor="text1"/>
      <w:sz w:val="20"/>
      <w:szCs w:val="20"/>
    </w:rPr>
  </w:style>
  <w:style w:type="character" w:customStyle="1" w:styleId="BodyTextChar">
    <w:name w:val="Body Text Char"/>
    <w:basedOn w:val="DefaultParagraphFont"/>
    <w:link w:val="BodyText"/>
    <w:rsid w:val="005A21EE"/>
    <w:rPr>
      <w:rFonts w:ascii="Arial" w:hAnsi="Arial"/>
      <w:sz w:val="24"/>
      <w:szCs w:val="24"/>
    </w:rPr>
  </w:style>
  <w:style w:type="character" w:customStyle="1" w:styleId="BodyTextIndentChar">
    <w:name w:val="Body Text Indent Char"/>
    <w:basedOn w:val="DefaultParagraphFont"/>
    <w:link w:val="BodyTextIndent"/>
    <w:rsid w:val="005A21EE"/>
    <w:rPr>
      <w:sz w:val="24"/>
      <w:szCs w:val="24"/>
    </w:rPr>
  </w:style>
  <w:style w:type="character" w:customStyle="1" w:styleId="EndnoteTextChar">
    <w:name w:val="Endnote Text Char"/>
    <w:basedOn w:val="DefaultParagraphFont"/>
    <w:link w:val="EndnoteText"/>
    <w:rsid w:val="005A21EE"/>
    <w:rPr>
      <w:rFonts w:ascii="Arial" w:hAnsi="Arial"/>
      <w:color w:val="000000" w:themeColor="text1"/>
    </w:rPr>
  </w:style>
  <w:style w:type="paragraph" w:customStyle="1" w:styleId="xmsolistparagraph">
    <w:name w:val="x_msolistparagraph"/>
    <w:basedOn w:val="Normal"/>
    <w:rsid w:val="0061072B"/>
    <w:pPr>
      <w:spacing w:after="160" w:line="252" w:lineRule="auto"/>
      <w:ind w:left="720"/>
    </w:pPr>
    <w:rPr>
      <w:rFonts w:ascii="Calibri" w:eastAsiaTheme="minorHAnsi" w:hAnsi="Calibri" w:cs="Calibri"/>
      <w:sz w:val="22"/>
      <w:szCs w:val="22"/>
    </w:rPr>
  </w:style>
  <w:style w:type="paragraph" w:styleId="ListParagraph">
    <w:name w:val="List Paragraph"/>
    <w:basedOn w:val="Normal"/>
    <w:uiPriority w:val="34"/>
    <w:qFormat/>
    <w:rsid w:val="00CC2FBD"/>
    <w:pPr>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109">
      <w:bodyDiv w:val="1"/>
      <w:marLeft w:val="0"/>
      <w:marRight w:val="0"/>
      <w:marTop w:val="0"/>
      <w:marBottom w:val="0"/>
      <w:divBdr>
        <w:top w:val="none" w:sz="0" w:space="0" w:color="auto"/>
        <w:left w:val="none" w:sz="0" w:space="0" w:color="auto"/>
        <w:bottom w:val="none" w:sz="0" w:space="0" w:color="auto"/>
        <w:right w:val="none" w:sz="0" w:space="0" w:color="auto"/>
      </w:divBdr>
    </w:div>
    <w:div w:id="328795684">
      <w:bodyDiv w:val="1"/>
      <w:marLeft w:val="0"/>
      <w:marRight w:val="0"/>
      <w:marTop w:val="0"/>
      <w:marBottom w:val="0"/>
      <w:divBdr>
        <w:top w:val="none" w:sz="0" w:space="0" w:color="auto"/>
        <w:left w:val="none" w:sz="0" w:space="0" w:color="auto"/>
        <w:bottom w:val="none" w:sz="0" w:space="0" w:color="auto"/>
        <w:right w:val="none" w:sz="0" w:space="0" w:color="auto"/>
      </w:divBdr>
    </w:div>
    <w:div w:id="859927615">
      <w:bodyDiv w:val="1"/>
      <w:marLeft w:val="0"/>
      <w:marRight w:val="0"/>
      <w:marTop w:val="0"/>
      <w:marBottom w:val="0"/>
      <w:divBdr>
        <w:top w:val="none" w:sz="0" w:space="0" w:color="auto"/>
        <w:left w:val="none" w:sz="0" w:space="0" w:color="auto"/>
        <w:bottom w:val="none" w:sz="0" w:space="0" w:color="auto"/>
        <w:right w:val="none" w:sz="0" w:space="0" w:color="auto"/>
      </w:divBdr>
    </w:div>
    <w:div w:id="903182157">
      <w:bodyDiv w:val="1"/>
      <w:marLeft w:val="0"/>
      <w:marRight w:val="0"/>
      <w:marTop w:val="0"/>
      <w:marBottom w:val="0"/>
      <w:divBdr>
        <w:top w:val="none" w:sz="0" w:space="0" w:color="auto"/>
        <w:left w:val="none" w:sz="0" w:space="0" w:color="auto"/>
        <w:bottom w:val="none" w:sz="0" w:space="0" w:color="auto"/>
        <w:right w:val="none" w:sz="0" w:space="0" w:color="auto"/>
      </w:divBdr>
      <w:divsChild>
        <w:div w:id="15935899">
          <w:marLeft w:val="0"/>
          <w:marRight w:val="0"/>
          <w:marTop w:val="0"/>
          <w:marBottom w:val="0"/>
          <w:divBdr>
            <w:top w:val="none" w:sz="0" w:space="0" w:color="auto"/>
            <w:left w:val="none" w:sz="0" w:space="0" w:color="auto"/>
            <w:bottom w:val="none" w:sz="0" w:space="0" w:color="auto"/>
            <w:right w:val="none" w:sz="0" w:space="0" w:color="auto"/>
          </w:divBdr>
        </w:div>
      </w:divsChild>
    </w:div>
    <w:div w:id="11342522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02149187">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450322157">
      <w:bodyDiv w:val="1"/>
      <w:marLeft w:val="0"/>
      <w:marRight w:val="0"/>
      <w:marTop w:val="0"/>
      <w:marBottom w:val="0"/>
      <w:divBdr>
        <w:top w:val="none" w:sz="0" w:space="0" w:color="auto"/>
        <w:left w:val="none" w:sz="0" w:space="0" w:color="auto"/>
        <w:bottom w:val="none" w:sz="0" w:space="0" w:color="auto"/>
        <w:right w:val="none" w:sz="0" w:space="0" w:color="auto"/>
      </w:divBdr>
    </w:div>
    <w:div w:id="149595240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2158007">
      <w:bodyDiv w:val="1"/>
      <w:marLeft w:val="0"/>
      <w:marRight w:val="0"/>
      <w:marTop w:val="0"/>
      <w:marBottom w:val="0"/>
      <w:divBdr>
        <w:top w:val="none" w:sz="0" w:space="0" w:color="auto"/>
        <w:left w:val="none" w:sz="0" w:space="0" w:color="auto"/>
        <w:bottom w:val="none" w:sz="0" w:space="0" w:color="auto"/>
        <w:right w:val="none" w:sz="0" w:space="0" w:color="auto"/>
      </w:divBdr>
    </w:div>
    <w:div w:id="17728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about" TargetMode="External"/><Relationship Id="rId18" Type="http://schemas.openxmlformats.org/officeDocument/2006/relationships/hyperlink" Target="mailto:Ian.haley@vistracorp.com" TargetMode="External"/><Relationship Id="rId26" Type="http://schemas.openxmlformats.org/officeDocument/2006/relationships/hyperlink" Target="mailto:Bill.smith@airliquide.com" TargetMode="External"/><Relationship Id="rId39" Type="http://schemas.openxmlformats.org/officeDocument/2006/relationships/hyperlink" Target="mailto:Danny.musher@keycaptureenergy.com" TargetMode="External"/><Relationship Id="rId21" Type="http://schemas.openxmlformats.org/officeDocument/2006/relationships/hyperlink" Target="mailto:jguy@gsec.coop" TargetMode="External"/><Relationship Id="rId34" Type="http://schemas.openxmlformats.org/officeDocument/2006/relationships/hyperlink" Target="mailto:ssmith@eolianenergy.com" TargetMode="External"/><Relationship Id="rId42" Type="http://schemas.openxmlformats.org/officeDocument/2006/relationships/hyperlink" Target="mailto:tjonas@tenaska.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ill.Barnes@nrg.com" TargetMode="External"/><Relationship Id="rId29" Type="http://schemas.openxmlformats.org/officeDocument/2006/relationships/hyperlink" Target="mailto:Kevin.gresham@rw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services/comm/mkt_notices/detail?id=b62a93a8-804d-4705-84c2-76f63abc93bf" TargetMode="External"/><Relationship Id="rId24" Type="http://schemas.openxmlformats.org/officeDocument/2006/relationships/hyperlink" Target="mailto:ahooks@geus.org" TargetMode="External"/><Relationship Id="rId32" Type="http://schemas.openxmlformats.org/officeDocument/2006/relationships/hyperlink" Target="mailto:dcline@gpltexas.org" TargetMode="External"/><Relationship Id="rId37" Type="http://schemas.openxmlformats.org/officeDocument/2006/relationships/hyperlink" Target="mailto:jharpole@apge.com" TargetMode="External"/><Relationship Id="rId40" Type="http://schemas.openxmlformats.org/officeDocument/2006/relationships/hyperlink" Target="mailto:Mark.stover@apexcleanenergy.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itlin.smith@jupiterpower.io" TargetMode="External"/><Relationship Id="rId23" Type="http://schemas.openxmlformats.org/officeDocument/2006/relationships/hyperlink" Target="mailto:kemery@tnsk.com" TargetMode="External"/><Relationship Id="rId28" Type="http://schemas.openxmlformats.org/officeDocument/2006/relationships/hyperlink" Target="mailto:mark@mdenergyconsulting.com" TargetMode="External"/><Relationship Id="rId36" Type="http://schemas.openxmlformats.org/officeDocument/2006/relationships/hyperlink" Target="mailto:Don@ohmconnect.com" TargetMode="External"/><Relationship Id="rId10" Type="http://schemas.openxmlformats.org/officeDocument/2006/relationships/hyperlink" Target="https://www.ercot.com/services/comm/mkt_notices/detail?id=72d4bf5f-da7d-4bca-9360-7c61059a764e" TargetMode="External"/><Relationship Id="rId19" Type="http://schemas.openxmlformats.org/officeDocument/2006/relationships/hyperlink" Target="mailto:dekee@cpsenergy.com" TargetMode="External"/><Relationship Id="rId31" Type="http://schemas.openxmlformats.org/officeDocument/2006/relationships/hyperlink" Target="mailto:mwittler@kpub.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cot.com/files/docs/2021/10/12/Amended_and_Restated_Bylaws_of_ERCOT__eff_10122021_.pdf" TargetMode="External"/><Relationship Id="rId14" Type="http://schemas.openxmlformats.org/officeDocument/2006/relationships/hyperlink" Target="https://capitol.texas.gov/tlodocs/87R/billtext/pdf/SB00002F.pdf" TargetMode="External"/><Relationship Id="rId22" Type="http://schemas.openxmlformats.org/officeDocument/2006/relationships/hyperlink" Target="mailto:Kevin.bunch@edfenergyna.com" TargetMode="External"/><Relationship Id="rId27" Type="http://schemas.openxmlformats.org/officeDocument/2006/relationships/hyperlink" Target="mailto:tlee@wattbridge.info" TargetMode="External"/><Relationship Id="rId30" Type="http://schemas.openxmlformats.org/officeDocument/2006/relationships/hyperlink" Target="mailto:bcsmi@southernco.com" TargetMode="External"/><Relationship Id="rId35" Type="http://schemas.openxmlformats.org/officeDocument/2006/relationships/hyperlink" Target="mailto:anotnio.puente@cityofdenton.com" TargetMode="External"/><Relationship Id="rId43" Type="http://schemas.openxmlformats.org/officeDocument/2006/relationships/header" Target="header1.xml"/><Relationship Id="rId8" Type="http://schemas.openxmlformats.org/officeDocument/2006/relationships/hyperlink" Target="https://www.ercot.com/files/docs/2022/09/09/02%20Draft%20Bylaws%20Amendment%2009092022%20(Clean%20and%20Redline).zip" TargetMode="External"/><Relationship Id="rId3" Type="http://schemas.openxmlformats.org/officeDocument/2006/relationships/styles" Target="styles.xml"/><Relationship Id="rId12" Type="http://schemas.openxmlformats.org/officeDocument/2006/relationships/hyperlink" Target="https://statutes.capitol.texas.gov/Docs/BO/htm/BO.22.htm" TargetMode="External"/><Relationship Id="rId17" Type="http://schemas.openxmlformats.org/officeDocument/2006/relationships/hyperlink" Target="mailto:Bryan.Sams@calpine.com" TargetMode="External"/><Relationship Id="rId25" Type="http://schemas.openxmlformats.org/officeDocument/2006/relationships/hyperlink" Target="mailto:garyn@fayette.coop" TargetMode="External"/><Relationship Id="rId33" Type="http://schemas.openxmlformats.org/officeDocument/2006/relationships/hyperlink" Target="mailto:chendrix@demandcontrol2.com" TargetMode="External"/><Relationship Id="rId38" Type="http://schemas.openxmlformats.org/officeDocument/2006/relationships/hyperlink" Target="mailto:Resmi.surendran@shell.com" TargetMode="External"/><Relationship Id="rId46" Type="http://schemas.openxmlformats.org/officeDocument/2006/relationships/theme" Target="theme/theme1.xml"/><Relationship Id="rId20" Type="http://schemas.openxmlformats.org/officeDocument/2006/relationships/hyperlink" Target="mailto:Tammy.cooper@austinenergy.com" TargetMode="External"/><Relationship Id="rId41" Type="http://schemas.openxmlformats.org/officeDocument/2006/relationships/hyperlink" Target="mailto:Sergio.gonsales@ae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jm.com/directory/merged-tariffs/oa.pdf" TargetMode="External"/><Relationship Id="rId3" Type="http://schemas.openxmlformats.org/officeDocument/2006/relationships/hyperlink" Target="https://www.ercot.com/committees" TargetMode="External"/><Relationship Id="rId7" Type="http://schemas.openxmlformats.org/officeDocument/2006/relationships/hyperlink" Target="https://www.nyiso.com/documents/20142/1399438/By_Laws_NYISO_2017.pdf/ec19049e-f8f3-f72d-6460-699f8db53251" TargetMode="External"/><Relationship Id="rId2" Type="http://schemas.openxmlformats.org/officeDocument/2006/relationships/hyperlink" Target="https://www.ercot.com/mktrules" TargetMode="External"/><Relationship Id="rId1" Type="http://schemas.openxmlformats.org/officeDocument/2006/relationships/hyperlink" Target="https://www.ercot.com/services/comm/mkt_notices" TargetMode="External"/><Relationship Id="rId6" Type="http://schemas.openxmlformats.org/officeDocument/2006/relationships/hyperlink" Target="https://cdn.misoenergy.org/MISO%20TOA%20(for%20posting)47071.pdf" TargetMode="External"/><Relationship Id="rId5" Type="http://schemas.openxmlformats.org/officeDocument/2006/relationships/hyperlink" Target="http://www.caiso.com/Documents/ISO-Corporate-Bylaws-amended-and-restated.pdf" TargetMode="External"/><Relationship Id="rId10" Type="http://schemas.openxmlformats.org/officeDocument/2006/relationships/hyperlink" Target="https://www.ercot.com/committees/board/proposals/report/all" TargetMode="External"/><Relationship Id="rId4" Type="http://schemas.openxmlformats.org/officeDocument/2006/relationships/hyperlink" Target="https://www.ercot.com/files/docs/2022/08/01/01-080122_Nodal.docx" TargetMode="External"/><Relationship Id="rId9" Type="http://schemas.openxmlformats.org/officeDocument/2006/relationships/hyperlink" Target="https://lrl.texas.gov/scanned/signedBills/87-0/S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C50B-6F7F-4AF5-BC38-D894D745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Links>
    <vt:vector size="90" baseType="variant">
      <vt:variant>
        <vt:i4>5963867</vt:i4>
      </vt:variant>
      <vt:variant>
        <vt:i4>15</vt:i4>
      </vt:variant>
      <vt:variant>
        <vt:i4>0</vt:i4>
      </vt:variant>
      <vt:variant>
        <vt:i4>5</vt:i4>
      </vt:variant>
      <vt:variant>
        <vt:lpwstr>https://capitol.texas.gov/tlodocs/87R/billtext/pdf/SB00002F.pdf</vt:lpwstr>
      </vt:variant>
      <vt:variant>
        <vt:lpwstr>navpanes=0</vt:lpwstr>
      </vt:variant>
      <vt:variant>
        <vt:i4>2883634</vt:i4>
      </vt:variant>
      <vt:variant>
        <vt:i4>12</vt:i4>
      </vt:variant>
      <vt:variant>
        <vt:i4>0</vt:i4>
      </vt:variant>
      <vt:variant>
        <vt:i4>5</vt:i4>
      </vt:variant>
      <vt:variant>
        <vt:lpwstr>https://www.ercot.com/about</vt:lpwstr>
      </vt:variant>
      <vt:variant>
        <vt:lpwstr/>
      </vt:variant>
      <vt:variant>
        <vt:i4>4849730</vt:i4>
      </vt:variant>
      <vt:variant>
        <vt:i4>9</vt:i4>
      </vt:variant>
      <vt:variant>
        <vt:i4>0</vt:i4>
      </vt:variant>
      <vt:variant>
        <vt:i4>5</vt:i4>
      </vt:variant>
      <vt:variant>
        <vt:lpwstr>https://statutes.capitol.texas.gov/Docs/BO/htm/BO.22.htm</vt:lpwstr>
      </vt:variant>
      <vt:variant>
        <vt:lpwstr/>
      </vt:variant>
      <vt:variant>
        <vt:i4>5308531</vt:i4>
      </vt:variant>
      <vt:variant>
        <vt:i4>6</vt:i4>
      </vt:variant>
      <vt:variant>
        <vt:i4>0</vt:i4>
      </vt:variant>
      <vt:variant>
        <vt:i4>5</vt:i4>
      </vt:variant>
      <vt:variant>
        <vt:lpwstr>https://www.ercot.com/services/comm/mkt_notices/detail?id=72d4bf5f-da7d-4bca-9360-7c61059a764e</vt:lpwstr>
      </vt:variant>
      <vt:variant>
        <vt:lpwstr/>
      </vt:variant>
      <vt:variant>
        <vt:i4>1114158</vt:i4>
      </vt:variant>
      <vt:variant>
        <vt:i4>3</vt:i4>
      </vt:variant>
      <vt:variant>
        <vt:i4>0</vt:i4>
      </vt:variant>
      <vt:variant>
        <vt:i4>5</vt:i4>
      </vt:variant>
      <vt:variant>
        <vt:lpwstr>https://www.ercot.com/files/docs/2021/10/12/Amended_and_Restated_Bylaws_of_ERCOT__eff_10122021_.pdf</vt:lpwstr>
      </vt:variant>
      <vt:variant>
        <vt:lpwstr/>
      </vt:variant>
      <vt:variant>
        <vt:i4>3801191</vt:i4>
      </vt:variant>
      <vt:variant>
        <vt:i4>0</vt:i4>
      </vt:variant>
      <vt:variant>
        <vt:i4>0</vt:i4>
      </vt:variant>
      <vt:variant>
        <vt:i4>5</vt:i4>
      </vt:variant>
      <vt:variant>
        <vt:lpwstr>https://www.ercot.com/files/docs/2022/09/09/02 Draft Bylaws Amendment 09092022 (Clean and Redline).zip</vt:lpwstr>
      </vt:variant>
      <vt:variant>
        <vt:lpwstr/>
      </vt:variant>
      <vt:variant>
        <vt:i4>7929896</vt:i4>
      </vt:variant>
      <vt:variant>
        <vt:i4>24</vt:i4>
      </vt:variant>
      <vt:variant>
        <vt:i4>0</vt:i4>
      </vt:variant>
      <vt:variant>
        <vt:i4>5</vt:i4>
      </vt:variant>
      <vt:variant>
        <vt:lpwstr>https://lrl.texas.gov/scanned/signedBills/87-0/SB2.pdf</vt:lpwstr>
      </vt:variant>
      <vt:variant>
        <vt:lpwstr/>
      </vt:variant>
      <vt:variant>
        <vt:i4>3735607</vt:i4>
      </vt:variant>
      <vt:variant>
        <vt:i4>21</vt:i4>
      </vt:variant>
      <vt:variant>
        <vt:i4>0</vt:i4>
      </vt:variant>
      <vt:variant>
        <vt:i4>5</vt:i4>
      </vt:variant>
      <vt:variant>
        <vt:lpwstr>https://www.pjm.com/directory/merged-tariffs/oa.pdf</vt:lpwstr>
      </vt:variant>
      <vt:variant>
        <vt:lpwstr/>
      </vt:variant>
      <vt:variant>
        <vt:i4>1638433</vt:i4>
      </vt:variant>
      <vt:variant>
        <vt:i4>18</vt:i4>
      </vt:variant>
      <vt:variant>
        <vt:i4>0</vt:i4>
      </vt:variant>
      <vt:variant>
        <vt:i4>5</vt:i4>
      </vt:variant>
      <vt:variant>
        <vt:lpwstr>https://www.nyiso.com/documents/20142/1399438/By_Laws_NYISO_2017.pdf/ec19049e-f8f3-f72d-6460-699f8db53251</vt:lpwstr>
      </vt:variant>
      <vt:variant>
        <vt:lpwstr/>
      </vt:variant>
      <vt:variant>
        <vt:i4>8060965</vt:i4>
      </vt:variant>
      <vt:variant>
        <vt:i4>15</vt:i4>
      </vt:variant>
      <vt:variant>
        <vt:i4>0</vt:i4>
      </vt:variant>
      <vt:variant>
        <vt:i4>5</vt:i4>
      </vt:variant>
      <vt:variant>
        <vt:lpwstr>https://cdn.misoenergy.org/MISO TOA (for posting)47071.pdf</vt:lpwstr>
      </vt:variant>
      <vt:variant>
        <vt:lpwstr/>
      </vt:variant>
      <vt:variant>
        <vt:i4>71</vt:i4>
      </vt:variant>
      <vt:variant>
        <vt:i4>12</vt:i4>
      </vt:variant>
      <vt:variant>
        <vt:i4>0</vt:i4>
      </vt:variant>
      <vt:variant>
        <vt:i4>5</vt:i4>
      </vt:variant>
      <vt:variant>
        <vt:lpwstr>http://www.caiso.com/Documents/ISO-Corporate-Bylaws-amended-and-restated.pdf</vt:lpwstr>
      </vt:variant>
      <vt:variant>
        <vt:lpwstr/>
      </vt:variant>
      <vt:variant>
        <vt:i4>6750214</vt:i4>
      </vt:variant>
      <vt:variant>
        <vt:i4>9</vt:i4>
      </vt:variant>
      <vt:variant>
        <vt:i4>0</vt:i4>
      </vt:variant>
      <vt:variant>
        <vt:i4>5</vt:i4>
      </vt:variant>
      <vt:variant>
        <vt:lpwstr>https://www.ercot.com/files/docs/2022/08/01/01-080122_Nodal.docx</vt:lpwstr>
      </vt:variant>
      <vt:variant>
        <vt:lpwstr/>
      </vt:variant>
      <vt:variant>
        <vt:i4>5963850</vt:i4>
      </vt:variant>
      <vt:variant>
        <vt:i4>6</vt:i4>
      </vt:variant>
      <vt:variant>
        <vt:i4>0</vt:i4>
      </vt:variant>
      <vt:variant>
        <vt:i4>5</vt:i4>
      </vt:variant>
      <vt:variant>
        <vt:lpwstr>https://www.ercot.com/committees</vt:lpwstr>
      </vt:variant>
      <vt:variant>
        <vt:lpwstr/>
      </vt:variant>
      <vt:variant>
        <vt:i4>3997749</vt:i4>
      </vt:variant>
      <vt:variant>
        <vt:i4>3</vt:i4>
      </vt:variant>
      <vt:variant>
        <vt:i4>0</vt:i4>
      </vt:variant>
      <vt:variant>
        <vt:i4>5</vt:i4>
      </vt:variant>
      <vt:variant>
        <vt:lpwstr>https://www.ercot.com/mktrules</vt:lpwstr>
      </vt:variant>
      <vt:variant>
        <vt:lpwstr/>
      </vt:variant>
      <vt:variant>
        <vt:i4>7012473</vt:i4>
      </vt:variant>
      <vt:variant>
        <vt:i4>0</vt:i4>
      </vt:variant>
      <vt:variant>
        <vt:i4>0</vt:i4>
      </vt:variant>
      <vt:variant>
        <vt:i4>5</vt:i4>
      </vt:variant>
      <vt:variant>
        <vt:lpwstr>https://ercot.new.swagit.com/videos/178815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2022-09-30T18:19:00Z</dcterms:created>
  <dcterms:modified xsi:type="dcterms:W3CDTF">2022-09-30T19:33:00Z</dcterms:modified>
</cp:coreProperties>
</file>