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551B" w14:textId="77777777" w:rsidR="00424FD2" w:rsidRDefault="006141F3">
      <w:pPr>
        <w:pStyle w:val="Docketnumber"/>
        <w:rPr>
          <w:sz w:val="24"/>
          <w:szCs w:val="24"/>
        </w:rPr>
      </w:pPr>
      <w:r>
        <w:rPr>
          <w:sz w:val="24"/>
          <w:szCs w:val="24"/>
        </w:rPr>
        <w:t>PROJECT No. 52796</w:t>
      </w:r>
    </w:p>
    <w:p w14:paraId="2C41C97F" w14:textId="77777777" w:rsidR="00424FD2" w:rsidRDefault="00424FD2">
      <w:pPr>
        <w:jc w:val="center"/>
        <w:rPr>
          <w:b/>
        </w:rPr>
      </w:pPr>
    </w:p>
    <w:tbl>
      <w:tblPr>
        <w:tblW w:w="9754" w:type="dxa"/>
        <w:tblLook w:val="01E0" w:firstRow="1" w:lastRow="1" w:firstColumn="1" w:lastColumn="1" w:noHBand="0" w:noVBand="0"/>
      </w:tblPr>
      <w:tblGrid>
        <w:gridCol w:w="4744"/>
        <w:gridCol w:w="445"/>
        <w:gridCol w:w="4565"/>
      </w:tblGrid>
      <w:tr w:rsidR="00424FD2" w14:paraId="3179FD4E" w14:textId="77777777">
        <w:trPr>
          <w:trHeight w:val="487"/>
        </w:trPr>
        <w:tc>
          <w:tcPr>
            <w:tcW w:w="4744" w:type="dxa"/>
          </w:tcPr>
          <w:p w14:paraId="72DBDB0F" w14:textId="77777777" w:rsidR="00424FD2" w:rsidRDefault="006141F3">
            <w:pPr>
              <w:jc w:val="left"/>
              <w:rPr>
                <w:b/>
                <w:caps/>
                <w:szCs w:val="24"/>
              </w:rPr>
            </w:pPr>
            <w:r>
              <w:rPr>
                <w:b/>
                <w:caps/>
                <w:szCs w:val="24"/>
              </w:rPr>
              <w:t>REVIEW OF MARKET PARTICIPANT QUALIFICATIONS AND REPORTING REQUIREMENTS</w:t>
            </w:r>
          </w:p>
          <w:p w14:paraId="776FCB0D" w14:textId="77777777" w:rsidR="00424FD2" w:rsidRDefault="00424FD2">
            <w:pPr>
              <w:jc w:val="left"/>
              <w:rPr>
                <w:b/>
                <w:caps/>
              </w:rPr>
            </w:pPr>
          </w:p>
        </w:tc>
        <w:tc>
          <w:tcPr>
            <w:tcW w:w="445" w:type="dxa"/>
          </w:tcPr>
          <w:p w14:paraId="16CDB4A0" w14:textId="77777777" w:rsidR="00424FD2" w:rsidRDefault="006141F3">
            <w:pPr>
              <w:rPr>
                <w:b/>
              </w:rPr>
            </w:pPr>
            <w:r>
              <w:rPr>
                <w:b/>
              </w:rPr>
              <w:t>§</w:t>
            </w:r>
          </w:p>
          <w:p w14:paraId="6C971E30" w14:textId="77777777" w:rsidR="00424FD2" w:rsidRDefault="006141F3">
            <w:pPr>
              <w:rPr>
                <w:b/>
              </w:rPr>
            </w:pPr>
            <w:r>
              <w:rPr>
                <w:b/>
              </w:rPr>
              <w:t>§</w:t>
            </w:r>
          </w:p>
          <w:p w14:paraId="7C6DFCE3" w14:textId="77777777" w:rsidR="00424FD2" w:rsidRDefault="006141F3">
            <w:pPr>
              <w:rPr>
                <w:b/>
              </w:rPr>
            </w:pPr>
            <w:r>
              <w:rPr>
                <w:b/>
              </w:rPr>
              <w:t>§</w:t>
            </w:r>
          </w:p>
          <w:p w14:paraId="228B8E92" w14:textId="77777777" w:rsidR="00424FD2" w:rsidRDefault="00424FD2">
            <w:pPr>
              <w:rPr>
                <w:b/>
              </w:rPr>
            </w:pPr>
          </w:p>
          <w:p w14:paraId="5EE9457D" w14:textId="77777777" w:rsidR="00424FD2" w:rsidRDefault="00424FD2">
            <w:pPr>
              <w:rPr>
                <w:b/>
              </w:rPr>
            </w:pPr>
          </w:p>
        </w:tc>
        <w:tc>
          <w:tcPr>
            <w:tcW w:w="4565" w:type="dxa"/>
          </w:tcPr>
          <w:p w14:paraId="361BAD12" w14:textId="77777777" w:rsidR="00424FD2" w:rsidRDefault="006141F3">
            <w:pPr>
              <w:pStyle w:val="Docketstyle"/>
              <w:spacing w:line="240" w:lineRule="auto"/>
              <w:jc w:val="center"/>
              <w:rPr>
                <w:bCs/>
              </w:rPr>
            </w:pPr>
            <w:r>
              <w:rPr>
                <w:bCs/>
              </w:rPr>
              <w:t>PUBLIC UTILITY COMMISSION</w:t>
            </w:r>
          </w:p>
          <w:p w14:paraId="5ECB4B27" w14:textId="77777777" w:rsidR="00424FD2" w:rsidRDefault="00424FD2">
            <w:pPr>
              <w:pStyle w:val="Docketstyle"/>
              <w:spacing w:line="240" w:lineRule="auto"/>
              <w:jc w:val="center"/>
              <w:rPr>
                <w:bCs/>
              </w:rPr>
            </w:pPr>
          </w:p>
          <w:p w14:paraId="380EF92D" w14:textId="77777777" w:rsidR="00424FD2" w:rsidRDefault="006141F3">
            <w:pPr>
              <w:pStyle w:val="Docketstyle"/>
              <w:spacing w:line="240" w:lineRule="auto"/>
              <w:jc w:val="center"/>
              <w:rPr>
                <w:bCs/>
              </w:rPr>
            </w:pPr>
            <w:r>
              <w:rPr>
                <w:bCs/>
              </w:rPr>
              <w:t>OF TEXAS</w:t>
            </w:r>
          </w:p>
        </w:tc>
      </w:tr>
    </w:tbl>
    <w:p w14:paraId="2FF75787" w14:textId="6C622B55" w:rsidR="00424FD2" w:rsidRDefault="001970DA">
      <w:pPr>
        <w:pStyle w:val="Documentheading"/>
        <w:rPr>
          <w:sz w:val="24"/>
          <w:szCs w:val="24"/>
        </w:rPr>
      </w:pPr>
      <w:r>
        <w:rPr>
          <w:sz w:val="24"/>
          <w:szCs w:val="24"/>
        </w:rPr>
        <w:t>Texas Competitive Power advocates (TCPA)</w:t>
      </w:r>
      <w:r w:rsidR="006141F3">
        <w:rPr>
          <w:sz w:val="24"/>
          <w:szCs w:val="24"/>
        </w:rPr>
        <w:t xml:space="preserve"> INITIAL COMMENTS</w:t>
      </w:r>
    </w:p>
    <w:p w14:paraId="3EE5A6BE" w14:textId="77777777" w:rsidR="00424FD2" w:rsidRDefault="006141F3">
      <w:pPr>
        <w:pStyle w:val="Documentheading"/>
        <w:rPr>
          <w:sz w:val="24"/>
          <w:szCs w:val="24"/>
        </w:rPr>
      </w:pPr>
      <w:r>
        <w:rPr>
          <w:sz w:val="24"/>
          <w:szCs w:val="24"/>
        </w:rPr>
        <w:t>IN RESPONSE TO PROPOSAL FOR PUBLICATION</w:t>
      </w:r>
    </w:p>
    <w:p w14:paraId="0B3A928E" w14:textId="77777777" w:rsidR="00424FD2" w:rsidRDefault="00424FD2">
      <w:pPr>
        <w:pStyle w:val="Documentheading"/>
        <w:rPr>
          <w:sz w:val="24"/>
          <w:szCs w:val="24"/>
        </w:rPr>
      </w:pPr>
    </w:p>
    <w:p w14:paraId="611508A8" w14:textId="77777777" w:rsidR="00424FD2" w:rsidRDefault="006141F3">
      <w:pPr>
        <w:pStyle w:val="ListParagraph"/>
        <w:numPr>
          <w:ilvl w:val="0"/>
          <w:numId w:val="10"/>
        </w:numPr>
        <w:spacing w:line="360" w:lineRule="auto"/>
        <w:ind w:left="0" w:firstLine="0"/>
        <w:jc w:val="center"/>
        <w:rPr>
          <w:b/>
          <w:smallCaps/>
          <w:szCs w:val="24"/>
        </w:rPr>
      </w:pPr>
      <w:r>
        <w:rPr>
          <w:b/>
          <w:smallCaps/>
          <w:szCs w:val="24"/>
        </w:rPr>
        <w:t>Introduction</w:t>
      </w:r>
    </w:p>
    <w:p w14:paraId="61831D6A" w14:textId="3B7A3509" w:rsidR="001970DA" w:rsidRPr="00F61DC6" w:rsidRDefault="006141F3" w:rsidP="0015718F">
      <w:pPr>
        <w:spacing w:line="360" w:lineRule="auto"/>
        <w:ind w:firstLine="720"/>
        <w:rPr>
          <w:szCs w:val="24"/>
        </w:rPr>
      </w:pPr>
      <w:r>
        <w:rPr>
          <w:szCs w:val="24"/>
        </w:rPr>
        <w:tab/>
      </w:r>
      <w:r w:rsidR="001970DA">
        <w:rPr>
          <w:szCs w:val="24"/>
        </w:rPr>
        <w:t>Texas Competitive Power Advocates (TCPA)</w:t>
      </w:r>
      <w:r>
        <w:rPr>
          <w:szCs w:val="24"/>
        </w:rPr>
        <w:t xml:space="preserve"> </w:t>
      </w:r>
      <w:r w:rsidR="001970DA" w:rsidRPr="00F61DC6">
        <w:rPr>
          <w:szCs w:val="24"/>
        </w:rPr>
        <w:t>is a trade association representing power generation companies and wholesale power marketers with investments in Texas and the Electric Reliability Council of Texas (“ERCOT”) wholesale electric market. TCPA members</w:t>
      </w:r>
      <w:r w:rsidR="001970DA" w:rsidRPr="00F61DC6">
        <w:rPr>
          <w:rStyle w:val="FootnoteReference"/>
          <w:szCs w:val="24"/>
        </w:rPr>
        <w:footnoteReference w:id="1"/>
      </w:r>
      <w:r w:rsidR="001970DA" w:rsidRPr="00F61DC6">
        <w:rPr>
          <w:szCs w:val="24"/>
        </w:rPr>
        <w:t xml:space="preserve"> and their affiliates provide a wide range of important market functions and services in ERCOT, including development, operation, and management of power generation assets, power scheduling and marketing, energy management services and sales of competitive electric service to consumers. TCPA members provide almost </w:t>
      </w:r>
      <w:r w:rsidR="001970DA">
        <w:rPr>
          <w:szCs w:val="24"/>
        </w:rPr>
        <w:t>half</w:t>
      </w:r>
      <w:r w:rsidR="001970DA" w:rsidRPr="00F61DC6">
        <w:rPr>
          <w:szCs w:val="24"/>
        </w:rPr>
        <w:t xml:space="preserve"> (</w:t>
      </w:r>
      <w:r w:rsidR="001970DA">
        <w:rPr>
          <w:szCs w:val="24"/>
        </w:rPr>
        <w:t>5</w:t>
      </w:r>
      <w:r w:rsidR="001970DA" w:rsidRPr="00F61DC6">
        <w:rPr>
          <w:szCs w:val="24"/>
        </w:rPr>
        <w:t>0%) of the generating capacity in ERCOT</w:t>
      </w:r>
      <w:r w:rsidR="001970DA">
        <w:rPr>
          <w:szCs w:val="24"/>
        </w:rPr>
        <w:t xml:space="preserve"> and more than eighty percent (80%) of the natural gas generating capacity in ERCOT</w:t>
      </w:r>
      <w:r w:rsidR="001970DA" w:rsidRPr="00F61DC6">
        <w:rPr>
          <w:szCs w:val="24"/>
        </w:rPr>
        <w:t xml:space="preserve">. TCPA members have invested billions of dollars in the state and employ thousands of Texans. </w:t>
      </w:r>
    </w:p>
    <w:p w14:paraId="39605A06" w14:textId="77777777" w:rsidR="001970DA" w:rsidRDefault="001970DA" w:rsidP="004078AF">
      <w:pPr>
        <w:spacing w:line="360" w:lineRule="auto"/>
        <w:ind w:left="720" w:firstLine="720"/>
        <w:rPr>
          <w:szCs w:val="24"/>
        </w:rPr>
      </w:pPr>
      <w:r>
        <w:rPr>
          <w:szCs w:val="24"/>
        </w:rPr>
        <w:t xml:space="preserve">TCPA </w:t>
      </w:r>
      <w:r w:rsidR="006141F3">
        <w:rPr>
          <w:szCs w:val="24"/>
        </w:rPr>
        <w:t>file these Initial Comments in Response to the Proposal for Publication</w:t>
      </w:r>
      <w:r w:rsidR="00D04EF5">
        <w:rPr>
          <w:szCs w:val="24"/>
        </w:rPr>
        <w:t xml:space="preserve">, </w:t>
      </w:r>
    </w:p>
    <w:p w14:paraId="7EFA0246" w14:textId="406A71A5" w:rsidR="00424FD2" w:rsidRDefault="00D04EF5" w:rsidP="004078AF">
      <w:pPr>
        <w:spacing w:line="360" w:lineRule="auto"/>
        <w:rPr>
          <w:szCs w:val="24"/>
        </w:rPr>
      </w:pPr>
      <w:r>
        <w:rPr>
          <w:szCs w:val="24"/>
        </w:rPr>
        <w:t>specifically with respect to the proposed changes to</w:t>
      </w:r>
      <w:r w:rsidR="00C2275D">
        <w:rPr>
          <w:szCs w:val="24"/>
        </w:rPr>
        <w:t xml:space="preserve"> </w:t>
      </w:r>
      <w:r w:rsidR="006141F3">
        <w:rPr>
          <w:szCs w:val="24"/>
        </w:rPr>
        <w:t xml:space="preserve">16 </w:t>
      </w:r>
      <w:r>
        <w:rPr>
          <w:szCs w:val="24"/>
        </w:rPr>
        <w:t xml:space="preserve">Tex. Admin. Code </w:t>
      </w:r>
      <w:r w:rsidR="006141F3">
        <w:rPr>
          <w:szCs w:val="24"/>
        </w:rPr>
        <w:t xml:space="preserve">(TAC) § 25.109. </w:t>
      </w:r>
      <w:r>
        <w:rPr>
          <w:szCs w:val="24"/>
        </w:rPr>
        <w:t xml:space="preserve">These </w:t>
      </w:r>
      <w:r w:rsidR="006141F3">
        <w:rPr>
          <w:szCs w:val="24"/>
        </w:rPr>
        <w:t>Initial Comments are timely file</w:t>
      </w:r>
      <w:r>
        <w:rPr>
          <w:szCs w:val="24"/>
        </w:rPr>
        <w:t>d on November 14, 2022</w:t>
      </w:r>
      <w:r w:rsidR="006141F3">
        <w:rPr>
          <w:szCs w:val="24"/>
        </w:rPr>
        <w:t>.</w:t>
      </w:r>
    </w:p>
    <w:p w14:paraId="3209DEB9" w14:textId="3B81E532" w:rsidR="00424FD2" w:rsidRDefault="006141F3">
      <w:pPr>
        <w:spacing w:line="360" w:lineRule="auto"/>
        <w:rPr>
          <w:szCs w:val="24"/>
        </w:rPr>
      </w:pPr>
      <w:r>
        <w:rPr>
          <w:szCs w:val="24"/>
        </w:rPr>
        <w:tab/>
      </w:r>
    </w:p>
    <w:p w14:paraId="3FB22258" w14:textId="77777777" w:rsidR="00424FD2" w:rsidRDefault="006141F3">
      <w:pPr>
        <w:pStyle w:val="ListParagraph"/>
        <w:numPr>
          <w:ilvl w:val="0"/>
          <w:numId w:val="10"/>
        </w:numPr>
        <w:spacing w:line="360" w:lineRule="auto"/>
        <w:ind w:left="0" w:firstLine="0"/>
        <w:jc w:val="center"/>
        <w:rPr>
          <w:b/>
          <w:smallCaps/>
          <w:szCs w:val="24"/>
        </w:rPr>
      </w:pPr>
      <w:r>
        <w:rPr>
          <w:b/>
          <w:smallCaps/>
          <w:szCs w:val="24"/>
        </w:rPr>
        <w:t>Comments in Response to Proposal for Publication</w:t>
      </w:r>
    </w:p>
    <w:p w14:paraId="0DCB8C08" w14:textId="77777777" w:rsidR="00B270BA" w:rsidRDefault="00B270BA">
      <w:pPr>
        <w:pStyle w:val="ListParagraph"/>
        <w:spacing w:line="360" w:lineRule="auto"/>
        <w:ind w:left="0" w:firstLine="720"/>
        <w:contextualSpacing w:val="0"/>
        <w:rPr>
          <w:szCs w:val="24"/>
        </w:rPr>
      </w:pPr>
    </w:p>
    <w:p w14:paraId="1DBA782A" w14:textId="7AA162D3" w:rsidR="00F91FFD" w:rsidRDefault="001970DA">
      <w:pPr>
        <w:pStyle w:val="ListParagraph"/>
        <w:spacing w:line="360" w:lineRule="auto"/>
        <w:ind w:left="0" w:firstLine="720"/>
        <w:contextualSpacing w:val="0"/>
        <w:rPr>
          <w:szCs w:val="24"/>
        </w:rPr>
      </w:pPr>
      <w:r>
        <w:rPr>
          <w:szCs w:val="24"/>
        </w:rPr>
        <w:t>TCPA</w:t>
      </w:r>
      <w:r w:rsidR="00F91FFD">
        <w:rPr>
          <w:szCs w:val="24"/>
        </w:rPr>
        <w:t xml:space="preserve"> </w:t>
      </w:r>
      <w:r w:rsidR="00C2275D">
        <w:rPr>
          <w:szCs w:val="24"/>
        </w:rPr>
        <w:t xml:space="preserve">is concerned that </w:t>
      </w:r>
      <w:r w:rsidR="00F91FFD">
        <w:rPr>
          <w:szCs w:val="24"/>
        </w:rPr>
        <w:t>the proposed definition for “self-generato</w:t>
      </w:r>
      <w:r w:rsidR="00C2275D">
        <w:rPr>
          <w:szCs w:val="24"/>
        </w:rPr>
        <w:t>r” would allow persons that are, by definition, power generation companies (PGCs) under the Public Utility Regulatory Act (PURA)</w:t>
      </w:r>
      <w:r w:rsidR="00C2275D">
        <w:rPr>
          <w:rStyle w:val="FootnoteReference"/>
          <w:szCs w:val="24"/>
        </w:rPr>
        <w:footnoteReference w:id="2"/>
      </w:r>
      <w:r w:rsidR="00C2275D">
        <w:rPr>
          <w:szCs w:val="24"/>
        </w:rPr>
        <w:t xml:space="preserve"> to avoid registration as such and thus to escape the associated regulatory requirements of PGC status.</w:t>
      </w:r>
      <w:r w:rsidR="00F91FFD">
        <w:rPr>
          <w:szCs w:val="24"/>
        </w:rPr>
        <w:t xml:space="preserve"> The proposed definition would allow a person to register as a “self-generator,” rather than </w:t>
      </w:r>
      <w:r w:rsidR="00C2275D">
        <w:rPr>
          <w:szCs w:val="24"/>
        </w:rPr>
        <w:t xml:space="preserve">a </w:t>
      </w:r>
      <w:r w:rsidR="00F91FFD">
        <w:rPr>
          <w:szCs w:val="24"/>
        </w:rPr>
        <w:t xml:space="preserve">PGC, if the person sells a limited amount of capacity (the lesser of 10 </w:t>
      </w:r>
      <w:r w:rsidR="00F91FFD">
        <w:rPr>
          <w:szCs w:val="24"/>
        </w:rPr>
        <w:lastRenderedPageBreak/>
        <w:t>percent of its capacity rating or 10 megawatts (MW)) into the wholesale energy or ancillary services on any given day, if the generation facility has a capacity rating that is not greater than the maximum MW consumption of co-located load (either owned by</w:t>
      </w:r>
      <w:r w:rsidR="00B270BA">
        <w:rPr>
          <w:szCs w:val="24"/>
        </w:rPr>
        <w:t>,</w:t>
      </w:r>
      <w:r w:rsidR="00F91FFD">
        <w:rPr>
          <w:szCs w:val="24"/>
        </w:rPr>
        <w:t xml:space="preserve"> or under common ownership with</w:t>
      </w:r>
      <w:r w:rsidR="00B270BA">
        <w:rPr>
          <w:szCs w:val="24"/>
        </w:rPr>
        <w:t>,</w:t>
      </w:r>
      <w:r w:rsidR="00F91FFD">
        <w:rPr>
          <w:szCs w:val="24"/>
        </w:rPr>
        <w:t xml:space="preserve"> the generator) and has the primary purpose of serving that co-located load. The proposed definition would </w:t>
      </w:r>
      <w:r w:rsidR="00236DC4">
        <w:rPr>
          <w:szCs w:val="24"/>
        </w:rPr>
        <w:t>con</w:t>
      </w:r>
      <w:r w:rsidR="00B270BA">
        <w:rPr>
          <w:szCs w:val="24"/>
        </w:rPr>
        <w:t>tradict</w:t>
      </w:r>
      <w:r w:rsidR="00F91FFD">
        <w:rPr>
          <w:szCs w:val="24"/>
        </w:rPr>
        <w:t xml:space="preserve"> the definition of PGC in PURA, which applies to any person that generates electricity</w:t>
      </w:r>
      <w:r w:rsidR="00B270BA">
        <w:rPr>
          <w:szCs w:val="24"/>
        </w:rPr>
        <w:t xml:space="preserve"> intended</w:t>
      </w:r>
      <w:r w:rsidR="00F91FFD">
        <w:rPr>
          <w:szCs w:val="24"/>
        </w:rPr>
        <w:t xml:space="preserve"> for sale at wholesale and</w:t>
      </w:r>
      <w:r w:rsidR="00B270BA">
        <w:rPr>
          <w:szCs w:val="24"/>
        </w:rPr>
        <w:t>, importantly,</w:t>
      </w:r>
      <w:r w:rsidR="00F91FFD">
        <w:rPr>
          <w:szCs w:val="24"/>
        </w:rPr>
        <w:t xml:space="preserve"> does not provide any exceptions</w:t>
      </w:r>
      <w:r w:rsidR="00B270BA">
        <w:rPr>
          <w:szCs w:val="24"/>
        </w:rPr>
        <w:t xml:space="preserve"> based on the size or frequency of the sales</w:t>
      </w:r>
      <w:r w:rsidR="00F91FFD">
        <w:rPr>
          <w:szCs w:val="24"/>
        </w:rPr>
        <w:t>.</w:t>
      </w:r>
      <w:r w:rsidR="00236DC4">
        <w:rPr>
          <w:szCs w:val="24"/>
        </w:rPr>
        <w:t xml:space="preserve"> Thus, if adopted as proposed, the new definition would enable persons that qualify as PGCs under PURA to not register as such </w:t>
      </w:r>
      <w:r w:rsidR="00B270BA">
        <w:rPr>
          <w:szCs w:val="24"/>
        </w:rPr>
        <w:t>and would excuse them from complying</w:t>
      </w:r>
      <w:r w:rsidR="00236DC4">
        <w:rPr>
          <w:szCs w:val="24"/>
        </w:rPr>
        <w:t xml:space="preserve"> with the associated requirements of operating as a PGC in Texas.</w:t>
      </w:r>
      <w:r w:rsidR="00F91FFD">
        <w:rPr>
          <w:szCs w:val="24"/>
        </w:rPr>
        <w:t xml:space="preserve"> </w:t>
      </w:r>
    </w:p>
    <w:p w14:paraId="2E6B4BCD" w14:textId="77777777" w:rsidR="00B270BA" w:rsidRDefault="00B270BA">
      <w:pPr>
        <w:pStyle w:val="ListParagraph"/>
        <w:spacing w:line="360" w:lineRule="auto"/>
        <w:ind w:left="0" w:firstLine="720"/>
        <w:contextualSpacing w:val="0"/>
        <w:rPr>
          <w:szCs w:val="24"/>
        </w:rPr>
      </w:pPr>
    </w:p>
    <w:p w14:paraId="00D9B02C" w14:textId="23A0C12A" w:rsidR="00F91FFD" w:rsidRDefault="00F91FFD">
      <w:pPr>
        <w:pStyle w:val="ListParagraph"/>
        <w:spacing w:line="360" w:lineRule="auto"/>
        <w:ind w:left="0" w:firstLine="720"/>
        <w:contextualSpacing w:val="0"/>
        <w:rPr>
          <w:szCs w:val="24"/>
        </w:rPr>
      </w:pPr>
      <w:r>
        <w:rPr>
          <w:szCs w:val="24"/>
        </w:rPr>
        <w:t>More specifically, the PFP proposes the following definition for “self-generator”</w:t>
      </w:r>
      <w:r w:rsidR="0096434E">
        <w:rPr>
          <w:szCs w:val="24"/>
        </w:rPr>
        <w:t xml:space="preserve"> in proposed § 25.109(b)(3)</w:t>
      </w:r>
      <w:r>
        <w:rPr>
          <w:szCs w:val="24"/>
        </w:rPr>
        <w:t>:</w:t>
      </w:r>
    </w:p>
    <w:p w14:paraId="691F391A" w14:textId="77777777" w:rsidR="00B270BA" w:rsidRDefault="00B270BA">
      <w:pPr>
        <w:pStyle w:val="ListParagraph"/>
        <w:spacing w:line="360" w:lineRule="auto"/>
        <w:ind w:left="0" w:firstLine="720"/>
        <w:contextualSpacing w:val="0"/>
        <w:rPr>
          <w:szCs w:val="24"/>
        </w:rPr>
      </w:pPr>
    </w:p>
    <w:p w14:paraId="6870B102" w14:textId="77777777" w:rsidR="00F91FFD" w:rsidRDefault="00F91FFD" w:rsidP="003678E4">
      <w:pPr>
        <w:pStyle w:val="ListParagraph"/>
        <w:spacing w:line="360" w:lineRule="auto"/>
        <w:contextualSpacing w:val="0"/>
      </w:pPr>
      <w:r>
        <w:t xml:space="preserve">(3) </w:t>
      </w:r>
      <w:r w:rsidRPr="004806A8">
        <w:rPr>
          <w:u w:val="single"/>
        </w:rPr>
        <w:t>Self-generator</w:t>
      </w:r>
      <w:r>
        <w:t xml:space="preserve"> -- A QF that does not sell electricity at wholesale or provides electricity only to the purchaser of the facility's thermal output, </w:t>
      </w:r>
      <w:r w:rsidRPr="004806A8">
        <w:rPr>
          <w:u w:val="single"/>
        </w:rPr>
        <w:t>or a person that</w:t>
      </w:r>
      <w:r>
        <w:t xml:space="preserve">: </w:t>
      </w:r>
    </w:p>
    <w:p w14:paraId="46438300" w14:textId="1F3705CC" w:rsidR="00F91FFD" w:rsidRDefault="00F91FFD" w:rsidP="00F91FFD">
      <w:pPr>
        <w:pStyle w:val="ListParagraph"/>
        <w:spacing w:line="360" w:lineRule="auto"/>
        <w:ind w:left="1440" w:hanging="720"/>
        <w:contextualSpacing w:val="0"/>
      </w:pPr>
      <w:r>
        <w:t xml:space="preserve">(A) </w:t>
      </w:r>
      <w:r w:rsidR="003678E4">
        <w:tab/>
      </w:r>
      <w:r w:rsidRPr="004806A8">
        <w:rPr>
          <w:u w:val="single"/>
        </w:rPr>
        <w:t>is not a PGC</w:t>
      </w:r>
      <w:r>
        <w:t>;</w:t>
      </w:r>
    </w:p>
    <w:p w14:paraId="270578B5" w14:textId="1CE61397" w:rsidR="00F91FFD" w:rsidRDefault="00F91FFD" w:rsidP="00F91FFD">
      <w:pPr>
        <w:pStyle w:val="ListParagraph"/>
        <w:spacing w:line="360" w:lineRule="auto"/>
        <w:ind w:left="1440" w:hanging="720"/>
        <w:contextualSpacing w:val="0"/>
      </w:pPr>
      <w:r>
        <w:t xml:space="preserve">(B) </w:t>
      </w:r>
      <w:r w:rsidR="003678E4">
        <w:tab/>
      </w:r>
      <w:r>
        <w:t xml:space="preserve">owns an electrical generating facility rated at one megawatt or more, but not more than the maximum megawatt consumption of the co-located load (using historical megawatt consumption data or expectations of megawatt consumption if the co-located load is new or an addition has been made to the existing co-located load); and </w:t>
      </w:r>
      <w:r w:rsidRPr="0006338D">
        <w:rPr>
          <w:u w:val="single"/>
        </w:rPr>
        <w:t>whose primary purpose is to serve the co-located load,</w:t>
      </w:r>
      <w:r>
        <w:t xml:space="preserve"> </w:t>
      </w:r>
      <w:r w:rsidRPr="004806A8">
        <w:rPr>
          <w:u w:val="single"/>
        </w:rPr>
        <w:t>but can sell up to the lesser of 10% of its capacity rating or 10 megawatts of wholesale energy or ancillary services on any given day</w:t>
      </w:r>
      <w:r>
        <w:t>; and</w:t>
      </w:r>
    </w:p>
    <w:p w14:paraId="17F48C33" w14:textId="418A4F56" w:rsidR="00F91FFD" w:rsidRDefault="00F91FFD" w:rsidP="003678E4">
      <w:pPr>
        <w:pStyle w:val="ListParagraph"/>
        <w:spacing w:after="120" w:line="360" w:lineRule="auto"/>
        <w:ind w:left="1440" w:hanging="720"/>
        <w:contextualSpacing w:val="0"/>
        <w:rPr>
          <w:szCs w:val="24"/>
        </w:rPr>
      </w:pPr>
      <w:r>
        <w:t xml:space="preserve">(C) </w:t>
      </w:r>
      <w:r w:rsidR="003678E4">
        <w:tab/>
      </w:r>
      <w:r>
        <w:t>owns or is under common ownership with the co-located load.</w:t>
      </w:r>
    </w:p>
    <w:p w14:paraId="399BC06A" w14:textId="77777777" w:rsidR="00B270BA" w:rsidRDefault="00B270BA" w:rsidP="003678E4">
      <w:pPr>
        <w:spacing w:line="360" w:lineRule="auto"/>
        <w:rPr>
          <w:szCs w:val="24"/>
        </w:rPr>
      </w:pPr>
    </w:p>
    <w:p w14:paraId="5C3526D2" w14:textId="1EB8FBAC" w:rsidR="00F91FFD" w:rsidRDefault="003678E4" w:rsidP="003678E4">
      <w:pPr>
        <w:spacing w:line="360" w:lineRule="auto"/>
        <w:rPr>
          <w:szCs w:val="24"/>
        </w:rPr>
      </w:pPr>
      <w:r>
        <w:rPr>
          <w:szCs w:val="24"/>
        </w:rPr>
        <w:t xml:space="preserve">Emphasis added. </w:t>
      </w:r>
      <w:r w:rsidR="00462CC7">
        <w:rPr>
          <w:szCs w:val="24"/>
        </w:rPr>
        <w:t xml:space="preserve">PURA </w:t>
      </w:r>
      <w:r w:rsidR="00236DC4">
        <w:rPr>
          <w:szCs w:val="24"/>
        </w:rPr>
        <w:t>§ 31.002(10)</w:t>
      </w:r>
      <w:r w:rsidR="0096434E">
        <w:rPr>
          <w:szCs w:val="24"/>
        </w:rPr>
        <w:t xml:space="preserve"> defines a PGC as follows:</w:t>
      </w:r>
    </w:p>
    <w:p w14:paraId="2DB81E1A" w14:textId="77777777" w:rsidR="00B270BA" w:rsidRDefault="00B270BA" w:rsidP="003678E4">
      <w:pPr>
        <w:spacing w:line="360" w:lineRule="auto"/>
        <w:rPr>
          <w:szCs w:val="24"/>
        </w:rPr>
      </w:pPr>
    </w:p>
    <w:p w14:paraId="45AFA2B2" w14:textId="77777777" w:rsidR="0096434E" w:rsidRDefault="0096434E" w:rsidP="0096434E">
      <w:pPr>
        <w:pStyle w:val="ListParagraph"/>
        <w:spacing w:line="360" w:lineRule="auto"/>
        <w:contextualSpacing w:val="0"/>
      </w:pPr>
      <w:r>
        <w:rPr>
          <w:u w:val="single"/>
        </w:rPr>
        <w:t>“</w:t>
      </w:r>
      <w:r w:rsidRPr="004806A8">
        <w:rPr>
          <w:u w:val="single"/>
        </w:rPr>
        <w:t>Power generation company</w:t>
      </w:r>
      <w:r>
        <w:rPr>
          <w:u w:val="single"/>
        </w:rPr>
        <w:t>”</w:t>
      </w:r>
      <w:r w:rsidRPr="004806A8">
        <w:rPr>
          <w:u w:val="single"/>
        </w:rPr>
        <w:t xml:space="preserve"> means a person</w:t>
      </w:r>
      <w:r>
        <w:t xml:space="preserve">, including a person who owns or operates a distributed natural gas generation facility, </w:t>
      </w:r>
      <w:r w:rsidRPr="004806A8">
        <w:rPr>
          <w:u w:val="single"/>
        </w:rPr>
        <w:t>that</w:t>
      </w:r>
      <w:r>
        <w:t xml:space="preserve">: </w:t>
      </w:r>
    </w:p>
    <w:p w14:paraId="7E01710F" w14:textId="13120C16" w:rsidR="0096434E" w:rsidRDefault="0096434E" w:rsidP="0096434E">
      <w:pPr>
        <w:pStyle w:val="ListParagraph"/>
        <w:spacing w:line="360" w:lineRule="auto"/>
        <w:ind w:left="1440" w:hanging="720"/>
        <w:contextualSpacing w:val="0"/>
      </w:pPr>
      <w:r>
        <w:lastRenderedPageBreak/>
        <w:t xml:space="preserve">(A) </w:t>
      </w:r>
      <w:r>
        <w:tab/>
      </w:r>
      <w:r w:rsidRPr="004806A8">
        <w:rPr>
          <w:u w:val="single"/>
        </w:rPr>
        <w:t>generates electricity that is intended to be sold at wholesale</w:t>
      </w:r>
      <w:r>
        <w:t xml:space="preserve">, including the owner or operator of electric energy storage equipment or facilities to which Subchapter E, Chapter 35, applies; </w:t>
      </w:r>
    </w:p>
    <w:p w14:paraId="185B49F5" w14:textId="4903F950" w:rsidR="0096434E" w:rsidRDefault="0096434E" w:rsidP="0096434E">
      <w:pPr>
        <w:pStyle w:val="ListParagraph"/>
        <w:spacing w:line="360" w:lineRule="auto"/>
        <w:ind w:left="1440" w:hanging="720"/>
        <w:contextualSpacing w:val="0"/>
      </w:pPr>
      <w:r>
        <w:t xml:space="preserve">(B) </w:t>
      </w:r>
      <w:r>
        <w:tab/>
        <w:t xml:space="preserve">does not own a transmission or distribution facility in this state other than an essential interconnecting facility, a facility not dedicated to public use, or a facility otherwise excluded from the definition of </w:t>
      </w:r>
      <w:r w:rsidR="00B270BA">
        <w:t>“</w:t>
      </w:r>
      <w:r>
        <w:t>electric utility</w:t>
      </w:r>
      <w:r w:rsidR="00B270BA">
        <w:t>”</w:t>
      </w:r>
      <w:r>
        <w:t xml:space="preserve"> under this section; and </w:t>
      </w:r>
    </w:p>
    <w:p w14:paraId="0130F913" w14:textId="1028F842" w:rsidR="0096434E" w:rsidRDefault="0096434E" w:rsidP="0096434E">
      <w:pPr>
        <w:pStyle w:val="ListParagraph"/>
        <w:spacing w:line="360" w:lineRule="auto"/>
        <w:ind w:left="1440" w:hanging="720"/>
        <w:contextualSpacing w:val="0"/>
        <w:rPr>
          <w:szCs w:val="24"/>
        </w:rPr>
      </w:pPr>
      <w:r>
        <w:t xml:space="preserve">(C) </w:t>
      </w:r>
      <w:r>
        <w:tab/>
        <w:t>does not have a certificated service area, although its affiliated electric utility or transmission and distribution utility may have a certificated service area.</w:t>
      </w:r>
      <w:r>
        <w:rPr>
          <w:szCs w:val="24"/>
        </w:rPr>
        <w:t xml:space="preserve"> </w:t>
      </w:r>
    </w:p>
    <w:p w14:paraId="47C87B3B" w14:textId="5C77C47D" w:rsidR="0096434E" w:rsidRDefault="0096434E" w:rsidP="0096434E">
      <w:pPr>
        <w:spacing w:before="240" w:line="360" w:lineRule="auto"/>
        <w:rPr>
          <w:szCs w:val="24"/>
        </w:rPr>
      </w:pPr>
      <w:r>
        <w:rPr>
          <w:szCs w:val="24"/>
        </w:rPr>
        <w:t>Emphasis added. In addition, PURA § 39.351(a) prohibits a person from generating electricity unless the person is registered as a PGC:</w:t>
      </w:r>
    </w:p>
    <w:p w14:paraId="79B9DC81" w14:textId="77777777" w:rsidR="00B270BA" w:rsidRDefault="00B270BA" w:rsidP="0096434E">
      <w:pPr>
        <w:spacing w:before="240" w:line="360" w:lineRule="auto"/>
        <w:rPr>
          <w:szCs w:val="24"/>
        </w:rPr>
      </w:pPr>
    </w:p>
    <w:p w14:paraId="0DEF5ADE" w14:textId="42A12719" w:rsidR="0096434E" w:rsidRDefault="0096434E" w:rsidP="0096434E">
      <w:pPr>
        <w:pStyle w:val="ListParagraph"/>
        <w:spacing w:line="360" w:lineRule="auto"/>
        <w:contextualSpacing w:val="0"/>
        <w:rPr>
          <w:szCs w:val="24"/>
        </w:rPr>
      </w:pPr>
      <w:r>
        <w:t>(a) A person may not generate electricity unless the person is registered with the commission as a power generation company in accordance with this section.</w:t>
      </w:r>
    </w:p>
    <w:p w14:paraId="4F94FB82" w14:textId="77777777" w:rsidR="00F91FFD" w:rsidRDefault="00F91FFD">
      <w:pPr>
        <w:pStyle w:val="ListParagraph"/>
        <w:spacing w:line="360" w:lineRule="auto"/>
        <w:ind w:left="0" w:firstLine="720"/>
        <w:contextualSpacing w:val="0"/>
        <w:rPr>
          <w:szCs w:val="24"/>
        </w:rPr>
      </w:pPr>
    </w:p>
    <w:p w14:paraId="1AABD164" w14:textId="117AB9B3" w:rsidR="0006338D" w:rsidRDefault="0096434E">
      <w:pPr>
        <w:pStyle w:val="ListParagraph"/>
        <w:spacing w:line="360" w:lineRule="auto"/>
        <w:ind w:left="0" w:firstLine="720"/>
        <w:contextualSpacing w:val="0"/>
        <w:rPr>
          <w:szCs w:val="24"/>
        </w:rPr>
      </w:pPr>
      <w:r>
        <w:rPr>
          <w:szCs w:val="24"/>
        </w:rPr>
        <w:t>In other words, a person that generates electricity that is intended to be sold at wholesale is a PGC under a PURA, and a person may not generate electricity unless it registers as a PGC. There is no exception in PURA f</w:t>
      </w:r>
      <w:r w:rsidR="0006338D">
        <w:rPr>
          <w:szCs w:val="24"/>
        </w:rPr>
        <w:t>rom the categorization as a PGC and the requirement to register as such if the person will only generate a portion of its capacity for sale at wholesale on any given day or if the person’s primary intent is to generate electricity</w:t>
      </w:r>
      <w:r w:rsidR="00B270BA">
        <w:rPr>
          <w:szCs w:val="24"/>
        </w:rPr>
        <w:t xml:space="preserve"> only</w:t>
      </w:r>
      <w:r w:rsidR="0006338D">
        <w:rPr>
          <w:szCs w:val="24"/>
        </w:rPr>
        <w:t xml:space="preserve"> for co-located load behind the m</w:t>
      </w:r>
      <w:r w:rsidR="00B270BA">
        <w:rPr>
          <w:szCs w:val="24"/>
        </w:rPr>
        <w:t>e</w:t>
      </w:r>
      <w:r w:rsidR="0006338D">
        <w:rPr>
          <w:szCs w:val="24"/>
        </w:rPr>
        <w:t>ter. By allowing a person to avoid registration as a PGC based on the person’s intent to sell only up to 10 percent of the unit’s capacity (or, if lower, 10 MW) on any given day, the rule would allow a person to</w:t>
      </w:r>
      <w:r w:rsidR="00B270BA">
        <w:rPr>
          <w:szCs w:val="24"/>
        </w:rPr>
        <w:t xml:space="preserve"> violate</w:t>
      </w:r>
      <w:r w:rsidR="0006338D">
        <w:rPr>
          <w:szCs w:val="24"/>
        </w:rPr>
        <w:t xml:space="preserve"> PURA. Even if the person has a “primary purpose” of serving co-located load and even if their generation unit is sized to meet the maximum capacity of the co-located load, the person would still meet the PURA definition of PGC (i.e., which applies </w:t>
      </w:r>
      <w:r w:rsidR="00B270BA">
        <w:rPr>
          <w:szCs w:val="24"/>
        </w:rPr>
        <w:t xml:space="preserve">if </w:t>
      </w:r>
      <w:r w:rsidR="0006338D">
        <w:rPr>
          <w:szCs w:val="24"/>
        </w:rPr>
        <w:t xml:space="preserve">a person generates electricity that is intended to be sold at wholesale) if the person sells </w:t>
      </w:r>
      <w:r w:rsidR="00B270BA">
        <w:rPr>
          <w:szCs w:val="24"/>
        </w:rPr>
        <w:t>any</w:t>
      </w:r>
      <w:r w:rsidR="0006338D">
        <w:rPr>
          <w:szCs w:val="24"/>
        </w:rPr>
        <w:t xml:space="preserve"> portion of their capacity into the wholesale market</w:t>
      </w:r>
      <w:r w:rsidR="00B270BA">
        <w:rPr>
          <w:szCs w:val="24"/>
        </w:rPr>
        <w:t xml:space="preserve"> at any time</w:t>
      </w:r>
      <w:r w:rsidR="0006338D">
        <w:rPr>
          <w:szCs w:val="24"/>
        </w:rPr>
        <w:t>. A sale of capacity into the wholesale market cannot be done accidentally, and thus, a person that makes such a sale necessarily generated electricity with the intent to do so. Thus, a person that sells any amount of their capacity into the wholesale market at any time is a PGC and should be required to register as such, regardless of whether such sales are not the person’s “primary purpose.</w:t>
      </w:r>
      <w:r w:rsidR="00C2275D">
        <w:rPr>
          <w:szCs w:val="24"/>
        </w:rPr>
        <w:t>”</w:t>
      </w:r>
      <w:r w:rsidR="0006338D">
        <w:rPr>
          <w:szCs w:val="24"/>
        </w:rPr>
        <w:t xml:space="preserve"> </w:t>
      </w:r>
    </w:p>
    <w:p w14:paraId="25E879D0" w14:textId="77777777" w:rsidR="00C2275D" w:rsidRDefault="00C2275D">
      <w:pPr>
        <w:pStyle w:val="ListParagraph"/>
        <w:spacing w:line="360" w:lineRule="auto"/>
        <w:ind w:left="0" w:firstLine="720"/>
        <w:contextualSpacing w:val="0"/>
        <w:rPr>
          <w:szCs w:val="24"/>
        </w:rPr>
      </w:pPr>
    </w:p>
    <w:p w14:paraId="79A456FA" w14:textId="7F0232FE" w:rsidR="004806A8" w:rsidRDefault="00C2275D">
      <w:pPr>
        <w:pStyle w:val="ListParagraph"/>
        <w:spacing w:line="360" w:lineRule="auto"/>
        <w:ind w:left="0" w:firstLine="720"/>
        <w:contextualSpacing w:val="0"/>
        <w:rPr>
          <w:szCs w:val="24"/>
        </w:rPr>
      </w:pPr>
      <w:r>
        <w:rPr>
          <w:szCs w:val="24"/>
        </w:rPr>
        <w:t>Allowing a person that is a PGC to avoid registration as such is not pure semantics.</w:t>
      </w:r>
      <w:r w:rsidR="0096434E">
        <w:rPr>
          <w:szCs w:val="24"/>
        </w:rPr>
        <w:t xml:space="preserve"> </w:t>
      </w:r>
      <w:r w:rsidR="00F91FFD">
        <w:rPr>
          <w:szCs w:val="24"/>
        </w:rPr>
        <w:t xml:space="preserve">The consequence of classifying a generator as a “self-generator” rather than a PGC would be that the person would not be subject to </w:t>
      </w:r>
      <w:r w:rsidR="00546798">
        <w:rPr>
          <w:szCs w:val="24"/>
        </w:rPr>
        <w:t xml:space="preserve">statutory </w:t>
      </w:r>
      <w:r w:rsidR="00F91FFD">
        <w:rPr>
          <w:szCs w:val="24"/>
        </w:rPr>
        <w:t>requirements that apply to PGCs</w:t>
      </w:r>
      <w:r w:rsidR="00546798">
        <w:rPr>
          <w:szCs w:val="24"/>
        </w:rPr>
        <w:t>, such as the requirement to observe all scheduling, operating, planning, reliability, and settlement polices, rules, guidelines, and procedures established by ERCOT</w:t>
      </w:r>
      <w:r w:rsidR="00B270BA">
        <w:rPr>
          <w:szCs w:val="24"/>
        </w:rPr>
        <w:t>.</w:t>
      </w:r>
      <w:r w:rsidR="00546798">
        <w:rPr>
          <w:rStyle w:val="FootnoteReference"/>
          <w:szCs w:val="24"/>
        </w:rPr>
        <w:footnoteReference w:id="3"/>
      </w:r>
      <w:r w:rsidR="00F91FFD">
        <w:rPr>
          <w:szCs w:val="24"/>
        </w:rPr>
        <w:t xml:space="preserve"> </w:t>
      </w:r>
      <w:r>
        <w:rPr>
          <w:szCs w:val="24"/>
        </w:rPr>
        <w:t xml:space="preserve">A person that will participate in the wholesale electricity market – regardless of the amount or frequency of such participation – should be required to comply with all the requirements that apply to </w:t>
      </w:r>
      <w:r w:rsidR="00546798">
        <w:rPr>
          <w:szCs w:val="24"/>
        </w:rPr>
        <w:t>the other participants in that market, namely</w:t>
      </w:r>
      <w:r>
        <w:rPr>
          <w:szCs w:val="24"/>
        </w:rPr>
        <w:t xml:space="preserve"> PGC</w:t>
      </w:r>
      <w:r w:rsidR="00546798">
        <w:rPr>
          <w:szCs w:val="24"/>
        </w:rPr>
        <w:t>s</w:t>
      </w:r>
      <w:r w:rsidR="00B270BA">
        <w:rPr>
          <w:szCs w:val="24"/>
        </w:rPr>
        <w:t xml:space="preserve">. It is also notable that the rule would allow the person to participate in the wholesale market </w:t>
      </w:r>
      <w:r w:rsidR="00B270BA" w:rsidRPr="00B270BA">
        <w:rPr>
          <w:szCs w:val="24"/>
          <w:u w:val="single"/>
        </w:rPr>
        <w:t>on a d</w:t>
      </w:r>
      <w:r w:rsidR="00B270BA">
        <w:rPr>
          <w:szCs w:val="24"/>
          <w:u w:val="single"/>
        </w:rPr>
        <w:t>aily basis</w:t>
      </w:r>
      <w:r w:rsidR="00B270BA">
        <w:rPr>
          <w:szCs w:val="24"/>
        </w:rPr>
        <w:t>, so long as the participation was limited to the lower of 10 percent of their capacity or 10 MW. This outcome would be contrary to PURA.</w:t>
      </w:r>
    </w:p>
    <w:p w14:paraId="6414F3DF" w14:textId="77777777" w:rsidR="00B270BA" w:rsidRDefault="00B270BA">
      <w:pPr>
        <w:pStyle w:val="ListParagraph"/>
        <w:spacing w:line="360" w:lineRule="auto"/>
        <w:ind w:left="0" w:firstLine="720"/>
        <w:contextualSpacing w:val="0"/>
        <w:rPr>
          <w:szCs w:val="24"/>
        </w:rPr>
      </w:pPr>
    </w:p>
    <w:p w14:paraId="79A977E3" w14:textId="7D70B891" w:rsidR="004806A8" w:rsidRDefault="00C2275D">
      <w:pPr>
        <w:pStyle w:val="ListParagraph"/>
        <w:spacing w:line="360" w:lineRule="auto"/>
        <w:ind w:left="0" w:firstLine="720"/>
        <w:contextualSpacing w:val="0"/>
        <w:rPr>
          <w:szCs w:val="24"/>
        </w:rPr>
      </w:pPr>
      <w:r>
        <w:rPr>
          <w:szCs w:val="24"/>
        </w:rPr>
        <w:t xml:space="preserve">Thus, </w:t>
      </w:r>
      <w:r w:rsidR="001970DA">
        <w:rPr>
          <w:szCs w:val="24"/>
        </w:rPr>
        <w:t>TCPA</w:t>
      </w:r>
      <w:r>
        <w:rPr>
          <w:szCs w:val="24"/>
        </w:rPr>
        <w:t xml:space="preserve"> recommends that the proposed definition of “self-generator” be modified to strike</w:t>
      </w:r>
      <w:r w:rsidR="00AC49AC">
        <w:rPr>
          <w:szCs w:val="24"/>
        </w:rPr>
        <w:t xml:space="preserve"> the</w:t>
      </w:r>
      <w:r>
        <w:rPr>
          <w:szCs w:val="24"/>
        </w:rPr>
        <w:t xml:space="preserve"> </w:t>
      </w:r>
      <w:r w:rsidR="00AC49AC">
        <w:rPr>
          <w:szCs w:val="24"/>
        </w:rPr>
        <w:t>allowance for</w:t>
      </w:r>
      <w:r>
        <w:rPr>
          <w:szCs w:val="24"/>
        </w:rPr>
        <w:t xml:space="preserve"> sales up to 10 percent or 10 MW and that the other proposed subsections in the rule that incorporate that </w:t>
      </w:r>
      <w:r w:rsidR="00AC49AC">
        <w:rPr>
          <w:szCs w:val="24"/>
        </w:rPr>
        <w:t>allowance</w:t>
      </w:r>
      <w:r>
        <w:rPr>
          <w:szCs w:val="24"/>
        </w:rPr>
        <w:t xml:space="preserve"> also be modified accordingly (i.e., </w:t>
      </w:r>
      <w:r w:rsidR="0096434E">
        <w:rPr>
          <w:szCs w:val="24"/>
        </w:rPr>
        <w:t>proposed §</w:t>
      </w:r>
      <w:r>
        <w:rPr>
          <w:szCs w:val="24"/>
        </w:rPr>
        <w:t>§</w:t>
      </w:r>
      <w:r w:rsidR="0096434E">
        <w:rPr>
          <w:szCs w:val="24"/>
        </w:rPr>
        <w:t xml:space="preserve"> 25.109(e))</w:t>
      </w:r>
      <w:r>
        <w:rPr>
          <w:szCs w:val="24"/>
        </w:rPr>
        <w:t xml:space="preserve"> and </w:t>
      </w:r>
      <w:r w:rsidR="0096434E">
        <w:rPr>
          <w:szCs w:val="24"/>
        </w:rPr>
        <w:t>25.109(f)(2)).</w:t>
      </w:r>
    </w:p>
    <w:p w14:paraId="1C3CA866" w14:textId="77777777" w:rsidR="00424FD2" w:rsidRDefault="00424FD2">
      <w:pPr>
        <w:pStyle w:val="ListParagraph"/>
        <w:spacing w:line="360" w:lineRule="auto"/>
        <w:ind w:left="0" w:firstLine="720"/>
        <w:contextualSpacing w:val="0"/>
      </w:pPr>
    </w:p>
    <w:p w14:paraId="5E150FD8" w14:textId="77777777" w:rsidR="00424FD2" w:rsidRDefault="006141F3">
      <w:pPr>
        <w:pStyle w:val="ListParagraph"/>
        <w:keepNext/>
        <w:numPr>
          <w:ilvl w:val="0"/>
          <w:numId w:val="10"/>
        </w:numPr>
        <w:spacing w:line="360" w:lineRule="auto"/>
        <w:ind w:left="0" w:firstLine="0"/>
        <w:jc w:val="center"/>
        <w:rPr>
          <w:b/>
          <w:smallCaps/>
          <w:szCs w:val="24"/>
        </w:rPr>
      </w:pPr>
      <w:r>
        <w:rPr>
          <w:b/>
          <w:smallCaps/>
          <w:szCs w:val="24"/>
        </w:rPr>
        <w:t>Conclusion</w:t>
      </w:r>
    </w:p>
    <w:p w14:paraId="509CACDF" w14:textId="77777777" w:rsidR="00AC49AC" w:rsidRDefault="00AC49AC">
      <w:pPr>
        <w:keepNext/>
        <w:spacing w:line="360" w:lineRule="auto"/>
        <w:rPr>
          <w:szCs w:val="24"/>
        </w:rPr>
      </w:pPr>
    </w:p>
    <w:p w14:paraId="690DB38C" w14:textId="0313758B" w:rsidR="00424FD2" w:rsidRDefault="006141F3">
      <w:pPr>
        <w:keepNext/>
        <w:spacing w:line="360" w:lineRule="auto"/>
        <w:rPr>
          <w:szCs w:val="24"/>
        </w:rPr>
      </w:pPr>
      <w:r>
        <w:rPr>
          <w:szCs w:val="24"/>
        </w:rPr>
        <w:tab/>
        <w:t xml:space="preserve">For the reasons stated herein, </w:t>
      </w:r>
      <w:r w:rsidR="001970DA">
        <w:rPr>
          <w:szCs w:val="24"/>
        </w:rPr>
        <w:t>TCPA</w:t>
      </w:r>
      <w:r w:rsidR="00D04EF5">
        <w:rPr>
          <w:szCs w:val="24"/>
        </w:rPr>
        <w:t xml:space="preserve"> </w:t>
      </w:r>
      <w:r>
        <w:rPr>
          <w:szCs w:val="24"/>
        </w:rPr>
        <w:t>recommends that the changes it proposes herein to the PFP for 16 TAC §</w:t>
      </w:r>
      <w:r w:rsidR="00D04EF5">
        <w:rPr>
          <w:szCs w:val="24"/>
        </w:rPr>
        <w:t xml:space="preserve"> 25.109 </w:t>
      </w:r>
      <w:r>
        <w:rPr>
          <w:szCs w:val="24"/>
        </w:rPr>
        <w:t>be incorporated into the forthcoming Proposal for Adoption.</w:t>
      </w:r>
    </w:p>
    <w:p w14:paraId="4DADF925" w14:textId="77777777" w:rsidR="00424FD2" w:rsidRDefault="00424FD2">
      <w:pPr>
        <w:spacing w:line="360" w:lineRule="auto"/>
        <w:rPr>
          <w:szCs w:val="24"/>
        </w:rPr>
      </w:pPr>
    </w:p>
    <w:p w14:paraId="263BE0E0" w14:textId="06413E35" w:rsidR="00424FD2" w:rsidRDefault="006141F3">
      <w:pPr>
        <w:pStyle w:val="Normaldouble"/>
        <w:keepNext/>
        <w:jc w:val="left"/>
        <w:rPr>
          <w:szCs w:val="24"/>
        </w:rPr>
      </w:pPr>
      <w:r>
        <w:rPr>
          <w:szCs w:val="24"/>
        </w:rPr>
        <w:t>Date</w:t>
      </w:r>
      <w:r w:rsidR="00D04EF5">
        <w:rPr>
          <w:szCs w:val="24"/>
        </w:rPr>
        <w:t>d</w:t>
      </w:r>
      <w:r>
        <w:rPr>
          <w:szCs w:val="24"/>
        </w:rPr>
        <w:t>: November 14, 2022</w:t>
      </w:r>
    </w:p>
    <w:p w14:paraId="36E67DC9" w14:textId="77777777" w:rsidR="00424FD2" w:rsidRDefault="006141F3">
      <w:pPr>
        <w:pStyle w:val="Normaldouble"/>
        <w:keepNext/>
        <w:ind w:left="3600" w:firstLine="720"/>
        <w:rPr>
          <w:szCs w:val="24"/>
        </w:rPr>
      </w:pPr>
      <w:r>
        <w:rPr>
          <w:szCs w:val="24"/>
        </w:rPr>
        <w:t>Respectfully submitted,</w:t>
      </w:r>
    </w:p>
    <w:p w14:paraId="437450DA" w14:textId="77777777" w:rsidR="00424FD2" w:rsidRDefault="00424FD2">
      <w:pPr>
        <w:keepNext/>
      </w:pPr>
    </w:p>
    <w:p w14:paraId="721ED9DD" w14:textId="644813F1" w:rsidR="001970DA" w:rsidRPr="00BD506E" w:rsidRDefault="006141F3" w:rsidP="001970DA">
      <w:pPr>
        <w:pStyle w:val="Normaldouble"/>
        <w:keepNext/>
        <w:spacing w:line="240" w:lineRule="auto"/>
        <w:rPr>
          <w:szCs w:val="24"/>
        </w:rPr>
      </w:pPr>
      <w:r>
        <w:tab/>
      </w:r>
      <w:r>
        <w:tab/>
      </w:r>
      <w:r>
        <w:tab/>
      </w:r>
      <w:r>
        <w:tab/>
      </w:r>
      <w:r>
        <w:tab/>
      </w:r>
      <w:r>
        <w:tab/>
      </w:r>
      <w:r w:rsidR="001970DA" w:rsidRPr="00BD506E">
        <w:rPr>
          <w:noProof/>
          <w:szCs w:val="24"/>
        </w:rPr>
        <w:drawing>
          <wp:inline distT="0" distB="0" distL="0" distR="0" wp14:anchorId="2ACDE92F" wp14:editId="387776E2">
            <wp:extent cx="2406774" cy="527077"/>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06774" cy="527077"/>
                    </a:xfrm>
                    <a:prstGeom prst="rect">
                      <a:avLst/>
                    </a:prstGeom>
                  </pic:spPr>
                </pic:pic>
              </a:graphicData>
            </a:graphic>
          </wp:inline>
        </w:drawing>
      </w:r>
    </w:p>
    <w:p w14:paraId="2498D658" w14:textId="77777777" w:rsidR="001970DA" w:rsidRPr="00BD506E" w:rsidRDefault="001970DA" w:rsidP="001970DA">
      <w:pPr>
        <w:tabs>
          <w:tab w:val="left" w:pos="4320"/>
        </w:tabs>
        <w:ind w:right="-540"/>
        <w:rPr>
          <w:szCs w:val="24"/>
        </w:rPr>
      </w:pPr>
      <w:r w:rsidRPr="00BD506E">
        <w:rPr>
          <w:szCs w:val="24"/>
        </w:rPr>
        <w:tab/>
        <w:t>_____________________________</w:t>
      </w:r>
    </w:p>
    <w:p w14:paraId="1663A68B" w14:textId="77777777" w:rsidR="001970DA" w:rsidRPr="00BD506E" w:rsidRDefault="001970DA" w:rsidP="001970DA">
      <w:pPr>
        <w:ind w:firstLine="720"/>
        <w:outlineLvl w:val="0"/>
        <w:rPr>
          <w:szCs w:val="24"/>
        </w:rPr>
      </w:pPr>
      <w:r w:rsidRPr="00BD506E">
        <w:rPr>
          <w:szCs w:val="24"/>
        </w:rPr>
        <w:tab/>
      </w:r>
      <w:r w:rsidRPr="00BD506E">
        <w:rPr>
          <w:szCs w:val="24"/>
        </w:rPr>
        <w:tab/>
      </w:r>
      <w:r w:rsidRPr="00BD506E">
        <w:rPr>
          <w:szCs w:val="24"/>
        </w:rPr>
        <w:tab/>
      </w:r>
      <w:r w:rsidRPr="00BD506E">
        <w:rPr>
          <w:szCs w:val="24"/>
        </w:rPr>
        <w:tab/>
      </w:r>
      <w:r w:rsidRPr="00BD506E">
        <w:rPr>
          <w:szCs w:val="24"/>
        </w:rPr>
        <w:tab/>
        <w:t>Michele Richmond</w:t>
      </w:r>
    </w:p>
    <w:p w14:paraId="07F8DB4C" w14:textId="77777777" w:rsidR="001970DA" w:rsidRPr="00BD506E" w:rsidRDefault="001970DA" w:rsidP="001970DA">
      <w:pPr>
        <w:ind w:firstLine="720"/>
        <w:outlineLvl w:val="0"/>
        <w:rPr>
          <w:szCs w:val="24"/>
        </w:rPr>
      </w:pPr>
      <w:r w:rsidRPr="00BD506E">
        <w:rPr>
          <w:szCs w:val="24"/>
        </w:rPr>
        <w:tab/>
      </w:r>
      <w:r w:rsidRPr="00BD506E">
        <w:rPr>
          <w:szCs w:val="24"/>
        </w:rPr>
        <w:tab/>
      </w:r>
      <w:r w:rsidRPr="00BD506E">
        <w:rPr>
          <w:szCs w:val="24"/>
        </w:rPr>
        <w:tab/>
      </w:r>
      <w:r w:rsidRPr="00BD506E">
        <w:rPr>
          <w:szCs w:val="24"/>
        </w:rPr>
        <w:tab/>
      </w:r>
      <w:r w:rsidRPr="00BD506E">
        <w:rPr>
          <w:szCs w:val="24"/>
        </w:rPr>
        <w:tab/>
        <w:t>Executive Director</w:t>
      </w:r>
    </w:p>
    <w:p w14:paraId="710199F2" w14:textId="77777777" w:rsidR="001970DA" w:rsidRPr="00BD506E" w:rsidRDefault="001970DA" w:rsidP="001970DA">
      <w:pPr>
        <w:ind w:firstLine="720"/>
        <w:outlineLvl w:val="0"/>
        <w:rPr>
          <w:szCs w:val="24"/>
        </w:rPr>
      </w:pPr>
      <w:r w:rsidRPr="00BD506E">
        <w:rPr>
          <w:szCs w:val="24"/>
        </w:rPr>
        <w:tab/>
      </w:r>
      <w:r w:rsidRPr="00BD506E">
        <w:rPr>
          <w:szCs w:val="24"/>
        </w:rPr>
        <w:tab/>
      </w:r>
      <w:r w:rsidRPr="00BD506E">
        <w:rPr>
          <w:szCs w:val="24"/>
        </w:rPr>
        <w:tab/>
      </w:r>
      <w:r w:rsidRPr="00BD506E">
        <w:rPr>
          <w:szCs w:val="24"/>
        </w:rPr>
        <w:tab/>
      </w:r>
      <w:r w:rsidRPr="00BD506E">
        <w:rPr>
          <w:szCs w:val="24"/>
        </w:rPr>
        <w:tab/>
        <w:t>Texas Competitive Power Advocates (TCPA)</w:t>
      </w:r>
    </w:p>
    <w:p w14:paraId="657BC09D" w14:textId="77777777" w:rsidR="001970DA" w:rsidRDefault="001970DA" w:rsidP="001970DA">
      <w:pPr>
        <w:rPr>
          <w:rStyle w:val="Hyperlink"/>
          <w:szCs w:val="24"/>
        </w:rPr>
      </w:pPr>
      <w:r w:rsidRPr="00BD506E">
        <w:rPr>
          <w:szCs w:val="24"/>
        </w:rPr>
        <w:lastRenderedPageBreak/>
        <w:tab/>
      </w:r>
      <w:r w:rsidRPr="00BD506E">
        <w:rPr>
          <w:szCs w:val="24"/>
        </w:rPr>
        <w:tab/>
      </w:r>
      <w:r w:rsidRPr="00BD506E">
        <w:rPr>
          <w:szCs w:val="24"/>
        </w:rPr>
        <w:tab/>
      </w:r>
      <w:r w:rsidRPr="00BD506E">
        <w:rPr>
          <w:szCs w:val="24"/>
        </w:rPr>
        <w:tab/>
      </w:r>
      <w:r>
        <w:rPr>
          <w:szCs w:val="24"/>
        </w:rPr>
        <w:tab/>
      </w:r>
      <w:r>
        <w:rPr>
          <w:szCs w:val="24"/>
        </w:rPr>
        <w:tab/>
      </w:r>
      <w:hyperlink r:id="rId9" w:history="1">
        <w:r w:rsidRPr="003A68CF">
          <w:rPr>
            <w:rStyle w:val="Hyperlink"/>
            <w:szCs w:val="24"/>
          </w:rPr>
          <w:t>michele@competitivepower.org</w:t>
        </w:r>
      </w:hyperlink>
    </w:p>
    <w:p w14:paraId="57992FDC" w14:textId="77777777" w:rsidR="001970DA" w:rsidRDefault="001970DA" w:rsidP="001970DA">
      <w:pPr>
        <w:ind w:left="3600" w:firstLine="720"/>
        <w:rPr>
          <w:szCs w:val="24"/>
        </w:rPr>
      </w:pPr>
      <w:r>
        <w:rPr>
          <w:szCs w:val="24"/>
        </w:rPr>
        <w:t>(</w:t>
      </w:r>
      <w:r w:rsidRPr="00BD506E">
        <w:rPr>
          <w:szCs w:val="24"/>
        </w:rPr>
        <w:t>512) 653-7447</w:t>
      </w:r>
    </w:p>
    <w:p w14:paraId="11C8F532" w14:textId="77777777" w:rsidR="00424FD2" w:rsidRDefault="006141F3">
      <w:pPr>
        <w:jc w:val="left"/>
        <w:rPr>
          <w:b/>
          <w:caps/>
          <w:szCs w:val="24"/>
        </w:rPr>
      </w:pPr>
      <w:r>
        <w:rPr>
          <w:szCs w:val="24"/>
        </w:rPr>
        <w:br w:type="page"/>
      </w:r>
    </w:p>
    <w:p w14:paraId="657344B2" w14:textId="77777777" w:rsidR="00424FD2" w:rsidRDefault="006141F3">
      <w:pPr>
        <w:pStyle w:val="Docketnumber"/>
        <w:rPr>
          <w:sz w:val="24"/>
          <w:szCs w:val="24"/>
        </w:rPr>
      </w:pPr>
      <w:r>
        <w:rPr>
          <w:sz w:val="24"/>
          <w:szCs w:val="24"/>
        </w:rPr>
        <w:lastRenderedPageBreak/>
        <w:t>PROJECT No. 52796</w:t>
      </w:r>
    </w:p>
    <w:p w14:paraId="121F5016" w14:textId="77777777" w:rsidR="00424FD2" w:rsidRDefault="00424FD2">
      <w:pPr>
        <w:jc w:val="center"/>
        <w:rPr>
          <w:b/>
        </w:rPr>
      </w:pPr>
    </w:p>
    <w:tbl>
      <w:tblPr>
        <w:tblW w:w="9727" w:type="dxa"/>
        <w:tblLook w:val="01E0" w:firstRow="1" w:lastRow="1" w:firstColumn="1" w:lastColumn="1" w:noHBand="0" w:noVBand="0"/>
      </w:tblPr>
      <w:tblGrid>
        <w:gridCol w:w="4731"/>
        <w:gridCol w:w="443"/>
        <w:gridCol w:w="4553"/>
      </w:tblGrid>
      <w:tr w:rsidR="00424FD2" w14:paraId="08A3465F" w14:textId="77777777">
        <w:trPr>
          <w:trHeight w:val="308"/>
        </w:trPr>
        <w:tc>
          <w:tcPr>
            <w:tcW w:w="4731" w:type="dxa"/>
          </w:tcPr>
          <w:p w14:paraId="5650134A" w14:textId="77777777" w:rsidR="00424FD2" w:rsidRDefault="006141F3">
            <w:pPr>
              <w:jc w:val="left"/>
              <w:rPr>
                <w:b/>
                <w:caps/>
                <w:szCs w:val="24"/>
              </w:rPr>
            </w:pPr>
            <w:r>
              <w:rPr>
                <w:b/>
                <w:caps/>
                <w:szCs w:val="24"/>
              </w:rPr>
              <w:t>REVIEW OF MARKET PARTICIPANT QUALIFICATIONS AND REPORTING REQUIREMENTS</w:t>
            </w:r>
          </w:p>
          <w:p w14:paraId="5900D9AB" w14:textId="77777777" w:rsidR="00424FD2" w:rsidRDefault="00424FD2">
            <w:pPr>
              <w:jc w:val="left"/>
              <w:rPr>
                <w:b/>
                <w:caps/>
              </w:rPr>
            </w:pPr>
          </w:p>
        </w:tc>
        <w:tc>
          <w:tcPr>
            <w:tcW w:w="443" w:type="dxa"/>
          </w:tcPr>
          <w:p w14:paraId="10AB6285" w14:textId="77777777" w:rsidR="00424FD2" w:rsidRDefault="006141F3">
            <w:pPr>
              <w:rPr>
                <w:b/>
              </w:rPr>
            </w:pPr>
            <w:r>
              <w:rPr>
                <w:b/>
              </w:rPr>
              <w:t>§</w:t>
            </w:r>
          </w:p>
          <w:p w14:paraId="19EF434A" w14:textId="77777777" w:rsidR="00424FD2" w:rsidRDefault="006141F3">
            <w:pPr>
              <w:rPr>
                <w:b/>
              </w:rPr>
            </w:pPr>
            <w:r>
              <w:rPr>
                <w:b/>
              </w:rPr>
              <w:t>§</w:t>
            </w:r>
          </w:p>
          <w:p w14:paraId="0AF51F7D" w14:textId="77777777" w:rsidR="00424FD2" w:rsidRDefault="006141F3">
            <w:pPr>
              <w:rPr>
                <w:b/>
              </w:rPr>
            </w:pPr>
            <w:r>
              <w:rPr>
                <w:b/>
              </w:rPr>
              <w:t>§</w:t>
            </w:r>
          </w:p>
          <w:p w14:paraId="78C5BB53" w14:textId="77777777" w:rsidR="00424FD2" w:rsidRDefault="00424FD2">
            <w:pPr>
              <w:rPr>
                <w:b/>
              </w:rPr>
            </w:pPr>
          </w:p>
          <w:p w14:paraId="54B052D7" w14:textId="77777777" w:rsidR="00424FD2" w:rsidRDefault="00424FD2">
            <w:pPr>
              <w:rPr>
                <w:b/>
              </w:rPr>
            </w:pPr>
          </w:p>
        </w:tc>
        <w:tc>
          <w:tcPr>
            <w:tcW w:w="4553" w:type="dxa"/>
          </w:tcPr>
          <w:p w14:paraId="0B66ED55" w14:textId="77777777" w:rsidR="00424FD2" w:rsidRDefault="006141F3">
            <w:pPr>
              <w:pStyle w:val="Docketstyle"/>
              <w:spacing w:line="240" w:lineRule="auto"/>
              <w:jc w:val="center"/>
              <w:rPr>
                <w:bCs/>
              </w:rPr>
            </w:pPr>
            <w:r>
              <w:rPr>
                <w:bCs/>
              </w:rPr>
              <w:t>PUBLIC UTILITY COMMISSION</w:t>
            </w:r>
          </w:p>
          <w:p w14:paraId="06AB8696" w14:textId="77777777" w:rsidR="00424FD2" w:rsidRDefault="00424FD2">
            <w:pPr>
              <w:pStyle w:val="Docketstyle"/>
              <w:spacing w:line="240" w:lineRule="auto"/>
              <w:jc w:val="center"/>
              <w:rPr>
                <w:bCs/>
              </w:rPr>
            </w:pPr>
          </w:p>
          <w:p w14:paraId="7D56DE83" w14:textId="77777777" w:rsidR="00424FD2" w:rsidRDefault="006141F3">
            <w:pPr>
              <w:pStyle w:val="Docketstyle"/>
              <w:spacing w:line="240" w:lineRule="auto"/>
              <w:jc w:val="center"/>
              <w:rPr>
                <w:bCs/>
              </w:rPr>
            </w:pPr>
            <w:r>
              <w:rPr>
                <w:bCs/>
              </w:rPr>
              <w:t>OF TEXAS</w:t>
            </w:r>
          </w:p>
        </w:tc>
      </w:tr>
    </w:tbl>
    <w:p w14:paraId="7ACF6ADF" w14:textId="1948C3FF" w:rsidR="00424FD2" w:rsidRDefault="001970DA">
      <w:pPr>
        <w:pStyle w:val="Documentheading"/>
        <w:rPr>
          <w:sz w:val="24"/>
          <w:szCs w:val="24"/>
        </w:rPr>
      </w:pPr>
      <w:r>
        <w:rPr>
          <w:sz w:val="24"/>
          <w:szCs w:val="24"/>
        </w:rPr>
        <w:t xml:space="preserve">Texas competitive power advocates (Tcpa) </w:t>
      </w:r>
      <w:r w:rsidR="006141F3">
        <w:rPr>
          <w:sz w:val="24"/>
          <w:szCs w:val="24"/>
        </w:rPr>
        <w:t>initial COMMENTS</w:t>
      </w:r>
    </w:p>
    <w:p w14:paraId="0243EE58" w14:textId="77777777" w:rsidR="00424FD2" w:rsidRDefault="006141F3">
      <w:pPr>
        <w:pStyle w:val="Documentheading"/>
        <w:rPr>
          <w:sz w:val="24"/>
          <w:szCs w:val="24"/>
        </w:rPr>
      </w:pPr>
      <w:r>
        <w:rPr>
          <w:sz w:val="24"/>
          <w:szCs w:val="24"/>
        </w:rPr>
        <w:t>IN RESPONSE TO proposal for publication</w:t>
      </w:r>
    </w:p>
    <w:p w14:paraId="031B46DE" w14:textId="77777777" w:rsidR="00424FD2" w:rsidRDefault="006141F3" w:rsidP="006141F3">
      <w:pPr>
        <w:keepNext/>
        <w:spacing w:before="240" w:after="240" w:line="360" w:lineRule="auto"/>
        <w:jc w:val="center"/>
        <w:rPr>
          <w:b/>
          <w:szCs w:val="24"/>
          <w:u w:val="single"/>
        </w:rPr>
      </w:pPr>
      <w:r>
        <w:rPr>
          <w:b/>
          <w:szCs w:val="24"/>
          <w:u w:val="single"/>
        </w:rPr>
        <w:t>Executive Summary</w:t>
      </w:r>
    </w:p>
    <w:p w14:paraId="36F78E1F" w14:textId="7E4A8B32" w:rsidR="00424FD2" w:rsidRDefault="006141F3">
      <w:pPr>
        <w:pStyle w:val="ListParagraph"/>
        <w:numPr>
          <w:ilvl w:val="0"/>
          <w:numId w:val="25"/>
        </w:numPr>
        <w:spacing w:after="120"/>
        <w:contextualSpacing w:val="0"/>
        <w:rPr>
          <w:szCs w:val="24"/>
        </w:rPr>
      </w:pPr>
      <w:r>
        <w:rPr>
          <w:szCs w:val="24"/>
        </w:rPr>
        <w:t>Proposed 16 Tex. Admin. Code (TAC) § 25.109(b)(3) would allow a person to register as a self-generator, rather than a power generation company (PGC), if the person “owns an electrical generating facility rated at one megawatt or more, but not more than the maximum megawatt consumption of the co-located load” if the person’s “primary purpose is to serve the co-located load” and the person makes sales into the wholesale energy or ancillary services market, on any given day, up to the lesser of 10 percent of its capacity rating or 10 megawatts (MW).</w:t>
      </w:r>
    </w:p>
    <w:p w14:paraId="0CCB05FD" w14:textId="23595F03" w:rsidR="006141F3" w:rsidRDefault="006141F3">
      <w:pPr>
        <w:pStyle w:val="ListParagraph"/>
        <w:numPr>
          <w:ilvl w:val="0"/>
          <w:numId w:val="25"/>
        </w:numPr>
        <w:spacing w:after="120"/>
        <w:contextualSpacing w:val="0"/>
        <w:rPr>
          <w:szCs w:val="24"/>
        </w:rPr>
      </w:pPr>
      <w:r>
        <w:rPr>
          <w:szCs w:val="24"/>
        </w:rPr>
        <w:t>The proposed definition would contravene the Public Utility Regulatory Act (PURA) definition of PGC in Section 31.002(10), which defines, as a PGC, a person who “generates electricity that is intended to be sold at wholesale,” as well as the requirement in PURA § 39.351 for a person to register as a PGC before generating electricity.</w:t>
      </w:r>
    </w:p>
    <w:p w14:paraId="369EC4C4" w14:textId="545CC5DE" w:rsidR="006141F3" w:rsidRDefault="006141F3">
      <w:pPr>
        <w:pStyle w:val="ListParagraph"/>
        <w:numPr>
          <w:ilvl w:val="0"/>
          <w:numId w:val="25"/>
        </w:numPr>
        <w:spacing w:after="120"/>
        <w:contextualSpacing w:val="0"/>
        <w:rPr>
          <w:szCs w:val="24"/>
        </w:rPr>
      </w:pPr>
      <w:r>
        <w:rPr>
          <w:szCs w:val="24"/>
        </w:rPr>
        <w:t>A person that makes sales into the wholesale energy or ancillary services market – regardless of total amount or portion of their total capacity – necessarily intends to do so, as sales cannot be made accidentally. Thus, such a person is, by definition, a PGC under PURA and must register as such.</w:t>
      </w:r>
    </w:p>
    <w:p w14:paraId="061FBF14" w14:textId="4394C803" w:rsidR="006141F3" w:rsidRDefault="006141F3">
      <w:pPr>
        <w:pStyle w:val="ListParagraph"/>
        <w:numPr>
          <w:ilvl w:val="0"/>
          <w:numId w:val="25"/>
        </w:numPr>
        <w:spacing w:after="120"/>
        <w:contextualSpacing w:val="0"/>
        <w:rPr>
          <w:szCs w:val="24"/>
        </w:rPr>
      </w:pPr>
      <w:r>
        <w:rPr>
          <w:szCs w:val="24"/>
        </w:rPr>
        <w:t>Allowing a person to make sales into the wholesale market without registering as a PGC would excuse the person from compliance with the regulatory obligations of operating as a PGC, such as emergency operations plan requirements.</w:t>
      </w:r>
    </w:p>
    <w:p w14:paraId="3DCA05DD" w14:textId="667381B1" w:rsidR="006141F3" w:rsidRDefault="006141F3">
      <w:pPr>
        <w:pStyle w:val="ListParagraph"/>
        <w:numPr>
          <w:ilvl w:val="0"/>
          <w:numId w:val="25"/>
        </w:numPr>
        <w:spacing w:after="120"/>
        <w:contextualSpacing w:val="0"/>
        <w:rPr>
          <w:szCs w:val="24"/>
        </w:rPr>
      </w:pPr>
      <w:r>
        <w:rPr>
          <w:szCs w:val="24"/>
        </w:rPr>
        <w:t xml:space="preserve">Thus, </w:t>
      </w:r>
      <w:r w:rsidR="001970DA">
        <w:rPr>
          <w:szCs w:val="24"/>
        </w:rPr>
        <w:t>TCPA</w:t>
      </w:r>
      <w:r>
        <w:rPr>
          <w:szCs w:val="24"/>
        </w:rPr>
        <w:t xml:space="preserve"> recommends that the proposed definition be modified to strike the allowance for sales up to 10 percent or 10 MW (in proposed subsection (b)(3)) and to make conforming modifications to the references to that allowance in proposed subsections (e) and (f).</w:t>
      </w:r>
    </w:p>
    <w:sectPr w:rsidR="006141F3">
      <w:footerReference w:type="even" r:id="rId10"/>
      <w:footerReference w:type="default" r:id="rId11"/>
      <w:pgSz w:w="12240" w:h="15840" w:code="1"/>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A28F" w14:textId="77777777" w:rsidR="00A328E1" w:rsidRDefault="00A328E1">
      <w:r>
        <w:separator/>
      </w:r>
    </w:p>
  </w:endnote>
  <w:endnote w:type="continuationSeparator" w:id="0">
    <w:p w14:paraId="3A596E4B" w14:textId="77777777" w:rsidR="00A328E1" w:rsidRDefault="00A3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mperor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08F1" w14:textId="77777777" w:rsidR="00424FD2" w:rsidRDefault="00614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5FCC6E4" w14:textId="77777777" w:rsidR="00424FD2" w:rsidRDefault="00424F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976278"/>
      <w:docPartObj>
        <w:docPartGallery w:val="Page Numbers (Bottom of Page)"/>
        <w:docPartUnique/>
      </w:docPartObj>
    </w:sdtPr>
    <w:sdtEndPr>
      <w:rPr>
        <w:sz w:val="20"/>
      </w:rPr>
    </w:sdtEndPr>
    <w:sdtContent>
      <w:sdt>
        <w:sdtPr>
          <w:id w:val="1728636285"/>
          <w:docPartObj>
            <w:docPartGallery w:val="Page Numbers (Top of Page)"/>
            <w:docPartUnique/>
          </w:docPartObj>
        </w:sdtPr>
        <w:sdtEndPr>
          <w:rPr>
            <w:sz w:val="20"/>
          </w:rPr>
        </w:sdtEndPr>
        <w:sdtContent>
          <w:p w14:paraId="2DF78425" w14:textId="77777777" w:rsidR="00424FD2" w:rsidRDefault="006141F3">
            <w:pPr>
              <w:pStyle w:val="Footer"/>
              <w:spacing w:before="240"/>
              <w:jc w:val="center"/>
              <w:rPr>
                <w:sz w:val="20"/>
              </w:rPr>
            </w:pPr>
            <w:r>
              <w:rPr>
                <w:sz w:val="20"/>
              </w:rPr>
              <w:t xml:space="preserve">Page </w:t>
            </w:r>
            <w:r>
              <w:rPr>
                <w:bCs/>
                <w:sz w:val="20"/>
              </w:rPr>
              <w:fldChar w:fldCharType="begin"/>
            </w:r>
            <w:r>
              <w:rPr>
                <w:bCs/>
                <w:sz w:val="20"/>
              </w:rPr>
              <w:instrText xml:space="preserve"> PAGE  \* Arabic  \* MERGEFORMAT </w:instrText>
            </w:r>
            <w:r>
              <w:rPr>
                <w:bCs/>
                <w:sz w:val="20"/>
              </w:rPr>
              <w:fldChar w:fldCharType="separate"/>
            </w:r>
            <w:r>
              <w:rPr>
                <w:bCs/>
                <w:noProof/>
                <w:sz w:val="20"/>
              </w:rPr>
              <w:t>1</w:t>
            </w:r>
            <w:r>
              <w:rPr>
                <w:bCs/>
                <w:sz w:val="20"/>
              </w:rPr>
              <w:fldChar w:fldCharType="end"/>
            </w:r>
            <w:r>
              <w:rPr>
                <w:sz w:val="20"/>
              </w:rPr>
              <w:t xml:space="preserve"> of </w:t>
            </w:r>
            <w:r>
              <w:rPr>
                <w:bCs/>
                <w:sz w:val="20"/>
              </w:rPr>
              <w:fldChar w:fldCharType="begin"/>
            </w:r>
            <w:r>
              <w:rPr>
                <w:bCs/>
                <w:sz w:val="20"/>
              </w:rPr>
              <w:instrText xml:space="preserve"> NUMPAGES  \* Arabic  \* MERGEFORMAT </w:instrText>
            </w:r>
            <w:r>
              <w:rPr>
                <w:bCs/>
                <w:sz w:val="20"/>
              </w:rPr>
              <w:fldChar w:fldCharType="separate"/>
            </w:r>
            <w:r>
              <w:rPr>
                <w:bCs/>
                <w:noProof/>
                <w:sz w:val="20"/>
              </w:rPr>
              <w:t>15</w:t>
            </w:r>
            <w:r>
              <w:rPr>
                <w:bCs/>
                <w:sz w:val="20"/>
              </w:rPr>
              <w:fldChar w:fldCharType="end"/>
            </w:r>
          </w:p>
        </w:sdtContent>
      </w:sdt>
    </w:sdtContent>
  </w:sdt>
  <w:p w14:paraId="0B954641" w14:textId="77777777" w:rsidR="00424FD2" w:rsidRDefault="00424F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4041" w14:textId="77777777" w:rsidR="00A328E1" w:rsidRDefault="00A328E1">
      <w:r>
        <w:separator/>
      </w:r>
    </w:p>
  </w:footnote>
  <w:footnote w:type="continuationSeparator" w:id="0">
    <w:p w14:paraId="403D952B" w14:textId="77777777" w:rsidR="00A328E1" w:rsidRDefault="00A328E1">
      <w:r>
        <w:continuationSeparator/>
      </w:r>
    </w:p>
  </w:footnote>
  <w:footnote w:id="1">
    <w:p w14:paraId="3B736EF9" w14:textId="7E4FB9D5" w:rsidR="001970DA" w:rsidRPr="003168B9" w:rsidRDefault="001970DA" w:rsidP="001970DA">
      <w:pPr>
        <w:pStyle w:val="FootnoteText"/>
      </w:pPr>
      <w:r>
        <w:rPr>
          <w:rStyle w:val="FootnoteReference"/>
        </w:rPr>
        <w:footnoteRef/>
      </w:r>
      <w:r>
        <w:t xml:space="preserve"> </w:t>
      </w:r>
      <w:r w:rsidRPr="006A290D">
        <w:t>TCPA member companies</w:t>
      </w:r>
      <w:r>
        <w:t xml:space="preserve"> participating in these comments</w:t>
      </w:r>
      <w:r w:rsidRPr="006A290D">
        <w:t xml:space="preserve"> include: Calpine, </w:t>
      </w:r>
      <w:r>
        <w:t xml:space="preserve">Cogentrix, Constellation (formerly Exelon), </w:t>
      </w:r>
      <w:r w:rsidRPr="006A290D">
        <w:t xml:space="preserve">EDF Trading North America, </w:t>
      </w:r>
      <w:r>
        <w:t xml:space="preserve">Luminant, </w:t>
      </w:r>
      <w:r w:rsidRPr="006A290D">
        <w:t xml:space="preserve">NRG, </w:t>
      </w:r>
      <w:r>
        <w:t xml:space="preserve">Rockland Capital, </w:t>
      </w:r>
      <w:r w:rsidRPr="006A290D">
        <w:t>Shell Energy North America, Talen Energy, Tenaska</w:t>
      </w:r>
      <w:r>
        <w:t>, TexGen Power, and WattBridge</w:t>
      </w:r>
      <w:r w:rsidRPr="006A290D">
        <w:t>.</w:t>
      </w:r>
      <w:r>
        <w:t xml:space="preserve"> </w:t>
      </w:r>
    </w:p>
  </w:footnote>
  <w:footnote w:id="2">
    <w:p w14:paraId="2B7E4B80" w14:textId="77777777" w:rsidR="00C2275D" w:rsidRDefault="00C2275D" w:rsidP="00C2275D">
      <w:pPr>
        <w:pStyle w:val="FootnoteText"/>
      </w:pPr>
      <w:r>
        <w:rPr>
          <w:rStyle w:val="FootnoteReference"/>
        </w:rPr>
        <w:footnoteRef/>
      </w:r>
      <w:r>
        <w:t xml:space="preserve"> Tex. Util. Code §§ 11.001-66.016.</w:t>
      </w:r>
    </w:p>
  </w:footnote>
  <w:footnote w:id="3">
    <w:p w14:paraId="379BA195" w14:textId="438A9337" w:rsidR="00546798" w:rsidRDefault="00546798">
      <w:pPr>
        <w:pStyle w:val="FootnoteText"/>
      </w:pPr>
      <w:r>
        <w:rPr>
          <w:rStyle w:val="FootnoteReference"/>
        </w:rPr>
        <w:footnoteRef/>
      </w:r>
      <w:r>
        <w:t xml:space="preserve"> </w:t>
      </w:r>
      <w:r>
        <w:rPr>
          <w:szCs w:val="24"/>
        </w:rPr>
        <w:t>PURA § 39.151(j)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BE9"/>
    <w:multiLevelType w:val="hybridMultilevel"/>
    <w:tmpl w:val="AED8398C"/>
    <w:lvl w:ilvl="0" w:tplc="9500C54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9B225EA">
      <w:start w:val="1"/>
      <w:numFmt w:val="upperLetter"/>
      <w:lvlText w:val="%3."/>
      <w:lvlJc w:val="left"/>
      <w:pPr>
        <w:tabs>
          <w:tab w:val="num" w:pos="2520"/>
        </w:tabs>
        <w:ind w:left="2520" w:hanging="360"/>
      </w:pPr>
      <w:rPr>
        <w:rFonts w:hint="default"/>
      </w:rPr>
    </w:lvl>
    <w:lvl w:ilvl="3" w:tplc="FF727590">
      <w:start w:val="1"/>
      <w:numFmt w:val="decimal"/>
      <w:lvlText w:val="%4."/>
      <w:lvlJc w:val="left"/>
      <w:pPr>
        <w:tabs>
          <w:tab w:val="num" w:pos="2880"/>
        </w:tabs>
        <w:ind w:left="2880" w:hanging="360"/>
      </w:pPr>
      <w:rPr>
        <w:rFonts w:hint="default"/>
      </w:rPr>
    </w:lvl>
    <w:lvl w:ilvl="4" w:tplc="29028B9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F72A9"/>
    <w:multiLevelType w:val="hybridMultilevel"/>
    <w:tmpl w:val="058878D8"/>
    <w:lvl w:ilvl="0" w:tplc="6ED42B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422F5"/>
    <w:multiLevelType w:val="hybridMultilevel"/>
    <w:tmpl w:val="A334A490"/>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 w15:restartNumberingAfterBreak="0">
    <w:nsid w:val="183C6CB9"/>
    <w:multiLevelType w:val="hybridMultilevel"/>
    <w:tmpl w:val="D3D4281A"/>
    <w:lvl w:ilvl="0" w:tplc="B79C858C">
      <w:start w:val="1"/>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406891"/>
    <w:multiLevelType w:val="hybridMultilevel"/>
    <w:tmpl w:val="DAEAE39C"/>
    <w:lvl w:ilvl="0" w:tplc="BDAA9D4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BD6398"/>
    <w:multiLevelType w:val="hybridMultilevel"/>
    <w:tmpl w:val="D182EFF6"/>
    <w:lvl w:ilvl="0" w:tplc="0409001B">
      <w:start w:val="1"/>
      <w:numFmt w:val="lowerRoman"/>
      <w:lvlText w:val="%1."/>
      <w:lvlJc w:val="righ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F857C05"/>
    <w:multiLevelType w:val="hybridMultilevel"/>
    <w:tmpl w:val="29B0D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F34B9C"/>
    <w:multiLevelType w:val="hybridMultilevel"/>
    <w:tmpl w:val="D8A23AF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73C69C6"/>
    <w:multiLevelType w:val="hybridMultilevel"/>
    <w:tmpl w:val="207ECE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CE6A46"/>
    <w:multiLevelType w:val="hybridMultilevel"/>
    <w:tmpl w:val="A31E34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7B7D06"/>
    <w:multiLevelType w:val="hybridMultilevel"/>
    <w:tmpl w:val="E2C42C2E"/>
    <w:lvl w:ilvl="0" w:tplc="3C3674EC">
      <w:start w:val="17"/>
      <w:numFmt w:val="upp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B2486C"/>
    <w:multiLevelType w:val="hybridMultilevel"/>
    <w:tmpl w:val="1E1EB2D0"/>
    <w:lvl w:ilvl="0" w:tplc="DE8E667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55047B9"/>
    <w:multiLevelType w:val="hybridMultilevel"/>
    <w:tmpl w:val="2E747C36"/>
    <w:lvl w:ilvl="0" w:tplc="A9C80A7C">
      <w:start w:val="2"/>
      <w:numFmt w:val="decimal"/>
      <w:lvlText w:val="%1."/>
      <w:lvlJc w:val="left"/>
      <w:pPr>
        <w:tabs>
          <w:tab w:val="num" w:pos="1440"/>
        </w:tabs>
        <w:ind w:left="1440" w:hanging="720"/>
      </w:pPr>
      <w:rPr>
        <w:rFonts w:hint="default"/>
      </w:rPr>
    </w:lvl>
    <w:lvl w:ilvl="1" w:tplc="AF025DC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6B269FF"/>
    <w:multiLevelType w:val="hybridMultilevel"/>
    <w:tmpl w:val="53DA5B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342D2"/>
    <w:multiLevelType w:val="hybridMultilevel"/>
    <w:tmpl w:val="CE620A76"/>
    <w:lvl w:ilvl="0" w:tplc="E0584F7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9386F"/>
    <w:multiLevelType w:val="hybridMultilevel"/>
    <w:tmpl w:val="9A3A1778"/>
    <w:lvl w:ilvl="0" w:tplc="04090015">
      <w:start w:val="1"/>
      <w:numFmt w:val="upperLetter"/>
      <w:lvlText w:val="%1."/>
      <w:lvlJc w:val="left"/>
      <w:pPr>
        <w:ind w:left="1496" w:hanging="360"/>
      </w:pPr>
    </w:lvl>
    <w:lvl w:ilvl="1" w:tplc="04090015">
      <w:start w:val="1"/>
      <w:numFmt w:val="upp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6" w15:restartNumberingAfterBreak="0">
    <w:nsid w:val="564B3166"/>
    <w:multiLevelType w:val="hybridMultilevel"/>
    <w:tmpl w:val="D182EFF6"/>
    <w:lvl w:ilvl="0" w:tplc="0409001B">
      <w:start w:val="1"/>
      <w:numFmt w:val="lowerRoman"/>
      <w:lvlText w:val="%1."/>
      <w:lvlJc w:val="righ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6E30A71"/>
    <w:multiLevelType w:val="hybridMultilevel"/>
    <w:tmpl w:val="97DEB858"/>
    <w:lvl w:ilvl="0" w:tplc="30BE30A6">
      <w:numFmt w:val="bullet"/>
      <w:lvlText w:val="•"/>
      <w:lvlJc w:val="left"/>
      <w:pPr>
        <w:ind w:left="1440" w:hanging="720"/>
      </w:pPr>
      <w:rPr>
        <w:rFonts w:ascii="Times New Roman" w:eastAsia="Times New Roman" w:hAnsi="Times New Roman" w:cs="Times New Roman" w:hint="default"/>
      </w:rPr>
    </w:lvl>
    <w:lvl w:ilvl="1" w:tplc="96C6B114">
      <w:numFmt w:val="bullet"/>
      <w:lvlText w:val=""/>
      <w:lvlJc w:val="left"/>
      <w:pPr>
        <w:ind w:left="2160" w:hanging="72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5762F0"/>
    <w:multiLevelType w:val="hybridMultilevel"/>
    <w:tmpl w:val="F6C44A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B34205"/>
    <w:multiLevelType w:val="hybridMultilevel"/>
    <w:tmpl w:val="CDAAAF90"/>
    <w:lvl w:ilvl="0" w:tplc="24206A8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62F5AED"/>
    <w:multiLevelType w:val="hybridMultilevel"/>
    <w:tmpl w:val="DDC8F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BC0E32"/>
    <w:multiLevelType w:val="hybridMultilevel"/>
    <w:tmpl w:val="F8B26CF8"/>
    <w:lvl w:ilvl="0" w:tplc="CF06AEC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852890"/>
    <w:multiLevelType w:val="hybridMultilevel"/>
    <w:tmpl w:val="960E0E2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BEF0535"/>
    <w:multiLevelType w:val="hybridMultilevel"/>
    <w:tmpl w:val="D2A4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53248D4"/>
    <w:multiLevelType w:val="hybridMultilevel"/>
    <w:tmpl w:val="F2DA3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740B9D"/>
    <w:multiLevelType w:val="hybridMultilevel"/>
    <w:tmpl w:val="0B88A248"/>
    <w:lvl w:ilvl="0" w:tplc="F17E0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687879"/>
    <w:multiLevelType w:val="hybridMultilevel"/>
    <w:tmpl w:val="72BE836A"/>
    <w:lvl w:ilvl="0" w:tplc="16CE418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8DA0F89"/>
    <w:multiLevelType w:val="hybridMultilevel"/>
    <w:tmpl w:val="CF2C895E"/>
    <w:lvl w:ilvl="0" w:tplc="9F00431A">
      <w:start w:val="1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DB312C7"/>
    <w:multiLevelType w:val="hybridMultilevel"/>
    <w:tmpl w:val="D4A41BA4"/>
    <w:lvl w:ilvl="0" w:tplc="CBB6C400">
      <w:start w:val="1"/>
      <w:numFmt w:val="decimal"/>
      <w:lvlText w:val="%1."/>
      <w:lvlJc w:val="left"/>
      <w:pPr>
        <w:tabs>
          <w:tab w:val="num" w:pos="2520"/>
        </w:tabs>
        <w:ind w:left="2520" w:hanging="360"/>
      </w:pPr>
      <w:rPr>
        <w:rFonts w:hint="default"/>
      </w:rPr>
    </w:lvl>
    <w:lvl w:ilvl="1" w:tplc="E26A924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754281108">
    <w:abstractNumId w:val="0"/>
  </w:num>
  <w:num w:numId="2" w16cid:durableId="146023519">
    <w:abstractNumId w:val="28"/>
  </w:num>
  <w:num w:numId="3" w16cid:durableId="663507663">
    <w:abstractNumId w:val="10"/>
  </w:num>
  <w:num w:numId="4" w16cid:durableId="973371614">
    <w:abstractNumId w:val="3"/>
  </w:num>
  <w:num w:numId="5" w16cid:durableId="1323195149">
    <w:abstractNumId w:val="27"/>
  </w:num>
  <w:num w:numId="6" w16cid:durableId="306473786">
    <w:abstractNumId w:val="26"/>
  </w:num>
  <w:num w:numId="7" w16cid:durableId="1816750511">
    <w:abstractNumId w:val="11"/>
  </w:num>
  <w:num w:numId="8" w16cid:durableId="1329482049">
    <w:abstractNumId w:val="12"/>
  </w:num>
  <w:num w:numId="9" w16cid:durableId="1087457989">
    <w:abstractNumId w:val="19"/>
  </w:num>
  <w:num w:numId="10" w16cid:durableId="419181940">
    <w:abstractNumId w:val="4"/>
  </w:num>
  <w:num w:numId="11" w16cid:durableId="1315838979">
    <w:abstractNumId w:val="1"/>
  </w:num>
  <w:num w:numId="12" w16cid:durableId="1209877581">
    <w:abstractNumId w:val="7"/>
  </w:num>
  <w:num w:numId="13" w16cid:durableId="597324508">
    <w:abstractNumId w:val="9"/>
  </w:num>
  <w:num w:numId="14" w16cid:durableId="1809854151">
    <w:abstractNumId w:val="15"/>
  </w:num>
  <w:num w:numId="15" w16cid:durableId="11727196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7850666">
    <w:abstractNumId w:val="5"/>
  </w:num>
  <w:num w:numId="17" w16cid:durableId="59326969">
    <w:abstractNumId w:val="25"/>
  </w:num>
  <w:num w:numId="18" w16cid:durableId="1278216364">
    <w:abstractNumId w:val="16"/>
  </w:num>
  <w:num w:numId="19" w16cid:durableId="450636852">
    <w:abstractNumId w:val="22"/>
  </w:num>
  <w:num w:numId="20" w16cid:durableId="1939755935">
    <w:abstractNumId w:val="14"/>
  </w:num>
  <w:num w:numId="21" w16cid:durableId="1465467074">
    <w:abstractNumId w:val="23"/>
  </w:num>
  <w:num w:numId="22" w16cid:durableId="1855878097">
    <w:abstractNumId w:val="24"/>
  </w:num>
  <w:num w:numId="23" w16cid:durableId="1328706081">
    <w:abstractNumId w:val="20"/>
  </w:num>
  <w:num w:numId="24" w16cid:durableId="1303660973">
    <w:abstractNumId w:val="17"/>
  </w:num>
  <w:num w:numId="25" w16cid:durableId="764958185">
    <w:abstractNumId w:val="13"/>
  </w:num>
  <w:num w:numId="26" w16cid:durableId="846402642">
    <w:abstractNumId w:val="6"/>
  </w:num>
  <w:num w:numId="27" w16cid:durableId="1101337450">
    <w:abstractNumId w:val="8"/>
  </w:num>
  <w:num w:numId="28" w16cid:durableId="156305808">
    <w:abstractNumId w:val="2"/>
  </w:num>
  <w:num w:numId="29" w16cid:durableId="11434731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D2"/>
    <w:rsid w:val="000112C0"/>
    <w:rsid w:val="0006338D"/>
    <w:rsid w:val="0015718F"/>
    <w:rsid w:val="001970DA"/>
    <w:rsid w:val="0020088B"/>
    <w:rsid w:val="00236DC4"/>
    <w:rsid w:val="003678E4"/>
    <w:rsid w:val="004078AF"/>
    <w:rsid w:val="00424FD2"/>
    <w:rsid w:val="00462CC7"/>
    <w:rsid w:val="004806A8"/>
    <w:rsid w:val="004D15B2"/>
    <w:rsid w:val="00546798"/>
    <w:rsid w:val="005A7DEF"/>
    <w:rsid w:val="006141F3"/>
    <w:rsid w:val="008D650D"/>
    <w:rsid w:val="0096434E"/>
    <w:rsid w:val="00A22FF2"/>
    <w:rsid w:val="00A328E1"/>
    <w:rsid w:val="00AC49AC"/>
    <w:rsid w:val="00B270BA"/>
    <w:rsid w:val="00C2275D"/>
    <w:rsid w:val="00D04EF5"/>
    <w:rsid w:val="00F9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B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spacing w:after="120" w:line="480" w:lineRule="auto"/>
      <w:ind w:left="720" w:hanging="720"/>
      <w:jc w:val="center"/>
      <w:outlineLvl w:val="0"/>
    </w:pPr>
    <w:rPr>
      <w:b/>
      <w:caps/>
      <w:sz w:val="28"/>
    </w:rPr>
  </w:style>
  <w:style w:type="paragraph" w:styleId="Heading2">
    <w:name w:val="heading 2"/>
    <w:basedOn w:val="Heading1"/>
    <w:next w:val="Normal"/>
    <w:qFormat/>
    <w:pPr>
      <w:jc w:val="left"/>
      <w:outlineLvl w:val="1"/>
    </w:pPr>
    <w:rPr>
      <w:caps w:val="0"/>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7"/>
    <w:next w:val="Normal"/>
    <w:qFormat/>
    <w:pPr>
      <w:ind w:left="5040"/>
      <w:outlineLvl w:val="7"/>
    </w:pPr>
  </w:style>
  <w:style w:type="paragraph" w:styleId="Heading9">
    <w:name w:val="heading 9"/>
    <w:basedOn w:val="Heading8"/>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style>
  <w:style w:type="paragraph" w:styleId="Caption">
    <w:name w:val="caption"/>
    <w:basedOn w:val="Normal"/>
    <w:next w:val="Normal"/>
    <w:qFormat/>
  </w:style>
  <w:style w:type="paragraph" w:customStyle="1" w:styleId="Docketnumber">
    <w:name w:val="Docket number"/>
    <w:basedOn w:val="Normal"/>
    <w:pPr>
      <w:jc w:val="center"/>
    </w:pPr>
    <w:rPr>
      <w:b/>
      <w:caps/>
      <w:sz w:val="28"/>
    </w:rPr>
  </w:style>
  <w:style w:type="paragraph" w:customStyle="1" w:styleId="Docketstyle">
    <w:name w:val="Docket style"/>
    <w:basedOn w:val="Normal"/>
    <w:pPr>
      <w:keepNext/>
      <w:tabs>
        <w:tab w:val="center" w:pos="4770"/>
        <w:tab w:val="left" w:pos="5400"/>
      </w:tabs>
      <w:spacing w:line="288" w:lineRule="auto"/>
    </w:pPr>
    <w:rPr>
      <w:b/>
      <w:caps/>
    </w:rPr>
  </w:style>
  <w:style w:type="paragraph" w:customStyle="1" w:styleId="Documentheading">
    <w:name w:val="Document heading"/>
    <w:basedOn w:val="Normal"/>
    <w:pPr>
      <w:keepNext/>
      <w:jc w:val="center"/>
    </w:pPr>
    <w:rPr>
      <w:b/>
      <w:caps/>
      <w:sz w:val="28"/>
    </w:rPr>
  </w:style>
  <w:style w:type="character" w:styleId="EndnoteReference">
    <w:name w:val="endnote reference"/>
    <w:basedOn w:val="DefaultParagraphFont"/>
    <w:semiHidden/>
    <w:rPr>
      <w:vertAlign w:val="superscript"/>
    </w:rPr>
  </w:style>
  <w:style w:type="paragraph" w:customStyle="1" w:styleId="Filename">
    <w:name w:val="Filename"/>
    <w:basedOn w:val="Normal"/>
    <w:rPr>
      <w:sz w:val="16"/>
    </w:rPr>
  </w:style>
  <w:style w:type="paragraph" w:styleId="Footer">
    <w:name w:val="footer"/>
    <w:basedOn w:val="Normal"/>
    <w:link w:val="FooterChar"/>
    <w:uiPriority w:val="99"/>
    <w:pPr>
      <w:tabs>
        <w:tab w:val="center" w:pos="4680"/>
        <w:tab w:val="right" w:pos="9360"/>
      </w:tabs>
      <w:spacing w:line="240" w:lineRule="atLeast"/>
    </w:pPr>
    <w:rPr>
      <w:sz w:val="16"/>
    </w:rPr>
  </w:style>
  <w:style w:type="paragraph" w:customStyle="1" w:styleId="Footnoteparagraph">
    <w:name w:val="Footnote paragraph"/>
    <w:basedOn w:val="FootnoteText"/>
    <w:pPr>
      <w:ind w:firstLine="720"/>
    </w:pPr>
  </w:style>
  <w:style w:type="paragraph" w:styleId="FootnoteText">
    <w:name w:val="footnote text"/>
    <w:basedOn w:val="Normal"/>
    <w:next w:val="Footnoteparagraph"/>
    <w:link w:val="FootnoteTextChar"/>
    <w:uiPriority w:val="99"/>
    <w:rPr>
      <w:sz w:val="20"/>
    </w:rPr>
  </w:style>
  <w:style w:type="paragraph" w:customStyle="1" w:styleId="Footnotequote">
    <w:name w:val="Footnote quote"/>
    <w:basedOn w:val="FootnoteText"/>
    <w:pPr>
      <w:spacing w:line="180" w:lineRule="exact"/>
      <w:ind w:left="720" w:right="720"/>
    </w:pPr>
  </w:style>
  <w:style w:type="character" w:styleId="FootnoteReference">
    <w:name w:val="footnote reference"/>
    <w:basedOn w:val="DefaultParagraphFont"/>
    <w:uiPriority w:val="99"/>
    <w:rPr>
      <w:position w:val="6"/>
      <w:sz w:val="16"/>
    </w:rPr>
  </w:style>
  <w:style w:type="paragraph" w:styleId="Header">
    <w:name w:val="header"/>
    <w:basedOn w:val="Normal"/>
    <w:pPr>
      <w:tabs>
        <w:tab w:val="center" w:pos="4680"/>
        <w:tab w:val="right" w:pos="9360"/>
      </w:tabs>
    </w:pPr>
  </w:style>
  <w:style w:type="paragraph" w:customStyle="1" w:styleId="Indent1">
    <w:name w:val="Indent 1"/>
    <w:basedOn w:val="Normal"/>
    <w:pPr>
      <w:ind w:left="720"/>
    </w:pPr>
  </w:style>
  <w:style w:type="paragraph" w:customStyle="1" w:styleId="Indent2">
    <w:name w:val="Indent 2"/>
    <w:basedOn w:val="Indent1"/>
    <w:pPr>
      <w:ind w:left="1440"/>
    </w:pPr>
  </w:style>
  <w:style w:type="paragraph" w:customStyle="1" w:styleId="Indent3">
    <w:name w:val="Indent 3"/>
    <w:basedOn w:val="Indent2"/>
    <w:pPr>
      <w:ind w:left="2160"/>
    </w:pPr>
  </w:style>
  <w:style w:type="paragraph" w:customStyle="1" w:styleId="Indent4">
    <w:name w:val="Indent 4"/>
    <w:basedOn w:val="Indent3"/>
    <w:pPr>
      <w:ind w:left="2880"/>
    </w:pPr>
  </w:style>
  <w:style w:type="paragraph" w:customStyle="1" w:styleId="Indent5">
    <w:name w:val="Indent 5"/>
    <w:basedOn w:val="Indent4"/>
    <w:pPr>
      <w:ind w:left="3600"/>
    </w:pPr>
  </w:style>
  <w:style w:type="paragraph" w:styleId="Index1">
    <w:name w:val="index 1"/>
    <w:basedOn w:val="Normal"/>
    <w:next w:val="Normal"/>
    <w:semiHidden/>
    <w:pPr>
      <w:tabs>
        <w:tab w:val="left" w:leader="dot" w:pos="9000"/>
        <w:tab w:val="right" w:pos="9360"/>
      </w:tabs>
      <w:suppressAutoHyphens/>
      <w:ind w:left="720"/>
    </w:pPr>
    <w:rPr>
      <w:rFonts w:ascii="CG Times" w:hAnsi="CG Times"/>
      <w:spacing w:val="-3"/>
    </w:rPr>
  </w:style>
  <w:style w:type="paragraph" w:styleId="Index2">
    <w:name w:val="index 2"/>
    <w:basedOn w:val="Normal"/>
    <w:next w:val="Normal"/>
    <w:semiHidden/>
    <w:pPr>
      <w:tabs>
        <w:tab w:val="left" w:leader="dot" w:pos="9000"/>
        <w:tab w:val="right" w:pos="9360"/>
      </w:tabs>
      <w:suppressAutoHyphens/>
      <w:ind w:left="720"/>
    </w:pPr>
    <w:rPr>
      <w:rFonts w:ascii="CG Times" w:hAnsi="CG Times"/>
      <w:spacing w:val="-3"/>
    </w:rPr>
  </w:style>
  <w:style w:type="paragraph" w:customStyle="1" w:styleId="MEE-RFI">
    <w:name w:val="MEE-RFI"/>
    <w:basedOn w:val="Normal"/>
    <w:pPr>
      <w:ind w:left="1440" w:hanging="1440"/>
    </w:pPr>
  </w:style>
  <w:style w:type="paragraph" w:customStyle="1" w:styleId="Normaldouble">
    <w:name w:val="Normal double"/>
    <w:basedOn w:val="Normal"/>
    <w:pPr>
      <w:spacing w:line="480" w:lineRule="auto"/>
    </w:pPr>
  </w:style>
  <w:style w:type="paragraph" w:styleId="NormalIndent">
    <w:name w:val="Normal Indent"/>
    <w:basedOn w:val="Normal"/>
    <w:pPr>
      <w:ind w:left="720"/>
    </w:pPr>
  </w:style>
  <w:style w:type="character" w:styleId="PageNumber">
    <w:name w:val="page number"/>
    <w:basedOn w:val="DefaultParagraphFont"/>
  </w:style>
  <w:style w:type="paragraph" w:customStyle="1" w:styleId="Paragraph">
    <w:name w:val="Paragraph"/>
    <w:basedOn w:val="Normal"/>
    <w:pPr>
      <w:ind w:firstLine="720"/>
    </w:pPr>
  </w:style>
  <w:style w:type="paragraph" w:customStyle="1" w:styleId="Paragraphdouble">
    <w:name w:val="Paragraph double"/>
    <w:basedOn w:val="Paragraph"/>
    <w:pPr>
      <w:spacing w:line="480" w:lineRule="auto"/>
    </w:pPr>
  </w:style>
  <w:style w:type="paragraph" w:customStyle="1" w:styleId="Quoteindent">
    <w:name w:val="Quote indent"/>
    <w:basedOn w:val="Normal"/>
    <w:next w:val="Normal"/>
    <w:pPr>
      <w:spacing w:after="60" w:line="220" w:lineRule="exact"/>
      <w:ind w:left="720" w:right="720"/>
    </w:pPr>
    <w:rPr>
      <w:sz w:val="22"/>
    </w:rPr>
  </w:style>
  <w:style w:type="paragraph" w:customStyle="1" w:styleId="Quoteparagraph">
    <w:name w:val="Quote paragraph"/>
    <w:basedOn w:val="Quoteindent"/>
    <w:pPr>
      <w:ind w:firstLine="720"/>
    </w:pPr>
  </w:style>
  <w:style w:type="paragraph" w:customStyle="1" w:styleId="RE">
    <w:name w:val="RE"/>
    <w:basedOn w:val="Normal"/>
    <w:pPr>
      <w:ind w:left="720" w:hanging="720"/>
    </w:pPr>
  </w:style>
  <w:style w:type="paragraph" w:customStyle="1" w:styleId="Sectionheading">
    <w:name w:val="Section heading"/>
    <w:basedOn w:val="Normal"/>
    <w:next w:val="Normal"/>
    <w:pPr>
      <w:keepNext/>
      <w:spacing w:line="480" w:lineRule="auto"/>
      <w:jc w:val="center"/>
    </w:pPr>
    <w:rPr>
      <w:b/>
    </w:rPr>
  </w:style>
  <w:style w:type="paragraph" w:customStyle="1" w:styleId="Sectionnumber">
    <w:name w:val="Section number"/>
    <w:basedOn w:val="Normal"/>
    <w:next w:val="Paragraphdouble"/>
    <w:pPr>
      <w:keepNext/>
      <w:spacing w:line="480" w:lineRule="auto"/>
      <w:jc w:val="center"/>
    </w:pPr>
    <w:rPr>
      <w:b/>
      <w:caps/>
    </w:rPr>
  </w:style>
  <w:style w:type="paragraph" w:styleId="TableofAuthorities">
    <w:name w:val="table of authorities"/>
    <w:basedOn w:val="Normal"/>
    <w:next w:val="Normal"/>
    <w:semiHidden/>
    <w:pPr>
      <w:tabs>
        <w:tab w:val="right" w:leader="dot" w:pos="9360"/>
      </w:tabs>
      <w:ind w:left="240" w:hanging="240"/>
      <w:jc w:val="left"/>
    </w:pPr>
    <w:rPr>
      <w:sz w:val="20"/>
    </w:rPr>
  </w:style>
  <w:style w:type="paragraph" w:styleId="TOAHeading">
    <w:name w:val="toa heading"/>
    <w:basedOn w:val="Normal"/>
    <w:next w:val="Normal"/>
    <w:semiHidden/>
    <w:pPr>
      <w:keepNext/>
      <w:spacing w:before="240" w:after="120"/>
      <w:jc w:val="left"/>
    </w:pPr>
    <w:rPr>
      <w:b/>
      <w:caps/>
      <w:sz w:val="20"/>
    </w:rPr>
  </w:style>
  <w:style w:type="paragraph" w:styleId="TOC1">
    <w:name w:val="toc 1"/>
    <w:basedOn w:val="Heading1"/>
    <w:next w:val="Normal"/>
    <w:semiHidden/>
    <w:pPr>
      <w:keepNext w:val="0"/>
      <w:spacing w:before="360" w:after="0" w:line="240" w:lineRule="auto"/>
      <w:ind w:left="0" w:firstLine="0"/>
      <w:jc w:val="left"/>
      <w:outlineLvl w:val="9"/>
    </w:pPr>
    <w:rPr>
      <w:rFonts w:ascii="Arial" w:hAnsi="Arial" w:cs="Arial"/>
      <w:bCs/>
      <w:sz w:val="24"/>
      <w:szCs w:val="24"/>
    </w:rPr>
  </w:style>
  <w:style w:type="paragraph" w:styleId="TOC2">
    <w:name w:val="toc 2"/>
    <w:basedOn w:val="TOC1"/>
    <w:next w:val="Normal"/>
    <w:semiHidden/>
    <w:pPr>
      <w:spacing w:before="240"/>
    </w:pPr>
    <w:rPr>
      <w:rFonts w:ascii="Times New Roman" w:hAnsi="Times New Roman" w:cs="Times New Roman"/>
      <w:caps w:val="0"/>
      <w:sz w:val="20"/>
      <w:szCs w:val="20"/>
    </w:rPr>
  </w:style>
  <w:style w:type="paragraph" w:styleId="TOC3">
    <w:name w:val="toc 3"/>
    <w:basedOn w:val="TOC2"/>
    <w:next w:val="Normal"/>
    <w:semiHidden/>
    <w:pPr>
      <w:spacing w:before="0"/>
      <w:ind w:left="240"/>
    </w:pPr>
    <w:rPr>
      <w:b w:val="0"/>
      <w:bCs w:val="0"/>
    </w:rPr>
  </w:style>
  <w:style w:type="paragraph" w:styleId="TOC4">
    <w:name w:val="toc 4"/>
    <w:basedOn w:val="TOC3"/>
    <w:next w:val="Normal"/>
    <w:semiHidden/>
    <w:pPr>
      <w:ind w:left="480"/>
    </w:pPr>
  </w:style>
  <w:style w:type="paragraph" w:styleId="TOC5">
    <w:name w:val="toc 5"/>
    <w:basedOn w:val="TOC4"/>
    <w:next w:val="Normal"/>
    <w:semiHidden/>
    <w:pPr>
      <w:ind w:left="720"/>
    </w:pPr>
  </w:style>
  <w:style w:type="paragraph" w:styleId="TOC6">
    <w:name w:val="toc 6"/>
    <w:basedOn w:val="TOC5"/>
    <w:next w:val="Normal"/>
    <w:semiHidden/>
    <w:pPr>
      <w:ind w:left="960"/>
    </w:pPr>
  </w:style>
  <w:style w:type="paragraph" w:styleId="TOC7">
    <w:name w:val="toc 7"/>
    <w:basedOn w:val="TOC6"/>
    <w:next w:val="Normal"/>
    <w:semiHidden/>
    <w:pPr>
      <w:ind w:left="1200"/>
    </w:pPr>
  </w:style>
  <w:style w:type="paragraph" w:styleId="TOC8">
    <w:name w:val="toc 8"/>
    <w:basedOn w:val="TOC7"/>
    <w:next w:val="Normal"/>
    <w:semiHidden/>
    <w:pPr>
      <w:ind w:left="1440"/>
    </w:pPr>
  </w:style>
  <w:style w:type="paragraph" w:styleId="TOC9">
    <w:name w:val="toc 9"/>
    <w:basedOn w:val="TOC8"/>
    <w:next w:val="Normal"/>
    <w:semiHidden/>
    <w:pPr>
      <w:ind w:left="1680"/>
    </w:pPr>
  </w:style>
  <w:style w:type="paragraph" w:customStyle="1" w:styleId="label-normal">
    <w:name w:val="label-normal"/>
    <w:basedOn w:val="Normal"/>
    <w:pPr>
      <w:spacing w:line="216" w:lineRule="auto"/>
      <w:ind w:left="187" w:right="101"/>
      <w:jc w:val="left"/>
    </w:pPr>
    <w:rPr>
      <w:sz w:val="20"/>
    </w:rPr>
  </w:style>
  <w:style w:type="paragraph" w:customStyle="1" w:styleId="Testimony">
    <w:name w:val="Testimony"/>
    <w:basedOn w:val="Normal"/>
    <w:pPr>
      <w:spacing w:line="480" w:lineRule="auto"/>
      <w:ind w:left="720" w:hanging="720"/>
    </w:pPr>
  </w:style>
  <w:style w:type="paragraph" w:customStyle="1" w:styleId="fq1">
    <w:name w:val="fq1"/>
    <w:basedOn w:val="FootnoteText"/>
    <w:pPr>
      <w:ind w:left="720" w:hanging="720"/>
    </w:pPr>
  </w:style>
  <w:style w:type="paragraph" w:customStyle="1" w:styleId="Bullet-one">
    <w:name w:val="Bullet-one"/>
    <w:basedOn w:val="Paragraphdouble"/>
    <w:pPr>
      <w:spacing w:after="120" w:line="360" w:lineRule="auto"/>
      <w:ind w:left="1080" w:hanging="360"/>
    </w:pPr>
  </w:style>
  <w:style w:type="paragraph" w:customStyle="1" w:styleId="DOCKETNO">
    <w:name w:val="DOCKET NO."/>
    <w:pPr>
      <w:spacing w:after="480" w:line="240" w:lineRule="exact"/>
      <w:jc w:val="center"/>
    </w:pPr>
    <w:rPr>
      <w:b/>
      <w:caps/>
      <w:sz w:val="28"/>
    </w:rPr>
  </w:style>
  <w:style w:type="paragraph" w:customStyle="1" w:styleId="DOCKETSTYLE0">
    <w:name w:val="DOCKET STYLE"/>
    <w:pPr>
      <w:tabs>
        <w:tab w:val="left" w:pos="4608"/>
        <w:tab w:val="left" w:pos="5616"/>
        <w:tab w:val="left" w:pos="6912"/>
      </w:tabs>
      <w:spacing w:after="240" w:line="240" w:lineRule="exact"/>
    </w:pPr>
    <w:rPr>
      <w:b/>
      <w:caps/>
      <w:sz w:val="24"/>
    </w:rPr>
  </w:style>
  <w:style w:type="paragraph" w:customStyle="1" w:styleId="PL">
    <w:name w:val="PL"/>
    <w:aliases w:val="BR,MT"/>
    <w:pPr>
      <w:spacing w:line="480" w:lineRule="exact"/>
      <w:ind w:firstLine="720"/>
      <w:jc w:val="both"/>
    </w:pPr>
    <w:rPr>
      <w:sz w:val="24"/>
    </w:rPr>
  </w:style>
  <w:style w:type="paragraph" w:customStyle="1" w:styleId="REFERENCELINEMEMO">
    <w:name w:val="REFERENCE LINE MEMO"/>
    <w:pPr>
      <w:tabs>
        <w:tab w:val="left" w:pos="2016"/>
      </w:tabs>
      <w:spacing w:after="240" w:line="240" w:lineRule="exact"/>
      <w:ind w:left="2016" w:hanging="2016"/>
      <w:jc w:val="both"/>
    </w:pPr>
    <w:rPr>
      <w:rFonts w:ascii="emperorPS" w:hAnsi="emperorPS"/>
      <w:sz w:val="24"/>
    </w:rPr>
  </w:style>
  <w:style w:type="paragraph" w:customStyle="1" w:styleId="single">
    <w:name w:val="single"/>
    <w:basedOn w:val="Normal"/>
    <w:pPr>
      <w:keepNext/>
      <w:keepLines/>
      <w:tabs>
        <w:tab w:val="left" w:pos="0"/>
      </w:tabs>
      <w:suppressAutoHyphens/>
    </w:pPr>
    <w:rPr>
      <w:spacing w:val="-3"/>
    </w:rPr>
  </w:style>
  <w:style w:type="paragraph" w:customStyle="1" w:styleId="qa">
    <w:name w:val="qa"/>
    <w:basedOn w:val="Normal"/>
    <w:pPr>
      <w:ind w:left="1080" w:right="720" w:hanging="360"/>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styleId="BodyText">
    <w:name w:val="Body Text"/>
    <w:basedOn w:val="Normal"/>
    <w:pPr>
      <w:spacing w:line="480" w:lineRule="auto"/>
    </w:pPr>
  </w:style>
  <w:style w:type="character" w:customStyle="1" w:styleId="FooterChar">
    <w:name w:val="Footer Char"/>
    <w:basedOn w:val="DefaultParagraphFont"/>
    <w:link w:val="Footer"/>
    <w:uiPriority w:val="99"/>
    <w:rPr>
      <w:sz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PlaceholderText">
    <w:name w:val="Placeholder Text"/>
    <w:basedOn w:val="DefaultParagraphFont"/>
    <w:uiPriority w:val="99"/>
    <w:semiHidden/>
    <w:rPr>
      <w:color w:val="808080"/>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FollowedHyperlink">
    <w:name w:val="FollowedHyperlink"/>
    <w:basedOn w:val="DefaultParagraphFont"/>
    <w:semiHidden/>
    <w:unhideWhenUsed/>
    <w:rPr>
      <w:color w:val="800080" w:themeColor="followedHyperlink"/>
      <w:u w:val="single"/>
    </w:rPr>
  </w:style>
  <w:style w:type="character" w:customStyle="1" w:styleId="FootnoteTextChar">
    <w:name w:val="Footnote Text Char"/>
    <w:basedOn w:val="DefaultParagraphFont"/>
    <w:link w:val="FootnoteText"/>
    <w:uiPriority w:val="99"/>
  </w:style>
  <w:style w:type="paragraph" w:customStyle="1" w:styleId="Default">
    <w:name w:val="Default"/>
    <w:pPr>
      <w:autoSpaceDE w:val="0"/>
      <w:autoSpaceDN w:val="0"/>
      <w:adjustRightInd w:val="0"/>
    </w:pPr>
    <w:rPr>
      <w:color w:val="000000"/>
      <w:sz w:val="24"/>
      <w:szCs w:val="24"/>
    </w:rPr>
  </w:style>
  <w:style w:type="paragraph" w:customStyle="1" w:styleId="sr1charchar">
    <w:name w:val="sr1charchar"/>
    <w:basedOn w:val="Normal"/>
    <w:pPr>
      <w:ind w:left="1260" w:hanging="540"/>
    </w:pPr>
    <w:rPr>
      <w:sz w:val="20"/>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styleId="NoSpacing">
    <w:name w:val="No Spacing"/>
    <w:basedOn w:val="Normal"/>
    <w:uiPriority w:val="1"/>
    <w:qFormat/>
    <w:pPr>
      <w:jc w:val="left"/>
    </w:pPr>
    <w:rPr>
      <w:rFonts w:eastAsiaTheme="minorHAnsi"/>
      <w:szCs w:val="32"/>
    </w:rPr>
  </w:style>
  <w:style w:type="character" w:styleId="UnresolvedMention">
    <w:name w:val="Unresolved Mention"/>
    <w:basedOn w:val="DefaultParagraphFont"/>
    <w:uiPriority w:val="99"/>
    <w:semiHidden/>
    <w:unhideWhenUsed/>
    <w:rsid w:val="00D04EF5"/>
    <w:rPr>
      <w:color w:val="605E5C"/>
      <w:shd w:val="clear" w:color="auto" w:fill="E1DFDD"/>
    </w:rPr>
  </w:style>
  <w:style w:type="paragraph" w:styleId="Revision">
    <w:name w:val="Revision"/>
    <w:hidden/>
    <w:uiPriority w:val="99"/>
    <w:semiHidden/>
    <w:rsid w:val="005467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40287">
      <w:bodyDiv w:val="1"/>
      <w:marLeft w:val="0"/>
      <w:marRight w:val="0"/>
      <w:marTop w:val="0"/>
      <w:marBottom w:val="0"/>
      <w:divBdr>
        <w:top w:val="none" w:sz="0" w:space="0" w:color="auto"/>
        <w:left w:val="none" w:sz="0" w:space="0" w:color="auto"/>
        <w:bottom w:val="none" w:sz="0" w:space="0" w:color="auto"/>
        <w:right w:val="none" w:sz="0" w:space="0" w:color="auto"/>
      </w:divBdr>
    </w:div>
    <w:div w:id="16564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ele@competitivepow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F1979-1EFF-45C9-949E-F81BED57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2022-11-14T20:39:00Z</dcterms:created>
  <dcterms:modified xsi:type="dcterms:W3CDTF">2022-11-14T20:48:00Z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52796 Initial Comments to PFP re 25.109 (Draft 11-11)</vt:lpwstr>
  </property>
  <property fmtid="{D5CDD505-2E9C-101B-9397-08002B2CF9AE}" pid="3" name="DocXFormat">
    <vt:lpwstr>DefaultFormat</vt:lpwstr>
  </property>
  <property fmtid="{D5CDD505-2E9C-101B-9397-08002B2CF9AE}" pid="4" name="DocXLocation">
    <vt:lpwstr>(none)</vt:lpwstr>
  </property>
</Properties>
</file>