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C2F" w14:textId="3B1512A0" w:rsidR="009A62BF" w:rsidRPr="00C36738" w:rsidRDefault="000A46BE" w:rsidP="00E47D33">
      <w:pPr>
        <w:jc w:val="center"/>
        <w:rPr>
          <w:rFonts w:ascii="Times New Roman" w:hAnsi="Times New Roman" w:cs="Times New Roman"/>
        </w:rPr>
      </w:pPr>
      <w:r w:rsidRPr="00C36738">
        <w:rPr>
          <w:rFonts w:ascii="Times New Roman" w:hAnsi="Times New Roman" w:cs="Times New Roman"/>
          <w:b/>
          <w:bCs/>
        </w:rPr>
        <w:t xml:space="preserve">PROJECT NO. </w:t>
      </w:r>
      <w:r w:rsidR="001A666C">
        <w:rPr>
          <w:rFonts w:ascii="Times New Roman" w:hAnsi="Times New Roman" w:cs="Times New Roman"/>
          <w:b/>
          <w:bCs/>
        </w:rPr>
        <w:t>5</w:t>
      </w:r>
      <w:r w:rsidR="005C2362">
        <w:rPr>
          <w:rFonts w:ascii="Times New Roman" w:hAnsi="Times New Roman" w:cs="Times New Roman"/>
          <w:b/>
          <w:bCs/>
        </w:rPr>
        <w:t>4585</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0A46BE" w:rsidRPr="00C36738" w14:paraId="2DA35ED6" w14:textId="77777777" w:rsidTr="001C5A5D">
        <w:trPr>
          <w:trHeight w:val="1341"/>
        </w:trPr>
        <w:tc>
          <w:tcPr>
            <w:tcW w:w="4230" w:type="dxa"/>
            <w:vAlign w:val="center"/>
          </w:tcPr>
          <w:p w14:paraId="65985F7B" w14:textId="501AB5C2" w:rsidR="000A46BE" w:rsidRPr="00C36738" w:rsidRDefault="009C2257" w:rsidP="009C2257">
            <w:pPr>
              <w:jc w:val="center"/>
              <w:rPr>
                <w:rFonts w:ascii="Times New Roman" w:hAnsi="Times New Roman" w:cs="Times New Roman"/>
                <w:b/>
                <w:bCs/>
              </w:rPr>
            </w:pPr>
            <w:r>
              <w:rPr>
                <w:rFonts w:ascii="Times New Roman" w:hAnsi="Times New Roman" w:cs="Times New Roman"/>
                <w:b/>
                <w:bCs/>
              </w:rPr>
              <w:t xml:space="preserve">EMERGENCY </w:t>
            </w:r>
            <w:r w:rsidR="005C2362">
              <w:rPr>
                <w:rFonts w:ascii="Times New Roman" w:hAnsi="Times New Roman" w:cs="Times New Roman"/>
                <w:b/>
                <w:bCs/>
              </w:rPr>
              <w:t>PRICING PROGRAM</w:t>
            </w:r>
          </w:p>
        </w:tc>
        <w:tc>
          <w:tcPr>
            <w:tcW w:w="720" w:type="dxa"/>
            <w:vAlign w:val="center"/>
          </w:tcPr>
          <w:p w14:paraId="6C106138" w14:textId="77777777" w:rsidR="000A46BE"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5F1E91B9" w14:textId="77777777"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0D33AC7C" w14:textId="32C95AB9"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431DE9DD" w14:textId="1D45B606"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BEFORE THE</w:t>
            </w:r>
          </w:p>
          <w:p w14:paraId="6DA18CCA"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PUBLIC UTILITY COMMISSION</w:t>
            </w:r>
          </w:p>
          <w:p w14:paraId="69A3027D"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OF TEXAS</w:t>
            </w:r>
          </w:p>
        </w:tc>
      </w:tr>
    </w:tbl>
    <w:p w14:paraId="12A61059" w14:textId="13C18144" w:rsidR="003D4730" w:rsidRPr="00C36738" w:rsidRDefault="009A62BF" w:rsidP="008877F3">
      <w:pPr>
        <w:ind w:hanging="450"/>
        <w:rPr>
          <w:rFonts w:ascii="Times New Roman" w:hAnsi="Times New Roman" w:cs="Times New Roman"/>
          <w:u w:val="single"/>
        </w:rPr>
      </w:pPr>
      <w:r w:rsidRPr="00C36738">
        <w:rPr>
          <w:rFonts w:ascii="Times New Roman" w:hAnsi="Times New Roman" w:cs="Times New Roman"/>
          <w:b/>
          <w:bCs/>
        </w:rPr>
        <w:tab/>
      </w:r>
    </w:p>
    <w:p w14:paraId="36860F62" w14:textId="2DEFAE99" w:rsidR="00AF1446" w:rsidRPr="00C36738" w:rsidRDefault="006141FF" w:rsidP="00AF1446">
      <w:pPr>
        <w:jc w:val="center"/>
        <w:rPr>
          <w:rFonts w:ascii="Times New Roman" w:hAnsi="Times New Roman" w:cs="Times New Roman"/>
          <w:b/>
          <w:bCs/>
          <w:u w:val="single"/>
        </w:rPr>
      </w:pPr>
      <w:r>
        <w:rPr>
          <w:rFonts w:ascii="Times New Roman" w:hAnsi="Times New Roman" w:cs="Times New Roman"/>
          <w:b/>
          <w:bCs/>
          <w:u w:val="single"/>
        </w:rPr>
        <w:t>T</w:t>
      </w:r>
      <w:r w:rsidR="00792B92">
        <w:rPr>
          <w:rFonts w:ascii="Times New Roman" w:hAnsi="Times New Roman" w:cs="Times New Roman"/>
          <w:b/>
          <w:bCs/>
          <w:u w:val="single"/>
        </w:rPr>
        <w:t>EXAS</w:t>
      </w:r>
      <w:r w:rsidR="00EB3AC7">
        <w:rPr>
          <w:rFonts w:ascii="Times New Roman" w:hAnsi="Times New Roman" w:cs="Times New Roman"/>
          <w:b/>
          <w:bCs/>
          <w:u w:val="single"/>
        </w:rPr>
        <w:t xml:space="preserve"> </w:t>
      </w:r>
      <w:r>
        <w:rPr>
          <w:rFonts w:ascii="Times New Roman" w:hAnsi="Times New Roman" w:cs="Times New Roman"/>
          <w:b/>
          <w:bCs/>
          <w:u w:val="single"/>
        </w:rPr>
        <w:t>C</w:t>
      </w:r>
      <w:r w:rsidR="00792B92">
        <w:rPr>
          <w:rFonts w:ascii="Times New Roman" w:hAnsi="Times New Roman" w:cs="Times New Roman"/>
          <w:b/>
          <w:bCs/>
          <w:u w:val="single"/>
        </w:rPr>
        <w:t>OMPETITIVE</w:t>
      </w:r>
      <w:r w:rsidR="00EB3AC7">
        <w:rPr>
          <w:rFonts w:ascii="Times New Roman" w:hAnsi="Times New Roman" w:cs="Times New Roman"/>
          <w:b/>
          <w:bCs/>
          <w:u w:val="single"/>
        </w:rPr>
        <w:t xml:space="preserve"> </w:t>
      </w:r>
      <w:r>
        <w:rPr>
          <w:rFonts w:ascii="Times New Roman" w:hAnsi="Times New Roman" w:cs="Times New Roman"/>
          <w:b/>
          <w:bCs/>
          <w:u w:val="single"/>
        </w:rPr>
        <w:t>P</w:t>
      </w:r>
      <w:r w:rsidR="00792B92">
        <w:rPr>
          <w:rFonts w:ascii="Times New Roman" w:hAnsi="Times New Roman" w:cs="Times New Roman"/>
          <w:b/>
          <w:bCs/>
          <w:u w:val="single"/>
        </w:rPr>
        <w:t>OWER</w:t>
      </w:r>
      <w:r w:rsidR="00EB3AC7">
        <w:rPr>
          <w:rFonts w:ascii="Times New Roman" w:hAnsi="Times New Roman" w:cs="Times New Roman"/>
          <w:b/>
          <w:bCs/>
          <w:u w:val="single"/>
        </w:rPr>
        <w:t xml:space="preserve"> </w:t>
      </w:r>
      <w:r>
        <w:rPr>
          <w:rFonts w:ascii="Times New Roman" w:hAnsi="Times New Roman" w:cs="Times New Roman"/>
          <w:b/>
          <w:bCs/>
          <w:u w:val="single"/>
        </w:rPr>
        <w:t>A</w:t>
      </w:r>
      <w:r w:rsidR="00792B92">
        <w:rPr>
          <w:rFonts w:ascii="Times New Roman" w:hAnsi="Times New Roman" w:cs="Times New Roman"/>
          <w:b/>
          <w:bCs/>
          <w:u w:val="single"/>
        </w:rPr>
        <w:t>DVOCATES</w:t>
      </w:r>
      <w:r w:rsidR="009C2257">
        <w:rPr>
          <w:rFonts w:ascii="Times New Roman" w:hAnsi="Times New Roman" w:cs="Times New Roman"/>
          <w:b/>
          <w:bCs/>
          <w:u w:val="single"/>
        </w:rPr>
        <w:t xml:space="preserve"> </w:t>
      </w:r>
      <w:r w:rsidR="005C2362">
        <w:rPr>
          <w:rFonts w:ascii="Times New Roman" w:hAnsi="Times New Roman" w:cs="Times New Roman"/>
          <w:b/>
          <w:bCs/>
          <w:u w:val="single"/>
        </w:rPr>
        <w:t xml:space="preserve">(TCPA) </w:t>
      </w:r>
      <w:r w:rsidR="009C2257">
        <w:rPr>
          <w:rFonts w:ascii="Times New Roman" w:hAnsi="Times New Roman" w:cs="Times New Roman"/>
          <w:b/>
          <w:bCs/>
          <w:u w:val="single"/>
        </w:rPr>
        <w:t xml:space="preserve">ON </w:t>
      </w:r>
      <w:r w:rsidR="005C2362">
        <w:rPr>
          <w:rFonts w:ascii="Times New Roman" w:hAnsi="Times New Roman" w:cs="Times New Roman"/>
          <w:b/>
          <w:bCs/>
          <w:u w:val="single"/>
        </w:rPr>
        <w:t>PUCT STAFF QUESTIONS</w:t>
      </w:r>
    </w:p>
    <w:p w14:paraId="6F8CE8E1" w14:textId="77777777" w:rsidR="00460079" w:rsidRPr="00C36738" w:rsidRDefault="00460079" w:rsidP="00AF1446">
      <w:pPr>
        <w:jc w:val="center"/>
        <w:rPr>
          <w:rFonts w:ascii="Times New Roman" w:hAnsi="Times New Roman" w:cs="Times New Roman"/>
          <w:u w:val="single"/>
        </w:rPr>
      </w:pPr>
    </w:p>
    <w:p w14:paraId="1DF30119" w14:textId="77777777" w:rsidR="00460079" w:rsidRPr="00C36738" w:rsidRDefault="00460079" w:rsidP="00AF1446">
      <w:pPr>
        <w:jc w:val="both"/>
        <w:rPr>
          <w:rFonts w:ascii="Times New Roman" w:hAnsi="Times New Roman" w:cs="Times New Roman"/>
        </w:rPr>
      </w:pPr>
    </w:p>
    <w:p w14:paraId="76875AA7" w14:textId="6C98A5A7" w:rsidR="00AF1446" w:rsidRDefault="00AF1446" w:rsidP="7A4D0CE6">
      <w:pPr>
        <w:spacing w:line="480" w:lineRule="auto"/>
        <w:jc w:val="both"/>
        <w:rPr>
          <w:rStyle w:val="Hyperlink"/>
          <w:rFonts w:ascii="Times New Roman" w:eastAsia="Times New Roman" w:hAnsi="Times New Roman" w:cs="Times New Roman"/>
          <w:sz w:val="20"/>
          <w:szCs w:val="20"/>
          <w:vertAlign w:val="superscript"/>
        </w:rPr>
      </w:pPr>
      <w:r w:rsidRPr="00C36738">
        <w:rPr>
          <w:rFonts w:ascii="Times New Roman" w:hAnsi="Times New Roman" w:cs="Times New Roman"/>
        </w:rPr>
        <w:tab/>
      </w:r>
      <w:r w:rsidR="006141FF">
        <w:rPr>
          <w:rFonts w:ascii="Times New Roman" w:hAnsi="Times New Roman" w:cs="Times New Roman"/>
        </w:rPr>
        <w:t>Texas Competitive Power Advocates</w:t>
      </w:r>
      <w:r w:rsidR="00D30ED9">
        <w:rPr>
          <w:rFonts w:ascii="Times New Roman" w:hAnsi="Times New Roman" w:cs="Times New Roman"/>
        </w:rPr>
        <w:t xml:space="preserve"> (</w:t>
      </w:r>
      <w:r w:rsidR="009C2257">
        <w:rPr>
          <w:rFonts w:ascii="Times New Roman" w:hAnsi="Times New Roman" w:cs="Times New Roman"/>
        </w:rPr>
        <w:t>“</w:t>
      </w:r>
      <w:r w:rsidR="006141FF">
        <w:rPr>
          <w:rFonts w:ascii="Times New Roman" w:hAnsi="Times New Roman" w:cs="Times New Roman"/>
        </w:rPr>
        <w:t>TCPA</w:t>
      </w:r>
      <w:r w:rsidR="009C2257">
        <w:rPr>
          <w:rFonts w:ascii="Times New Roman" w:hAnsi="Times New Roman" w:cs="Times New Roman"/>
        </w:rPr>
        <w:t>”</w:t>
      </w:r>
      <w:r w:rsidR="00D30ED9">
        <w:rPr>
          <w:rFonts w:ascii="Times New Roman" w:hAnsi="Times New Roman" w:cs="Times New Roman"/>
        </w:rPr>
        <w:t>)</w:t>
      </w:r>
      <w:r w:rsidR="0011418A">
        <w:rPr>
          <w:rStyle w:val="FootnoteReference"/>
          <w:rFonts w:ascii="Times New Roman" w:hAnsi="Times New Roman" w:cs="Times New Roman"/>
        </w:rPr>
        <w:footnoteReference w:id="2"/>
      </w:r>
      <w:r w:rsidRPr="00C36738">
        <w:rPr>
          <w:rFonts w:ascii="Times New Roman" w:hAnsi="Times New Roman" w:cs="Times New Roman"/>
        </w:rPr>
        <w:t xml:space="preserve"> </w:t>
      </w:r>
      <w:r w:rsidR="00E353EF">
        <w:rPr>
          <w:rFonts w:ascii="Times New Roman" w:hAnsi="Times New Roman" w:cs="Times New Roman"/>
        </w:rPr>
        <w:t xml:space="preserve">respectfully </w:t>
      </w:r>
      <w:r w:rsidR="00F30BE0" w:rsidRPr="00C36738">
        <w:rPr>
          <w:rFonts w:ascii="Times New Roman" w:hAnsi="Times New Roman" w:cs="Times New Roman"/>
        </w:rPr>
        <w:t xml:space="preserve">submits </w:t>
      </w:r>
      <w:r w:rsidRPr="00C36738">
        <w:rPr>
          <w:rFonts w:ascii="Times New Roman" w:hAnsi="Times New Roman" w:cs="Times New Roman"/>
        </w:rPr>
        <w:t xml:space="preserve">the following comments in </w:t>
      </w:r>
      <w:r w:rsidR="005C2362">
        <w:rPr>
          <w:rFonts w:ascii="Times New Roman" w:hAnsi="Times New Roman" w:cs="Times New Roman"/>
        </w:rPr>
        <w:t xml:space="preserve">response to </w:t>
      </w:r>
      <w:r w:rsidR="7A4D0CE6" w:rsidRPr="7A4D0CE6">
        <w:rPr>
          <w:rFonts w:ascii="Times New Roman" w:eastAsia="Times New Roman" w:hAnsi="Times New Roman" w:cs="Times New Roman"/>
        </w:rPr>
        <w:t xml:space="preserve">Public Utility Commission of Texas (“PUC” or “Commission”) </w:t>
      </w:r>
      <w:r w:rsidR="005C2362">
        <w:rPr>
          <w:rFonts w:ascii="Times New Roman" w:hAnsi="Times New Roman" w:cs="Times New Roman"/>
        </w:rPr>
        <w:t xml:space="preserve">Staff questions for stakeholder comments issued on July 25, 2023. </w:t>
      </w:r>
      <w:r w:rsidR="7A4D0CE6" w:rsidRPr="7A4D0CE6">
        <w:rPr>
          <w:rFonts w:ascii="Times New Roman" w:eastAsia="Times New Roman" w:hAnsi="Times New Roman" w:cs="Times New Roman"/>
        </w:rPr>
        <w:t>These comments are timely filed.</w:t>
      </w:r>
      <w:r w:rsidRPr="7A4D0CE6">
        <w:rPr>
          <w:rStyle w:val="FootnoteReference"/>
          <w:rFonts w:ascii="Times New Roman" w:eastAsia="Times New Roman" w:hAnsi="Times New Roman" w:cs="Times New Roman"/>
          <w:sz w:val="20"/>
          <w:szCs w:val="20"/>
        </w:rPr>
        <w:footnoteReference w:id="3"/>
      </w:r>
    </w:p>
    <w:p w14:paraId="023C9E93" w14:textId="4938B596" w:rsidR="00AF1446" w:rsidRDefault="00AF1446" w:rsidP="7A4D0CE6">
      <w:pPr>
        <w:spacing w:line="480" w:lineRule="auto"/>
        <w:jc w:val="both"/>
        <w:rPr>
          <w:rFonts w:ascii="Times New Roman" w:hAnsi="Times New Roman" w:cs="Times New Roman"/>
        </w:rPr>
      </w:pPr>
    </w:p>
    <w:p w14:paraId="34E4EF46" w14:textId="11B2CED2" w:rsidR="00F92023" w:rsidRDefault="005C2362" w:rsidP="00F92023">
      <w:pPr>
        <w:spacing w:line="480" w:lineRule="auto"/>
        <w:jc w:val="center"/>
        <w:rPr>
          <w:rFonts w:ascii="Times New Roman" w:hAnsi="Times New Roman" w:cs="Times New Roman"/>
          <w:b/>
          <w:bCs/>
        </w:rPr>
      </w:pPr>
      <w:r>
        <w:rPr>
          <w:rFonts w:ascii="Times New Roman" w:hAnsi="Times New Roman" w:cs="Times New Roman"/>
          <w:b/>
          <w:bCs/>
        </w:rPr>
        <w:t xml:space="preserve">GENERAL </w:t>
      </w:r>
      <w:r w:rsidR="00F92023" w:rsidRPr="00F92023">
        <w:rPr>
          <w:rFonts w:ascii="Times New Roman" w:hAnsi="Times New Roman" w:cs="Times New Roman"/>
          <w:b/>
          <w:bCs/>
        </w:rPr>
        <w:t>COMMENTS</w:t>
      </w:r>
    </w:p>
    <w:p w14:paraId="02B47D68" w14:textId="5E3863CA" w:rsidR="0006097C" w:rsidRDefault="00F92023" w:rsidP="7A4D0CE6">
      <w:pPr>
        <w:spacing w:after="160" w:line="480" w:lineRule="auto"/>
        <w:jc w:val="both"/>
        <w:rPr>
          <w:rFonts w:ascii="Times New Roman" w:eastAsia="Times New Roman" w:hAnsi="Times New Roman" w:cs="Times New Roman"/>
        </w:rPr>
      </w:pPr>
      <w:r w:rsidRPr="005C2362">
        <w:rPr>
          <w:rFonts w:ascii="Times New Roman" w:hAnsi="Times New Roman" w:cs="Times New Roman"/>
        </w:rPr>
        <w:tab/>
        <w:t xml:space="preserve">TCPA appreciates the </w:t>
      </w:r>
      <w:r w:rsidR="008A162B" w:rsidRPr="005C2362">
        <w:rPr>
          <w:rFonts w:ascii="Times New Roman" w:hAnsi="Times New Roman" w:cs="Times New Roman"/>
        </w:rPr>
        <w:t xml:space="preserve">opportunity to provide </w:t>
      </w:r>
      <w:r w:rsidR="005C2362" w:rsidRPr="005C2362">
        <w:rPr>
          <w:rFonts w:ascii="Times New Roman" w:hAnsi="Times New Roman" w:cs="Times New Roman"/>
        </w:rPr>
        <w:t xml:space="preserve">general comments on the Emergency Pricing Program and respond to the questions posed by PUC Staff in their July 25, </w:t>
      </w:r>
      <w:proofErr w:type="gramStart"/>
      <w:r w:rsidR="005C2362" w:rsidRPr="005C2362">
        <w:rPr>
          <w:rFonts w:ascii="Times New Roman" w:hAnsi="Times New Roman" w:cs="Times New Roman"/>
        </w:rPr>
        <w:t>2023</w:t>
      </w:r>
      <w:proofErr w:type="gramEnd"/>
      <w:r w:rsidR="005C2362" w:rsidRPr="005C2362">
        <w:rPr>
          <w:rFonts w:ascii="Times New Roman" w:hAnsi="Times New Roman" w:cs="Times New Roman"/>
        </w:rPr>
        <w:t xml:space="preserve"> memo. </w:t>
      </w:r>
      <w:r w:rsidR="7A4D0CE6" w:rsidRPr="7A4D0CE6">
        <w:rPr>
          <w:rFonts w:ascii="Times New Roman" w:eastAsia="Times New Roman" w:hAnsi="Times New Roman" w:cs="Times New Roman"/>
        </w:rPr>
        <w:t xml:space="preserve">As an initial matter, the Staff memo does not raise certain important topics that the Commission should also address before </w:t>
      </w:r>
      <w:r w:rsidR="005C2362">
        <w:rPr>
          <w:rFonts w:ascii="Times New Roman" w:hAnsi="Times New Roman" w:cs="Times New Roman"/>
        </w:rPr>
        <w:t xml:space="preserve">implementing the Emergency Pricing Program. First, the provisions of </w:t>
      </w:r>
      <w:r w:rsidR="7A4D0CE6" w:rsidRPr="7A4D0CE6">
        <w:rPr>
          <w:rFonts w:ascii="Times New Roman" w:eastAsia="Times New Roman" w:hAnsi="Times New Roman" w:cs="Times New Roman"/>
        </w:rPr>
        <w:t>Public Utility Regulatory Act (“PURA”)</w:t>
      </w:r>
      <w:r w:rsidRPr="7A4D0CE6">
        <w:rPr>
          <w:rStyle w:val="FootnoteReference"/>
          <w:rFonts w:ascii="Times New Roman" w:eastAsia="Times New Roman" w:hAnsi="Times New Roman" w:cs="Times New Roman"/>
        </w:rPr>
        <w:footnoteReference w:id="4"/>
      </w:r>
      <w:r w:rsidR="7A4D0CE6" w:rsidRPr="7A4D0CE6">
        <w:rPr>
          <w:rFonts w:ascii="Times New Roman" w:eastAsia="Times New Roman" w:hAnsi="Times New Roman" w:cs="Times New Roman"/>
        </w:rPr>
        <w:t xml:space="preserve"> § </w:t>
      </w:r>
      <w:r w:rsidR="005C2362">
        <w:rPr>
          <w:rFonts w:ascii="Times New Roman" w:hAnsi="Times New Roman" w:cs="Times New Roman"/>
        </w:rPr>
        <w:t xml:space="preserve">39.160 are not clear regarding what reference price is to be used for triggering the Emergency Pricing Program. While the statute provides for the trigger to be prices at the high system-wide offer cap (“HCAP”) for twelve (12) hours in a twenty-four (24) </w:t>
      </w:r>
      <w:r w:rsidR="005C2362">
        <w:rPr>
          <w:rFonts w:ascii="Times New Roman" w:hAnsi="Times New Roman" w:cs="Times New Roman"/>
        </w:rPr>
        <w:lastRenderedPageBreak/>
        <w:t xml:space="preserve">hour period, it is unclear </w:t>
      </w:r>
      <w:r w:rsidR="7A4D0CE6" w:rsidRPr="7A4D0CE6">
        <w:rPr>
          <w:rFonts w:ascii="Times New Roman" w:eastAsia="Times New Roman" w:hAnsi="Times New Roman" w:cs="Times New Roman"/>
        </w:rPr>
        <w:t>where and how that price should be measured</w:t>
      </w:r>
      <w:r w:rsidR="005C2362">
        <w:rPr>
          <w:rFonts w:ascii="Times New Roman" w:hAnsi="Times New Roman" w:cs="Times New Roman"/>
        </w:rPr>
        <w:t xml:space="preserve">. A specific </w:t>
      </w:r>
      <w:r w:rsidR="7A4D0CE6" w:rsidRPr="7A4D0CE6">
        <w:rPr>
          <w:rFonts w:ascii="Times New Roman" w:hAnsi="Times New Roman" w:cs="Times New Roman"/>
        </w:rPr>
        <w:t xml:space="preserve">reference </w:t>
      </w:r>
      <w:r w:rsidR="005C2362">
        <w:rPr>
          <w:rFonts w:ascii="Times New Roman" w:hAnsi="Times New Roman" w:cs="Times New Roman"/>
        </w:rPr>
        <w:t xml:space="preserve">settlement price point should be clarified in rule, and TCPA recommends the use of </w:t>
      </w:r>
      <w:r w:rsidR="001B7686">
        <w:rPr>
          <w:rFonts w:ascii="Times New Roman" w:hAnsi="Times New Roman" w:cs="Times New Roman"/>
        </w:rPr>
        <w:t xml:space="preserve">the </w:t>
      </w:r>
      <w:r w:rsidR="005C2362">
        <w:rPr>
          <w:rFonts w:ascii="Times New Roman" w:hAnsi="Times New Roman" w:cs="Times New Roman"/>
        </w:rPr>
        <w:t xml:space="preserve">ERCOT </w:t>
      </w:r>
      <w:r w:rsidR="7A4D0CE6" w:rsidRPr="7A4D0CE6">
        <w:rPr>
          <w:rFonts w:ascii="Times New Roman" w:eastAsia="Times New Roman" w:hAnsi="Times New Roman" w:cs="Times New Roman"/>
        </w:rPr>
        <w:t xml:space="preserve">Hub Average </w:t>
      </w:r>
      <w:r w:rsidR="005C2362">
        <w:rPr>
          <w:rFonts w:ascii="Times New Roman" w:hAnsi="Times New Roman" w:cs="Times New Roman"/>
        </w:rPr>
        <w:t xml:space="preserve">345 kV price </w:t>
      </w:r>
      <w:r w:rsidR="7A4D0CE6" w:rsidRPr="7A4D0CE6">
        <w:rPr>
          <w:rFonts w:ascii="Times New Roman" w:eastAsia="Times New Roman" w:hAnsi="Times New Roman" w:cs="Times New Roman"/>
        </w:rPr>
        <w:t>as defined in Section 3.5.2.6 of the ERCOT Nodal Protocols</w:t>
      </w:r>
      <w:r w:rsidR="005C2362">
        <w:rPr>
          <w:rFonts w:ascii="Times New Roman" w:hAnsi="Times New Roman" w:cs="Times New Roman"/>
        </w:rPr>
        <w:t xml:space="preserve">. </w:t>
      </w:r>
      <w:r w:rsidR="7A4D0CE6" w:rsidRPr="7A4D0CE6">
        <w:rPr>
          <w:rFonts w:ascii="Times New Roman" w:eastAsia="Times New Roman" w:hAnsi="Times New Roman" w:cs="Times New Roman"/>
        </w:rPr>
        <w:t xml:space="preserve">The Hub Average 345 kV price is the simple average of the North Hub, South Hub, Houston Hub, and West Hub 345 kV prices, and therefore broadly represents ERCOT system conditions and is not as easily swayed by local issues such as transmission </w:t>
      </w:r>
      <w:proofErr w:type="gramStart"/>
      <w:r w:rsidR="7A4D0CE6" w:rsidRPr="7A4D0CE6">
        <w:rPr>
          <w:rFonts w:ascii="Times New Roman" w:eastAsia="Times New Roman" w:hAnsi="Times New Roman" w:cs="Times New Roman"/>
        </w:rPr>
        <w:t>congestion, and</w:t>
      </w:r>
      <w:proofErr w:type="gramEnd"/>
      <w:r w:rsidR="7A4D0CE6" w:rsidRPr="7A4D0CE6">
        <w:rPr>
          <w:rFonts w:ascii="Times New Roman" w:eastAsia="Times New Roman" w:hAnsi="Times New Roman" w:cs="Times New Roman"/>
        </w:rPr>
        <w:t xml:space="preserve"> is therefore more appropriate to use as a reference for triggering a system-wide price control such as the Emergency Pricing Program.</w:t>
      </w:r>
    </w:p>
    <w:p w14:paraId="7F5DB314" w14:textId="2C128735" w:rsidR="00360C2D" w:rsidRDefault="7A4D0CE6" w:rsidP="7A4D0CE6">
      <w:pPr>
        <w:spacing w:after="160" w:line="480" w:lineRule="auto"/>
        <w:ind w:firstLine="720"/>
        <w:jc w:val="both"/>
        <w:rPr>
          <w:rFonts w:ascii="Times New Roman" w:hAnsi="Times New Roman" w:cs="Times New Roman"/>
        </w:rPr>
      </w:pPr>
      <w:r w:rsidRPr="7A4D0CE6">
        <w:rPr>
          <w:rFonts w:ascii="Times New Roman" w:hAnsi="Times New Roman" w:cs="Times New Roman"/>
        </w:rPr>
        <w:t>Second, it is critical that the Emergency Pricing Program</w:t>
      </w:r>
      <w:r w:rsidRPr="7A4D0CE6">
        <w:rPr>
          <w:rFonts w:ascii="Times New Roman" w:eastAsia="Times New Roman" w:hAnsi="Times New Roman" w:cs="Times New Roman"/>
        </w:rPr>
        <w:t xml:space="preserve"> be relatively short-term and temporary in nature.</w:t>
      </w:r>
      <w:r w:rsidR="00711D5A">
        <w:rPr>
          <w:rFonts w:ascii="Times New Roman" w:eastAsia="Times New Roman" w:hAnsi="Times New Roman" w:cs="Times New Roman"/>
        </w:rPr>
        <w:t xml:space="preserve"> </w:t>
      </w:r>
      <w:r w:rsidRPr="7A4D0CE6">
        <w:rPr>
          <w:rFonts w:ascii="Times New Roman" w:eastAsia="Times New Roman" w:hAnsi="Times New Roman" w:cs="Times New Roman"/>
        </w:rPr>
        <w:t xml:space="preserve">The Emergency Pricing Program is conceptually at odds with the current ERCOT market structure that depends almost exclusively upon scarcity in real-time energy price signals to align supply and demand over the long term, because it directly interferes with the price mechanism’s ability to efficiently allocate scarce resources. That is not to impugn the function of the Emergency Pricing Program—namely to provide a market circuit breaker to avoid extreme outcomes when market signals are stretched to their limits—but rather to underscore the fact that the Emergency Pricing Program must be a temporary injunction that readily returns to market efficiencies once the exceptional market event has passed. Along similar lines, the Emergency Pricing Program furthers </w:t>
      </w:r>
      <w:r w:rsidRPr="7A4D0CE6">
        <w:rPr>
          <w:rFonts w:ascii="Times New Roman" w:hAnsi="Times New Roman" w:cs="Times New Roman"/>
        </w:rPr>
        <w:t xml:space="preserve">the need for a functional Performance Credit Market (“PCM”) </w:t>
      </w:r>
      <w:r w:rsidRPr="7A4D0CE6">
        <w:rPr>
          <w:rFonts w:ascii="Times New Roman" w:eastAsia="Times New Roman" w:hAnsi="Times New Roman" w:cs="Times New Roman"/>
        </w:rPr>
        <w:t>to efficiently align market outcomes with policymakers’ reliability objectives</w:t>
      </w:r>
      <w:r w:rsidRPr="7A4D0CE6">
        <w:rPr>
          <w:rFonts w:ascii="Times New Roman" w:hAnsi="Times New Roman" w:cs="Times New Roman"/>
        </w:rPr>
        <w:t xml:space="preserve">. The impact on pricing and reliability of the Emergency Pricing Program will be an important component for properly managing the grid moving forward. As such, TCPA recommends the Commission </w:t>
      </w:r>
      <w:r w:rsidR="00697851">
        <w:rPr>
          <w:rFonts w:ascii="Times New Roman" w:hAnsi="Times New Roman" w:cs="Times New Roman"/>
        </w:rPr>
        <w:t>require</w:t>
      </w:r>
      <w:r w:rsidRPr="7A4D0CE6">
        <w:rPr>
          <w:rFonts w:ascii="Times New Roman" w:hAnsi="Times New Roman" w:cs="Times New Roman"/>
        </w:rPr>
        <w:t xml:space="preserve"> that future ERCOT reliability and Independent Market Monitor (“IMM”) market analyses account for these </w:t>
      </w:r>
      <w:r w:rsidR="00124804">
        <w:rPr>
          <w:rFonts w:ascii="Times New Roman" w:hAnsi="Times New Roman" w:cs="Times New Roman"/>
        </w:rPr>
        <w:t xml:space="preserve">emergency </w:t>
      </w:r>
      <w:r w:rsidRPr="7A4D0CE6">
        <w:rPr>
          <w:rFonts w:ascii="Times New Roman" w:hAnsi="Times New Roman" w:cs="Times New Roman"/>
        </w:rPr>
        <w:t>price caps</w:t>
      </w:r>
      <w:r w:rsidR="00124804">
        <w:rPr>
          <w:rFonts w:ascii="Times New Roman" w:hAnsi="Times New Roman" w:cs="Times New Roman"/>
        </w:rPr>
        <w:t>.</w:t>
      </w:r>
      <w:r w:rsidRPr="7A4D0CE6">
        <w:rPr>
          <w:rFonts w:ascii="Times New Roman" w:hAnsi="Times New Roman" w:cs="Times New Roman"/>
        </w:rPr>
        <w:t xml:space="preserve"> </w:t>
      </w:r>
      <w:proofErr w:type="spellStart"/>
      <w:r w:rsidRPr="7A4D0CE6">
        <w:rPr>
          <w:rFonts w:ascii="Times New Roman" w:hAnsi="Times New Roman" w:cs="Times New Roman"/>
        </w:rPr>
        <w:t>Astrape</w:t>
      </w:r>
      <w:proofErr w:type="spellEnd"/>
      <w:r w:rsidRPr="7A4D0CE6">
        <w:rPr>
          <w:rFonts w:ascii="Times New Roman" w:hAnsi="Times New Roman" w:cs="Times New Roman"/>
        </w:rPr>
        <w:t xml:space="preserve">, or any other contracted analytics </w:t>
      </w:r>
      <w:proofErr w:type="gramStart"/>
      <w:r w:rsidRPr="7A4D0CE6">
        <w:rPr>
          <w:rFonts w:ascii="Times New Roman" w:hAnsi="Times New Roman" w:cs="Times New Roman"/>
        </w:rPr>
        <w:t>firm</w:t>
      </w:r>
      <w:r w:rsidR="00121751">
        <w:rPr>
          <w:rFonts w:ascii="Times New Roman" w:hAnsi="Times New Roman" w:cs="Times New Roman"/>
        </w:rPr>
        <w:t>s</w:t>
      </w:r>
      <w:proofErr w:type="gramEnd"/>
      <w:r w:rsidR="00121751">
        <w:rPr>
          <w:rFonts w:ascii="Times New Roman" w:hAnsi="Times New Roman" w:cs="Times New Roman"/>
        </w:rPr>
        <w:t>,</w:t>
      </w:r>
      <w:r w:rsidRPr="7A4D0CE6">
        <w:rPr>
          <w:rFonts w:ascii="Times New Roman" w:hAnsi="Times New Roman" w:cs="Times New Roman"/>
        </w:rPr>
        <w:t xml:space="preserve"> employed </w:t>
      </w:r>
      <w:r w:rsidRPr="7A4D0CE6">
        <w:rPr>
          <w:rFonts w:ascii="Times New Roman" w:eastAsia="Times New Roman" w:hAnsi="Times New Roman" w:cs="Times New Roman"/>
        </w:rPr>
        <w:t xml:space="preserve">by ERCOT </w:t>
      </w:r>
      <w:r w:rsidRPr="7A4D0CE6">
        <w:rPr>
          <w:rFonts w:ascii="Times New Roman" w:eastAsia="Times New Roman" w:hAnsi="Times New Roman" w:cs="Times New Roman"/>
        </w:rPr>
        <w:lastRenderedPageBreak/>
        <w:t>or the Commission for resource adequacy evaluation</w:t>
      </w:r>
      <w:r w:rsidRPr="7A4D0CE6">
        <w:rPr>
          <w:rFonts w:ascii="Times New Roman" w:hAnsi="Times New Roman" w:cs="Times New Roman"/>
        </w:rPr>
        <w:t xml:space="preserve">, </w:t>
      </w:r>
      <w:r w:rsidR="00121751">
        <w:rPr>
          <w:rFonts w:ascii="Times New Roman" w:hAnsi="Times New Roman" w:cs="Times New Roman"/>
        </w:rPr>
        <w:t xml:space="preserve">should be required </w:t>
      </w:r>
      <w:r w:rsidR="00AB7048">
        <w:rPr>
          <w:rFonts w:ascii="Times New Roman" w:hAnsi="Times New Roman" w:cs="Times New Roman"/>
        </w:rPr>
        <w:t xml:space="preserve">to </w:t>
      </w:r>
      <w:r w:rsidRPr="7A4D0CE6">
        <w:rPr>
          <w:rFonts w:ascii="Times New Roman" w:hAnsi="Times New Roman" w:cs="Times New Roman"/>
        </w:rPr>
        <w:t xml:space="preserve">include these </w:t>
      </w:r>
      <w:r w:rsidR="00AB7048">
        <w:rPr>
          <w:rFonts w:ascii="Times New Roman" w:hAnsi="Times New Roman" w:cs="Times New Roman"/>
        </w:rPr>
        <w:t xml:space="preserve">emergency price </w:t>
      </w:r>
      <w:r w:rsidRPr="7A4D0CE6">
        <w:rPr>
          <w:rFonts w:ascii="Times New Roman" w:hAnsi="Times New Roman" w:cs="Times New Roman"/>
        </w:rPr>
        <w:t xml:space="preserve">caps in their modeling. </w:t>
      </w:r>
    </w:p>
    <w:p w14:paraId="252D42A4" w14:textId="27325572" w:rsidR="00360C2D" w:rsidRDefault="7A4D0CE6" w:rsidP="7A4D0CE6">
      <w:pPr>
        <w:spacing w:after="160" w:line="480" w:lineRule="auto"/>
        <w:ind w:firstLine="720"/>
        <w:jc w:val="both"/>
        <w:rPr>
          <w:rFonts w:ascii="Times New Roman" w:hAnsi="Times New Roman" w:cs="Times New Roman"/>
        </w:rPr>
      </w:pPr>
      <w:r w:rsidRPr="7A4D0CE6">
        <w:rPr>
          <w:rFonts w:ascii="Times New Roman" w:hAnsi="Times New Roman" w:cs="Times New Roman"/>
        </w:rPr>
        <w:t xml:space="preserve">Third, the Peaker Net Margin (“PNM”) and the low system-wide offer cap (“LCAP”) exist to prevent continued prices at the HCAP and to protect </w:t>
      </w:r>
      <w:r w:rsidRPr="7A4D0CE6">
        <w:rPr>
          <w:rFonts w:ascii="Times New Roman" w:eastAsia="Times New Roman" w:hAnsi="Times New Roman" w:cs="Times New Roman"/>
        </w:rPr>
        <w:t>the market from rare, extreme outcomes when market signals are not able to optimize supply and demand as in normal times</w:t>
      </w:r>
      <w:r w:rsidRPr="7A4D0CE6">
        <w:rPr>
          <w:rFonts w:ascii="Times New Roman" w:hAnsi="Times New Roman" w:cs="Times New Roman"/>
        </w:rPr>
        <w:t>. With the implementation of the Emergency Pricing Program</w:t>
      </w:r>
      <w:r w:rsidRPr="7A4D0CE6">
        <w:rPr>
          <w:rFonts w:ascii="Times New Roman" w:eastAsia="Times New Roman" w:hAnsi="Times New Roman" w:cs="Times New Roman"/>
        </w:rPr>
        <w:t>—</w:t>
      </w:r>
      <w:r w:rsidRPr="7A4D0CE6">
        <w:rPr>
          <w:rFonts w:ascii="Times New Roman" w:hAnsi="Times New Roman" w:cs="Times New Roman"/>
        </w:rPr>
        <w:t xml:space="preserve">a statutory circuit-breaker to protect consumers </w:t>
      </w:r>
      <w:r w:rsidRPr="7A4D0CE6">
        <w:rPr>
          <w:rFonts w:ascii="Times New Roman" w:eastAsia="Times New Roman" w:hAnsi="Times New Roman" w:cs="Times New Roman"/>
        </w:rPr>
        <w:t xml:space="preserve">and other market participants </w:t>
      </w:r>
      <w:r w:rsidRPr="7A4D0CE6">
        <w:rPr>
          <w:rFonts w:ascii="Times New Roman" w:hAnsi="Times New Roman" w:cs="Times New Roman"/>
        </w:rPr>
        <w:t>in the same manner as the PNM and LCAP</w:t>
      </w:r>
      <w:r w:rsidRPr="7A4D0CE6">
        <w:rPr>
          <w:rFonts w:ascii="Times New Roman" w:eastAsia="Times New Roman" w:hAnsi="Times New Roman" w:cs="Times New Roman"/>
        </w:rPr>
        <w:t>—</w:t>
      </w:r>
      <w:r w:rsidRPr="7A4D0CE6">
        <w:rPr>
          <w:rFonts w:ascii="Times New Roman" w:hAnsi="Times New Roman" w:cs="Times New Roman"/>
        </w:rPr>
        <w:t xml:space="preserve">retention of those mechanisms in the ERCOT market </w:t>
      </w:r>
      <w:r w:rsidRPr="7A4D0CE6">
        <w:rPr>
          <w:rFonts w:ascii="Times New Roman" w:eastAsia="Times New Roman" w:hAnsi="Times New Roman" w:cs="Times New Roman"/>
        </w:rPr>
        <w:t xml:space="preserve">will be in many ways </w:t>
      </w:r>
      <w:r w:rsidRPr="7A4D0CE6">
        <w:rPr>
          <w:rFonts w:ascii="Times New Roman" w:hAnsi="Times New Roman" w:cs="Times New Roman"/>
        </w:rPr>
        <w:t xml:space="preserve">duplicative. </w:t>
      </w:r>
      <w:r w:rsidR="00A25507">
        <w:rPr>
          <w:rFonts w:ascii="Times New Roman" w:hAnsi="Times New Roman" w:cs="Times New Roman"/>
        </w:rPr>
        <w:t>Termination</w:t>
      </w:r>
      <w:r w:rsidRPr="7A4D0CE6">
        <w:rPr>
          <w:rFonts w:ascii="Times New Roman" w:hAnsi="Times New Roman" w:cs="Times New Roman"/>
        </w:rPr>
        <w:t xml:space="preserve"> of PNM and LCAP upon implementation of the Emergency Pricing Program </w:t>
      </w:r>
      <w:r w:rsidR="009C1E59">
        <w:rPr>
          <w:rFonts w:ascii="Times New Roman" w:hAnsi="Times New Roman" w:cs="Times New Roman"/>
        </w:rPr>
        <w:t>will</w:t>
      </w:r>
      <w:r w:rsidRPr="7A4D0CE6">
        <w:rPr>
          <w:rFonts w:ascii="Times New Roman" w:hAnsi="Times New Roman" w:cs="Times New Roman"/>
        </w:rPr>
        <w:t xml:space="preserve"> provide certainty to market participants and consumers regarding pricing reduction triggers</w:t>
      </w:r>
      <w:r w:rsidR="003A1264">
        <w:rPr>
          <w:rFonts w:ascii="Times New Roman" w:hAnsi="Times New Roman" w:cs="Times New Roman"/>
        </w:rPr>
        <w:t xml:space="preserve"> and will allow for a more</w:t>
      </w:r>
      <w:r w:rsidRPr="7A4D0CE6">
        <w:rPr>
          <w:rFonts w:ascii="Times New Roman" w:hAnsi="Times New Roman" w:cs="Times New Roman"/>
        </w:rPr>
        <w:t xml:space="preserve"> robust analy</w:t>
      </w:r>
      <w:r w:rsidR="003A1264">
        <w:rPr>
          <w:rFonts w:ascii="Times New Roman" w:hAnsi="Times New Roman" w:cs="Times New Roman"/>
        </w:rPr>
        <w:t>sis</w:t>
      </w:r>
      <w:r w:rsidRPr="7A4D0CE6">
        <w:rPr>
          <w:rFonts w:ascii="Times New Roman" w:hAnsi="Times New Roman" w:cs="Times New Roman"/>
        </w:rPr>
        <w:t xml:space="preserve"> </w:t>
      </w:r>
      <w:r w:rsidR="003B5FBE">
        <w:rPr>
          <w:rFonts w:ascii="Times New Roman" w:hAnsi="Times New Roman" w:cs="Times New Roman"/>
        </w:rPr>
        <w:t>regarding</w:t>
      </w:r>
      <w:r w:rsidRPr="7A4D0CE6">
        <w:rPr>
          <w:rFonts w:ascii="Times New Roman" w:hAnsi="Times New Roman" w:cs="Times New Roman"/>
        </w:rPr>
        <w:t xml:space="preserve"> </w:t>
      </w:r>
      <w:r w:rsidR="003B5FBE">
        <w:rPr>
          <w:rFonts w:ascii="Times New Roman" w:hAnsi="Times New Roman" w:cs="Times New Roman"/>
        </w:rPr>
        <w:t xml:space="preserve">the Emergency Pricing Program’s </w:t>
      </w:r>
      <w:r w:rsidR="003B507C">
        <w:rPr>
          <w:rFonts w:ascii="Times New Roman" w:hAnsi="Times New Roman" w:cs="Times New Roman"/>
        </w:rPr>
        <w:t>impacts on r</w:t>
      </w:r>
      <w:r w:rsidRPr="7A4D0CE6">
        <w:rPr>
          <w:rFonts w:ascii="Times New Roman" w:hAnsi="Times New Roman" w:cs="Times New Roman"/>
        </w:rPr>
        <w:t xml:space="preserve">eliability and pricing. The 12-hour trigger replaces the need for PNM as a trigger and the Emergency Pricing Program replaces the need for LCAP. </w:t>
      </w:r>
    </w:p>
    <w:p w14:paraId="1008A675" w14:textId="4E19A3A7" w:rsidR="005C2362" w:rsidRPr="00DE65B3" w:rsidRDefault="7A4D0CE6" w:rsidP="7A4D0CE6">
      <w:pPr>
        <w:spacing w:after="160" w:line="480" w:lineRule="auto"/>
        <w:ind w:firstLine="720"/>
        <w:jc w:val="both"/>
        <w:rPr>
          <w:rFonts w:ascii="Times New Roman" w:hAnsi="Times New Roman" w:cs="Times New Roman"/>
        </w:rPr>
      </w:pPr>
      <w:r w:rsidRPr="7A4D0CE6">
        <w:rPr>
          <w:rFonts w:ascii="Times New Roman" w:hAnsi="Times New Roman" w:cs="Times New Roman"/>
        </w:rPr>
        <w:t xml:space="preserve">Finally, if a generator is being dispatched and its costs exceed the cap, then </w:t>
      </w:r>
      <w:r w:rsidR="00330CC6">
        <w:rPr>
          <w:rFonts w:ascii="Times New Roman" w:hAnsi="Times New Roman" w:cs="Times New Roman"/>
        </w:rPr>
        <w:t>that generator</w:t>
      </w:r>
      <w:r w:rsidRPr="7A4D0CE6">
        <w:rPr>
          <w:rFonts w:ascii="Times New Roman" w:hAnsi="Times New Roman" w:cs="Times New Roman"/>
        </w:rPr>
        <w:t xml:space="preserve"> should be made whole</w:t>
      </w:r>
      <w:r w:rsidRPr="7A4D0CE6">
        <w:rPr>
          <w:rFonts w:ascii="Times New Roman" w:eastAsia="Times New Roman" w:hAnsi="Times New Roman" w:cs="Times New Roman"/>
        </w:rPr>
        <w:t xml:space="preserve"> – not </w:t>
      </w:r>
      <w:r w:rsidRPr="7A4D0CE6">
        <w:rPr>
          <w:rFonts w:ascii="Times New Roman" w:hAnsi="Times New Roman" w:cs="Times New Roman"/>
        </w:rPr>
        <w:t xml:space="preserve">only </w:t>
      </w:r>
      <w:r w:rsidRPr="7A4D0CE6">
        <w:rPr>
          <w:rFonts w:ascii="Times New Roman" w:eastAsia="Times New Roman" w:hAnsi="Times New Roman" w:cs="Times New Roman"/>
        </w:rPr>
        <w:t xml:space="preserve">to “marginal” costs, but to reasonable and verifiable </w:t>
      </w:r>
      <w:r w:rsidRPr="7A4D0CE6">
        <w:rPr>
          <w:rFonts w:ascii="Times New Roman" w:eastAsia="Times New Roman" w:hAnsi="Times New Roman" w:cs="Times New Roman"/>
          <w:i/>
          <w:iCs/>
        </w:rPr>
        <w:t>operating</w:t>
      </w:r>
      <w:r w:rsidRPr="7A4D0CE6">
        <w:rPr>
          <w:rFonts w:ascii="Times New Roman" w:eastAsia="Times New Roman" w:hAnsi="Times New Roman" w:cs="Times New Roman"/>
        </w:rPr>
        <w:t xml:space="preserve"> costs during the time that the Emergency Pricing Program is in effect</w:t>
      </w:r>
      <w:r w:rsidRPr="7A4D0CE6">
        <w:rPr>
          <w:rFonts w:ascii="Times New Roman" w:hAnsi="Times New Roman" w:cs="Times New Roman"/>
        </w:rPr>
        <w:t xml:space="preserve">. This is an important part of equity in the market to ensure no resource is losing money due to regulatory market intervention when they are dispatched. This was recognized in the statute and </w:t>
      </w:r>
      <w:r w:rsidRPr="7A4D0CE6">
        <w:rPr>
          <w:rFonts w:ascii="Times New Roman" w:eastAsia="Times New Roman" w:hAnsi="Times New Roman" w:cs="Times New Roman"/>
        </w:rPr>
        <w:t xml:space="preserve">is one of </w:t>
      </w:r>
      <w:r w:rsidRPr="7A4D0CE6">
        <w:rPr>
          <w:rFonts w:ascii="Times New Roman" w:hAnsi="Times New Roman" w:cs="Times New Roman"/>
        </w:rPr>
        <w:t xml:space="preserve">the most critical components of implementation to ensure that the ERCOT market does not signal to resource owners an intent for them to operate at a loss. Ensuring generators are made whole during times the Emergency Pricing Program is in place will be critical to future reliability and investment in this market and retention of needed generation. </w:t>
      </w:r>
    </w:p>
    <w:p w14:paraId="7B763AEF" w14:textId="77777777" w:rsidR="00E3433A" w:rsidRDefault="00E3433A" w:rsidP="00DE65B3">
      <w:pPr>
        <w:spacing w:line="480" w:lineRule="auto"/>
        <w:jc w:val="center"/>
        <w:rPr>
          <w:rFonts w:ascii="Times New Roman" w:hAnsi="Times New Roman" w:cs="Times New Roman"/>
          <w:b/>
          <w:bCs/>
        </w:rPr>
      </w:pPr>
    </w:p>
    <w:p w14:paraId="3F87398D" w14:textId="3F1A9FEE" w:rsidR="00DE65B3" w:rsidRDefault="00DE65B3" w:rsidP="00DE65B3">
      <w:pPr>
        <w:spacing w:line="480" w:lineRule="auto"/>
        <w:jc w:val="center"/>
        <w:rPr>
          <w:rFonts w:ascii="Times New Roman" w:hAnsi="Times New Roman" w:cs="Times New Roman"/>
          <w:b/>
          <w:bCs/>
        </w:rPr>
      </w:pPr>
      <w:r>
        <w:rPr>
          <w:rFonts w:ascii="Times New Roman" w:hAnsi="Times New Roman" w:cs="Times New Roman"/>
          <w:b/>
          <w:bCs/>
        </w:rPr>
        <w:lastRenderedPageBreak/>
        <w:t>RESPONSE TO QUESTIONS POSED</w:t>
      </w:r>
    </w:p>
    <w:p w14:paraId="7FA03A7E" w14:textId="77777777" w:rsidR="00DE65B3" w:rsidRPr="00DE65B3" w:rsidRDefault="00DE65B3" w:rsidP="00DE65B3">
      <w:pPr>
        <w:spacing w:line="480" w:lineRule="auto"/>
        <w:jc w:val="both"/>
        <w:rPr>
          <w:rFonts w:ascii="Times New Roman" w:hAnsi="Times New Roman" w:cs="Times New Roman"/>
          <w:b/>
          <w:bCs/>
        </w:rPr>
      </w:pPr>
      <w:r w:rsidRPr="00DE65B3">
        <w:rPr>
          <w:rFonts w:ascii="Times New Roman" w:hAnsi="Times New Roman" w:cs="Times New Roman"/>
          <w:b/>
          <w:bCs/>
        </w:rPr>
        <w:t>Question</w:t>
      </w:r>
      <w:r w:rsidR="00796026" w:rsidRPr="00DE65B3">
        <w:rPr>
          <w:rFonts w:ascii="Times New Roman" w:hAnsi="Times New Roman" w:cs="Times New Roman"/>
          <w:b/>
          <w:bCs/>
        </w:rPr>
        <w:t xml:space="preserve"> 1:</w:t>
      </w:r>
      <w:r w:rsidR="00796026" w:rsidRPr="00DE65B3">
        <w:rPr>
          <w:rFonts w:ascii="Times New Roman" w:hAnsi="Times New Roman" w:cs="Times New Roman"/>
        </w:rPr>
        <w:t xml:space="preserve"> </w:t>
      </w:r>
      <w:r w:rsidRPr="00DE65B3">
        <w:rPr>
          <w:rFonts w:ascii="Times New Roman" w:hAnsi="Times New Roman" w:cs="Times New Roman"/>
          <w:b/>
          <w:bCs/>
        </w:rPr>
        <w:t xml:space="preserve">Once an event has triggered the emergency pricing program, what criteria should the Commission use for determining when the emergency pricing program will cease and no longer be active? </w:t>
      </w:r>
    </w:p>
    <w:p w14:paraId="73FB0FF3" w14:textId="73503091" w:rsidR="00DE65B3" w:rsidRDefault="00E3433A">
      <w:pPr>
        <w:spacing w:line="480" w:lineRule="auto"/>
        <w:jc w:val="both"/>
        <w:rPr>
          <w:rFonts w:ascii="Times New Roman" w:eastAsia="Times New Roman" w:hAnsi="Times New Roman" w:cs="Times New Roman"/>
        </w:rPr>
      </w:pPr>
      <w:r>
        <w:t>To</w:t>
      </w:r>
      <w:r w:rsidR="00497220">
        <w:t xml:space="preserve"> avoid uncertainty and time constraints, TCPA recommends the Commission set a formulaic determination and automatic reset for ceasing use of the Emergency Pricing Program </w:t>
      </w:r>
      <w:r w:rsidR="7A4D0CE6" w:rsidRPr="7A4D0CE6">
        <w:rPr>
          <w:rFonts w:ascii="Times New Roman" w:eastAsia="Times New Roman" w:hAnsi="Times New Roman" w:cs="Times New Roman"/>
        </w:rPr>
        <w:t>based on objective criteria</w:t>
      </w:r>
      <w:r w:rsidR="00497220">
        <w:t xml:space="preserve">. Normal pricing needs to resume as soon as practicable after an event </w:t>
      </w:r>
      <w:proofErr w:type="gramStart"/>
      <w:r w:rsidR="7A4D0CE6" w:rsidRPr="7A4D0CE6">
        <w:rPr>
          <w:rFonts w:ascii="Times New Roman" w:eastAsia="Times New Roman" w:hAnsi="Times New Roman" w:cs="Times New Roman"/>
        </w:rPr>
        <w:t>in order to</w:t>
      </w:r>
      <w:proofErr w:type="gramEnd"/>
      <w:r w:rsidR="7A4D0CE6" w:rsidRPr="7A4D0CE6">
        <w:rPr>
          <w:rFonts w:ascii="Times New Roman" w:eastAsia="Times New Roman" w:hAnsi="Times New Roman" w:cs="Times New Roman"/>
        </w:rPr>
        <w:t xml:space="preserve"> ensure </w:t>
      </w:r>
      <w:r w:rsidR="00497220">
        <w:t xml:space="preserve">a functional energy market. </w:t>
      </w:r>
      <w:r w:rsidR="7A4D0CE6" w:rsidRPr="7A4D0CE6">
        <w:rPr>
          <w:rFonts w:ascii="Times New Roman" w:eastAsia="Times New Roman" w:hAnsi="Times New Roman" w:cs="Times New Roman"/>
        </w:rPr>
        <w:t>While many will associate Energy Emergency Alert (“</w:t>
      </w:r>
      <w:r w:rsidR="00497220">
        <w:t xml:space="preserve">EEA”) events </w:t>
      </w:r>
      <w:r w:rsidR="7A4D0CE6" w:rsidRPr="7A4D0CE6">
        <w:rPr>
          <w:rFonts w:ascii="Times New Roman" w:eastAsia="Times New Roman" w:hAnsi="Times New Roman" w:cs="Times New Roman"/>
        </w:rPr>
        <w:t>with prices reaching and remaining at the HCAP for a prolonged period,</w:t>
      </w:r>
      <w:r w:rsidR="7A4D0CE6" w:rsidRPr="7A4D0CE6">
        <w:rPr>
          <w:rFonts w:ascii="Cambria" w:eastAsia="Cambria" w:hAnsi="Cambria" w:cs="Cambria"/>
        </w:rPr>
        <w:t xml:space="preserve"> </w:t>
      </w:r>
      <w:r w:rsidR="00497220">
        <w:t>it is not in</w:t>
      </w:r>
      <w:r w:rsidR="7A4D0CE6" w:rsidRPr="7A4D0CE6">
        <w:rPr>
          <w:rFonts w:ascii="Times New Roman" w:eastAsia="Times New Roman" w:hAnsi="Times New Roman" w:cs="Times New Roman"/>
        </w:rPr>
        <w:t xml:space="preserve">conceivable that the market could </w:t>
      </w:r>
      <w:r w:rsidR="00497220">
        <w:t>be at the cap for 12 hours in a 24-hour period and not be in an EEA event.</w:t>
      </w:r>
      <w:r w:rsidR="7A4D0CE6" w:rsidRPr="7A4D0CE6">
        <w:rPr>
          <w:rFonts w:ascii="Times New Roman" w:eastAsia="Times New Roman" w:hAnsi="Times New Roman" w:cs="Times New Roman"/>
        </w:rPr>
        <w:t xml:space="preserve"> Thus, given the potential for the Emergency Pricing Program to be triggered outside of traditional emergency events, it is critical that prices return to normal as soon as feasible following activation of the program.</w:t>
      </w:r>
    </w:p>
    <w:p w14:paraId="536E6D81" w14:textId="77777777" w:rsidR="00497220" w:rsidRDefault="00497220" w:rsidP="00DE65B3">
      <w:pPr>
        <w:spacing w:line="480" w:lineRule="auto"/>
        <w:jc w:val="both"/>
      </w:pPr>
    </w:p>
    <w:p w14:paraId="2BE766EE" w14:textId="2DBE3307" w:rsidR="00497220" w:rsidRDefault="00497220" w:rsidP="00FE3605">
      <w:pPr>
        <w:spacing w:line="480" w:lineRule="auto"/>
        <w:ind w:firstLine="720"/>
        <w:jc w:val="both"/>
        <w:rPr>
          <w:rFonts w:ascii="Times New Roman" w:eastAsia="Times New Roman" w:hAnsi="Times New Roman" w:cs="Times New Roman"/>
        </w:rPr>
      </w:pPr>
      <w:r w:rsidRPr="00497220">
        <w:rPr>
          <w:rFonts w:ascii="Times New Roman" w:hAnsi="Times New Roman" w:cs="Times New Roman"/>
        </w:rPr>
        <w:t xml:space="preserve">TCPA </w:t>
      </w:r>
      <w:r>
        <w:rPr>
          <w:rFonts w:ascii="Times New Roman" w:hAnsi="Times New Roman" w:cs="Times New Roman"/>
        </w:rPr>
        <w:t xml:space="preserve">offers </w:t>
      </w:r>
      <w:r w:rsidR="00361D5D">
        <w:rPr>
          <w:rFonts w:ascii="Times New Roman" w:hAnsi="Times New Roman" w:cs="Times New Roman"/>
        </w:rPr>
        <w:t>the following mechanism for consideration</w:t>
      </w:r>
      <w:r w:rsidR="7A4D0CE6" w:rsidRPr="7A4D0CE6">
        <w:rPr>
          <w:rFonts w:ascii="Times New Roman" w:eastAsia="Times New Roman" w:hAnsi="Times New Roman" w:cs="Times New Roman"/>
        </w:rPr>
        <w:t>, for both triggering activation and termination of the program</w:t>
      </w:r>
      <w:r w:rsidR="00361D5D">
        <w:rPr>
          <w:rFonts w:ascii="Times New Roman" w:hAnsi="Times New Roman" w:cs="Times New Roman"/>
        </w:rPr>
        <w:t>.</w:t>
      </w:r>
      <w:r>
        <w:rPr>
          <w:rFonts w:ascii="Times New Roman" w:hAnsi="Times New Roman" w:cs="Times New Roman"/>
        </w:rPr>
        <w:t xml:space="preserve"> </w:t>
      </w:r>
      <w:r w:rsidR="00361D5D">
        <w:rPr>
          <w:rFonts w:ascii="Times New Roman" w:hAnsi="Times New Roman" w:cs="Times New Roman"/>
        </w:rPr>
        <w:t xml:space="preserve">Twelve (12) cumulative hours' worth of SCED runs at the </w:t>
      </w:r>
      <w:r w:rsidR="7A4D0CE6" w:rsidRPr="7A4D0CE6">
        <w:rPr>
          <w:rFonts w:ascii="Times New Roman" w:eastAsia="Times New Roman" w:hAnsi="Times New Roman" w:cs="Times New Roman"/>
        </w:rPr>
        <w:t xml:space="preserve">HCAP (based on the ERCOT Hub Average 345 kV price) </w:t>
      </w:r>
      <w:r w:rsidR="00361D5D">
        <w:rPr>
          <w:rFonts w:ascii="Times New Roman" w:hAnsi="Times New Roman" w:cs="Times New Roman"/>
        </w:rPr>
        <w:t xml:space="preserve">in a rolling 24-hour period </w:t>
      </w:r>
      <w:r w:rsidR="7A4D0CE6" w:rsidRPr="7A4D0CE6">
        <w:rPr>
          <w:rFonts w:ascii="Times New Roman" w:hAnsi="Times New Roman" w:cs="Times New Roman"/>
        </w:rPr>
        <w:t xml:space="preserve">would result in </w:t>
      </w:r>
      <w:r w:rsidR="00361D5D">
        <w:rPr>
          <w:rFonts w:ascii="Times New Roman" w:hAnsi="Times New Roman" w:cs="Times New Roman"/>
        </w:rPr>
        <w:t xml:space="preserve">automatically </w:t>
      </w:r>
      <w:r w:rsidR="7A4D0CE6" w:rsidRPr="7A4D0CE6">
        <w:rPr>
          <w:rFonts w:ascii="Times New Roman" w:hAnsi="Times New Roman" w:cs="Times New Roman"/>
        </w:rPr>
        <w:t xml:space="preserve">capping </w:t>
      </w:r>
      <w:r w:rsidR="00361D5D">
        <w:rPr>
          <w:rFonts w:ascii="Times New Roman" w:hAnsi="Times New Roman" w:cs="Times New Roman"/>
        </w:rPr>
        <w:t xml:space="preserve">prices at the Emergency Pricing Program price </w:t>
      </w:r>
      <w:r w:rsidR="7A4D0CE6" w:rsidRPr="7A4D0CE6">
        <w:rPr>
          <w:rFonts w:ascii="Times New Roman" w:eastAsia="Times New Roman" w:hAnsi="Times New Roman" w:cs="Times New Roman"/>
        </w:rPr>
        <w:t>beginning in the next operating hour</w:t>
      </w:r>
      <w:r w:rsidR="00361D5D">
        <w:rPr>
          <w:rFonts w:ascii="Times New Roman" w:hAnsi="Times New Roman" w:cs="Times New Roman"/>
        </w:rPr>
        <w:t xml:space="preserve">. </w:t>
      </w:r>
      <w:r w:rsidR="00DC71D9">
        <w:rPr>
          <w:rFonts w:ascii="Times New Roman" w:hAnsi="Times New Roman" w:cs="Times New Roman"/>
        </w:rPr>
        <w:t>This formulaic mechanism would promote</w:t>
      </w:r>
      <w:r w:rsidR="00361D5D">
        <w:rPr>
          <w:rFonts w:ascii="Times New Roman" w:hAnsi="Times New Roman" w:cs="Times New Roman"/>
        </w:rPr>
        <w:t xml:space="preserve"> transparency in market pricing. </w:t>
      </w:r>
    </w:p>
    <w:p w14:paraId="676A9FB9" w14:textId="78291FDD" w:rsidR="00361D5D" w:rsidRDefault="7A4D0CE6" w:rsidP="00FE3605">
      <w:pPr>
        <w:spacing w:line="480" w:lineRule="auto"/>
        <w:ind w:firstLine="720"/>
        <w:jc w:val="both"/>
        <w:rPr>
          <w:rFonts w:ascii="Times New Roman" w:eastAsia="Times New Roman" w:hAnsi="Times New Roman" w:cs="Times New Roman"/>
        </w:rPr>
      </w:pPr>
      <w:r w:rsidRPr="7A4D0CE6">
        <w:rPr>
          <w:rFonts w:ascii="Times New Roman" w:eastAsia="Times New Roman" w:hAnsi="Times New Roman" w:cs="Times New Roman"/>
        </w:rPr>
        <w:t xml:space="preserve">Pricing under the Emergency Pricing Program pricing should terminate on the first operating day for which the Day-Ahead Market (DAM) can be run after the Emergency Pricing Program price trigger is no longer in effect, taking that change into account. For example, once there are no longer 12 cumulative hours priced at HCAP in the rolling 24-hour reference period, if </w:t>
      </w:r>
      <w:r w:rsidRPr="7A4D0CE6">
        <w:rPr>
          <w:rFonts w:ascii="Times New Roman" w:eastAsia="Times New Roman" w:hAnsi="Times New Roman" w:cs="Times New Roman"/>
        </w:rPr>
        <w:lastRenderedPageBreak/>
        <w:t xml:space="preserve">there is sufficient time for DAM bids and offers to take this into account (e.g., 1-2 hours before the DAM submission deadline), then the Emergency Pricing Program would be lifted at the start of the next operating day (“operating day 2”). If not, it would defer to the operating day (“operating day 3”) after that (to allow the DAM for operating day 3 to take the removal of the price cap into effect). This is very similar to the process that ERCOT currently uses to implement the LCAP under Protocol Section 4.4.11.1. </w:t>
      </w:r>
    </w:p>
    <w:p w14:paraId="024BE9DA" w14:textId="6BFFF7B2" w:rsidR="00361D5D" w:rsidRDefault="7A4D0CE6" w:rsidP="00FE3605">
      <w:pPr>
        <w:spacing w:line="480" w:lineRule="auto"/>
        <w:ind w:firstLine="720"/>
        <w:jc w:val="both"/>
        <w:rPr>
          <w:rFonts w:ascii="Times New Roman" w:hAnsi="Times New Roman" w:cs="Times New Roman"/>
        </w:rPr>
      </w:pPr>
      <w:r w:rsidRPr="7A4D0CE6">
        <w:rPr>
          <w:rFonts w:ascii="Times New Roman" w:eastAsia="Times New Roman" w:hAnsi="Times New Roman" w:cs="Times New Roman"/>
        </w:rPr>
        <w:t xml:space="preserve">The Emergency Pricing Program price and duration need to be a pre-determined amount and time to enable ERCOT to code it into their systems as opposed to requiring any regulatory body or individual to </w:t>
      </w:r>
      <w:r w:rsidR="00384F28">
        <w:rPr>
          <w:rFonts w:ascii="Times New Roman" w:eastAsia="Times New Roman" w:hAnsi="Times New Roman" w:cs="Times New Roman"/>
        </w:rPr>
        <w:t>m</w:t>
      </w:r>
      <w:r w:rsidR="005F3A3A">
        <w:rPr>
          <w:rFonts w:ascii="Times New Roman" w:eastAsia="Times New Roman" w:hAnsi="Times New Roman" w:cs="Times New Roman"/>
        </w:rPr>
        <w:t>anually implement the chang</w:t>
      </w:r>
      <w:r w:rsidRPr="7A4D0CE6">
        <w:rPr>
          <w:rFonts w:ascii="Times New Roman" w:eastAsia="Times New Roman" w:hAnsi="Times New Roman" w:cs="Times New Roman"/>
        </w:rPr>
        <w:t>es.</w:t>
      </w:r>
      <w:r w:rsidRPr="7A4D0CE6">
        <w:rPr>
          <w:rFonts w:ascii="Times New Roman" w:hAnsi="Times New Roman" w:cs="Times New Roman"/>
        </w:rPr>
        <w:t xml:space="preserve"> </w:t>
      </w:r>
      <w:r w:rsidR="00361D5D">
        <w:rPr>
          <w:rFonts w:ascii="Times New Roman" w:hAnsi="Times New Roman" w:cs="Times New Roman"/>
        </w:rPr>
        <w:t xml:space="preserve">The Commission should also require ERCOT to send a market notice each time that the </w:t>
      </w:r>
      <w:r w:rsidRPr="7A4D0CE6">
        <w:rPr>
          <w:rFonts w:ascii="Times New Roman" w:eastAsia="Times New Roman" w:hAnsi="Times New Roman" w:cs="Times New Roman"/>
        </w:rPr>
        <w:t>E</w:t>
      </w:r>
      <w:r w:rsidR="00361D5D">
        <w:rPr>
          <w:rFonts w:ascii="Times New Roman" w:hAnsi="Times New Roman" w:cs="Times New Roman"/>
        </w:rPr>
        <w:t xml:space="preserve">mergency </w:t>
      </w:r>
      <w:r w:rsidRPr="7A4D0CE6">
        <w:rPr>
          <w:rFonts w:ascii="Times New Roman" w:eastAsia="Times New Roman" w:hAnsi="Times New Roman" w:cs="Times New Roman"/>
        </w:rPr>
        <w:t>P</w:t>
      </w:r>
      <w:r w:rsidR="00361D5D">
        <w:rPr>
          <w:rFonts w:ascii="Times New Roman" w:hAnsi="Times New Roman" w:cs="Times New Roman"/>
        </w:rPr>
        <w:t xml:space="preserve">ricing Program is triggered as well as when the </w:t>
      </w:r>
      <w:r w:rsidRPr="7A4D0CE6">
        <w:rPr>
          <w:rFonts w:ascii="Times New Roman" w:eastAsia="Times New Roman" w:hAnsi="Times New Roman" w:cs="Times New Roman"/>
        </w:rPr>
        <w:t xml:space="preserve">trigger </w:t>
      </w:r>
      <w:r w:rsidR="00361D5D">
        <w:rPr>
          <w:rFonts w:ascii="Times New Roman" w:hAnsi="Times New Roman" w:cs="Times New Roman"/>
        </w:rPr>
        <w:t xml:space="preserve">ends and normal pricing will be resumed. This </w:t>
      </w:r>
      <w:r w:rsidR="00D91669">
        <w:rPr>
          <w:rFonts w:ascii="Times New Roman" w:hAnsi="Times New Roman" w:cs="Times New Roman"/>
        </w:rPr>
        <w:t>transparent notification process will be important</w:t>
      </w:r>
      <w:r w:rsidR="00402227">
        <w:rPr>
          <w:rFonts w:ascii="Times New Roman" w:hAnsi="Times New Roman" w:cs="Times New Roman"/>
        </w:rPr>
        <w:t xml:space="preserve"> for</w:t>
      </w:r>
      <w:r w:rsidR="00361D5D">
        <w:rPr>
          <w:rFonts w:ascii="Times New Roman" w:hAnsi="Times New Roman" w:cs="Times New Roman"/>
        </w:rPr>
        <w:t xml:space="preserve"> market participant</w:t>
      </w:r>
      <w:r w:rsidR="00402227">
        <w:rPr>
          <w:rFonts w:ascii="Times New Roman" w:hAnsi="Times New Roman" w:cs="Times New Roman"/>
        </w:rPr>
        <w:t xml:space="preserve"> awareness</w:t>
      </w:r>
      <w:r w:rsidR="00361D5D">
        <w:rPr>
          <w:rFonts w:ascii="Times New Roman" w:hAnsi="Times New Roman" w:cs="Times New Roman"/>
        </w:rPr>
        <w:t xml:space="preserve"> and </w:t>
      </w:r>
      <w:r w:rsidR="00402227">
        <w:rPr>
          <w:rFonts w:ascii="Times New Roman" w:hAnsi="Times New Roman" w:cs="Times New Roman"/>
        </w:rPr>
        <w:t xml:space="preserve">Emergency Pricing Program </w:t>
      </w:r>
      <w:r w:rsidR="00842F5B">
        <w:rPr>
          <w:rFonts w:ascii="Times New Roman" w:hAnsi="Times New Roman" w:cs="Times New Roman"/>
        </w:rPr>
        <w:t>reporting</w:t>
      </w:r>
      <w:r w:rsidR="00361D5D">
        <w:rPr>
          <w:rFonts w:ascii="Times New Roman" w:hAnsi="Times New Roman" w:cs="Times New Roman"/>
        </w:rPr>
        <w:t>.</w:t>
      </w:r>
    </w:p>
    <w:p w14:paraId="45255BB7" w14:textId="6D16744D" w:rsidR="7A4D0CE6" w:rsidRDefault="7A4D0CE6" w:rsidP="7A4D0CE6">
      <w:pPr>
        <w:spacing w:line="480" w:lineRule="auto"/>
        <w:ind w:firstLine="720"/>
        <w:jc w:val="both"/>
        <w:rPr>
          <w:rFonts w:ascii="Times New Roman" w:hAnsi="Times New Roman" w:cs="Times New Roman"/>
        </w:rPr>
      </w:pPr>
    </w:p>
    <w:p w14:paraId="6A218AF2" w14:textId="77777777" w:rsidR="000023F4" w:rsidRDefault="7A4D0CE6" w:rsidP="006A0898">
      <w:pPr>
        <w:spacing w:after="240" w:line="480" w:lineRule="auto"/>
        <w:jc w:val="both"/>
      </w:pPr>
      <w:r w:rsidRPr="7A4D0CE6">
        <w:rPr>
          <w:rFonts w:ascii="Times New Roman" w:hAnsi="Times New Roman" w:cs="Times New Roman"/>
          <w:b/>
          <w:bCs/>
        </w:rPr>
        <w:t>Question 2: What value should the emergency pricing program cap be set at? Should the cap differ for energy and ancillary services?</w:t>
      </w:r>
      <w:r>
        <w:t xml:space="preserve"> </w:t>
      </w:r>
    </w:p>
    <w:p w14:paraId="16383C23" w14:textId="7AC46165" w:rsidR="00CC0798" w:rsidRPr="006A0898" w:rsidRDefault="7A4D0CE6" w:rsidP="00FE3605">
      <w:pPr>
        <w:spacing w:after="160" w:line="480" w:lineRule="auto"/>
        <w:ind w:firstLine="720"/>
        <w:jc w:val="both"/>
        <w:rPr>
          <w:rFonts w:ascii="Times New Roman" w:hAnsi="Times New Roman" w:cs="Times New Roman"/>
        </w:rPr>
      </w:pPr>
      <w:r w:rsidRPr="7A4D0CE6">
        <w:rPr>
          <w:rFonts w:ascii="Times New Roman" w:eastAsia="Times New Roman" w:hAnsi="Times New Roman" w:cs="Times New Roman"/>
        </w:rPr>
        <w:t>It is important to note</w:t>
      </w:r>
      <w:r w:rsidR="00131877">
        <w:rPr>
          <w:rFonts w:ascii="Times New Roman" w:eastAsia="Times New Roman" w:hAnsi="Times New Roman" w:cs="Times New Roman"/>
        </w:rPr>
        <w:t xml:space="preserve"> </w:t>
      </w:r>
      <w:r w:rsidRPr="7A4D0CE6">
        <w:rPr>
          <w:rFonts w:ascii="Times New Roman" w:eastAsia="Times New Roman" w:hAnsi="Times New Roman" w:cs="Times New Roman"/>
        </w:rPr>
        <w:t>that t</w:t>
      </w:r>
      <w:r w:rsidR="000023F4" w:rsidRPr="006A0898">
        <w:rPr>
          <w:rFonts w:ascii="Times New Roman" w:hAnsi="Times New Roman" w:cs="Times New Roman"/>
        </w:rPr>
        <w:t xml:space="preserve">he Emergency Pricing Program was enacted when HCAP was still at $9,000. Since that time, the cap has been reduced by nearly half to $5,000. </w:t>
      </w:r>
      <w:r w:rsidR="00CC0798" w:rsidRPr="006A0898">
        <w:rPr>
          <w:rFonts w:ascii="Times New Roman" w:hAnsi="Times New Roman" w:cs="Times New Roman"/>
        </w:rPr>
        <w:t xml:space="preserve">Forward markets will inevitably factor in whatever price is set by the Commission because it will reduce revenue opportunity that provides signals that new investment is needed. The emergency price therefore should be set at a price consistent with the level of reliability the Commission is trying to achieve so the signals to participate in forward markets, self-commit, </w:t>
      </w:r>
      <w:r w:rsidR="001E23BD">
        <w:rPr>
          <w:rFonts w:ascii="Times New Roman" w:hAnsi="Times New Roman" w:cs="Times New Roman"/>
        </w:rPr>
        <w:t xml:space="preserve">new </w:t>
      </w:r>
      <w:r w:rsidR="00CC0798" w:rsidRPr="006A0898">
        <w:rPr>
          <w:rFonts w:ascii="Times New Roman" w:hAnsi="Times New Roman" w:cs="Times New Roman"/>
        </w:rPr>
        <w:t>build</w:t>
      </w:r>
      <w:r w:rsidR="001E23BD">
        <w:rPr>
          <w:rFonts w:ascii="Times New Roman" w:hAnsi="Times New Roman" w:cs="Times New Roman"/>
        </w:rPr>
        <w:t xml:space="preserve"> investment</w:t>
      </w:r>
      <w:r w:rsidR="00CC0798" w:rsidRPr="006A0898">
        <w:rPr>
          <w:rFonts w:ascii="Times New Roman" w:hAnsi="Times New Roman" w:cs="Times New Roman"/>
        </w:rPr>
        <w:t>, or industrial and residential demand response are minimally impacted.</w:t>
      </w:r>
    </w:p>
    <w:p w14:paraId="5D990267" w14:textId="11E1C481" w:rsidR="000023F4" w:rsidRPr="006A0898" w:rsidRDefault="00CC0798" w:rsidP="00FE3605">
      <w:pPr>
        <w:spacing w:after="160" w:line="480" w:lineRule="auto"/>
        <w:ind w:firstLine="720"/>
        <w:jc w:val="both"/>
        <w:rPr>
          <w:rFonts w:ascii="Times New Roman" w:hAnsi="Times New Roman" w:cs="Times New Roman"/>
        </w:rPr>
      </w:pPr>
      <w:r w:rsidRPr="006A0898">
        <w:rPr>
          <w:rFonts w:ascii="Times New Roman" w:hAnsi="Times New Roman" w:cs="Times New Roman"/>
        </w:rPr>
        <w:lastRenderedPageBreak/>
        <w:t xml:space="preserve">There is no longer a need for the PNM or LCAP once an event cap such as the Emergency Pricing Program is </w:t>
      </w:r>
      <w:r w:rsidR="001E23BD">
        <w:rPr>
          <w:rFonts w:ascii="Times New Roman" w:hAnsi="Times New Roman" w:cs="Times New Roman"/>
        </w:rPr>
        <w:t>implemented</w:t>
      </w:r>
      <w:r w:rsidRPr="006A0898">
        <w:rPr>
          <w:rFonts w:ascii="Times New Roman" w:hAnsi="Times New Roman" w:cs="Times New Roman"/>
        </w:rPr>
        <w:t xml:space="preserve">. </w:t>
      </w:r>
      <w:r w:rsidR="0014553B">
        <w:rPr>
          <w:rFonts w:ascii="Times New Roman" w:hAnsi="Times New Roman" w:cs="Times New Roman"/>
        </w:rPr>
        <w:t>T</w:t>
      </w:r>
      <w:r w:rsidRPr="006A0898">
        <w:rPr>
          <w:rFonts w:ascii="Times New Roman" w:hAnsi="Times New Roman" w:cs="Times New Roman"/>
        </w:rPr>
        <w:t xml:space="preserve">he Emergency Pricing Program will become </w:t>
      </w:r>
      <w:r w:rsidR="0014553B">
        <w:rPr>
          <w:rFonts w:ascii="Times New Roman" w:hAnsi="Times New Roman" w:cs="Times New Roman"/>
        </w:rPr>
        <w:t xml:space="preserve">the </w:t>
      </w:r>
      <w:r w:rsidRPr="006A0898">
        <w:rPr>
          <w:rFonts w:ascii="Times New Roman" w:hAnsi="Times New Roman" w:cs="Times New Roman"/>
        </w:rPr>
        <w:t>circuit-breaker price trigger</w:t>
      </w:r>
      <w:r w:rsidR="0014553B">
        <w:rPr>
          <w:rFonts w:ascii="Times New Roman" w:hAnsi="Times New Roman" w:cs="Times New Roman"/>
        </w:rPr>
        <w:t>, eliminating</w:t>
      </w:r>
      <w:r w:rsidRPr="006A0898">
        <w:rPr>
          <w:rFonts w:ascii="Times New Roman" w:hAnsi="Times New Roman" w:cs="Times New Roman"/>
        </w:rPr>
        <w:t xml:space="preserve"> </w:t>
      </w:r>
      <w:r w:rsidR="0014553B">
        <w:rPr>
          <w:rFonts w:ascii="Times New Roman" w:hAnsi="Times New Roman" w:cs="Times New Roman"/>
        </w:rPr>
        <w:t>a</w:t>
      </w:r>
      <w:r w:rsidRPr="006A0898">
        <w:rPr>
          <w:rFonts w:ascii="Times New Roman" w:hAnsi="Times New Roman" w:cs="Times New Roman"/>
        </w:rPr>
        <w:t xml:space="preserve"> need for both.</w:t>
      </w:r>
    </w:p>
    <w:p w14:paraId="3D8ABC43" w14:textId="3D049304" w:rsidR="00CC0798" w:rsidRPr="006A0898" w:rsidRDefault="00CC0798" w:rsidP="00FE3605">
      <w:pPr>
        <w:spacing w:after="160" w:line="480" w:lineRule="auto"/>
        <w:ind w:firstLine="720"/>
        <w:jc w:val="both"/>
        <w:rPr>
          <w:rFonts w:ascii="Times New Roman" w:hAnsi="Times New Roman" w:cs="Times New Roman"/>
        </w:rPr>
      </w:pPr>
      <w:r w:rsidRPr="006A0898">
        <w:rPr>
          <w:rFonts w:ascii="Times New Roman" w:hAnsi="Times New Roman" w:cs="Times New Roman"/>
        </w:rPr>
        <w:t xml:space="preserve">The cap for energy and ancillary services should be the same. Any differentiation between them in the </w:t>
      </w:r>
      <w:r w:rsidR="7A4D0CE6" w:rsidRPr="7A4D0CE6">
        <w:rPr>
          <w:rFonts w:ascii="Times New Roman" w:eastAsia="Times New Roman" w:hAnsi="Times New Roman" w:cs="Times New Roman"/>
        </w:rPr>
        <w:t xml:space="preserve">Emergency Pricing Program price </w:t>
      </w:r>
      <w:r w:rsidRPr="006A0898">
        <w:rPr>
          <w:rFonts w:ascii="Times New Roman" w:hAnsi="Times New Roman" w:cs="Times New Roman"/>
        </w:rPr>
        <w:t xml:space="preserve">cap would create a disincentive to provide one or the other. </w:t>
      </w:r>
      <w:r w:rsidR="006A0898" w:rsidRPr="006A0898">
        <w:rPr>
          <w:rFonts w:ascii="Times New Roman" w:hAnsi="Times New Roman" w:cs="Times New Roman"/>
        </w:rPr>
        <w:t>Implementing the same cap for both will ensure there is not a disincentive to participate in either the energy market or the ancillary services markets.</w:t>
      </w:r>
      <w:r w:rsidRPr="006A0898">
        <w:rPr>
          <w:rFonts w:ascii="Times New Roman" w:hAnsi="Times New Roman" w:cs="Times New Roman"/>
        </w:rPr>
        <w:t xml:space="preserve"> </w:t>
      </w:r>
    </w:p>
    <w:p w14:paraId="1B2AA491" w14:textId="77777777" w:rsidR="000023F4" w:rsidRDefault="000023F4" w:rsidP="000023F4">
      <w:pPr>
        <w:pStyle w:val="ListParagraph"/>
      </w:pPr>
    </w:p>
    <w:p w14:paraId="79C6433E" w14:textId="27404768" w:rsidR="00176A2A" w:rsidRDefault="006A0898" w:rsidP="006A0898">
      <w:pPr>
        <w:spacing w:line="480" w:lineRule="auto"/>
        <w:jc w:val="both"/>
        <w:rPr>
          <w:rFonts w:ascii="Times New Roman" w:hAnsi="Times New Roman" w:cs="Times New Roman"/>
          <w:b/>
          <w:bCs/>
        </w:rPr>
      </w:pPr>
      <w:r>
        <w:rPr>
          <w:rFonts w:ascii="Times New Roman" w:hAnsi="Times New Roman" w:cs="Times New Roman"/>
          <w:b/>
        </w:rPr>
        <w:t xml:space="preserve">Question </w:t>
      </w:r>
      <w:r w:rsidR="00176A2A">
        <w:rPr>
          <w:rFonts w:ascii="Times New Roman" w:hAnsi="Times New Roman" w:cs="Times New Roman"/>
          <w:b/>
        </w:rPr>
        <w:t xml:space="preserve">3: </w:t>
      </w:r>
      <w:r w:rsidRPr="006A0898">
        <w:rPr>
          <w:rFonts w:ascii="Times New Roman" w:hAnsi="Times New Roman" w:cs="Times New Roman"/>
          <w:b/>
          <w:bCs/>
        </w:rPr>
        <w:t>PURA § 39.160(g) requires that the emergency pricing program allow generators to be " reimbursed for "reasonable, verifiable operating costs that exceed the emergency cap What types of costs are appropriate for reimbursement under this requirement? How should these costs be recovered?</w:t>
      </w:r>
    </w:p>
    <w:p w14:paraId="39B872C4" w14:textId="77777777" w:rsidR="006A0898" w:rsidRPr="006A0898" w:rsidRDefault="006A0898" w:rsidP="00F6354D">
      <w:pPr>
        <w:spacing w:line="480" w:lineRule="auto"/>
        <w:jc w:val="both"/>
        <w:rPr>
          <w:rFonts w:ascii="Times New Roman" w:hAnsi="Times New Roman" w:cs="Times New Roman"/>
          <w:b/>
          <w:bCs/>
        </w:rPr>
      </w:pPr>
    </w:p>
    <w:p w14:paraId="3405C5EA" w14:textId="198088C3" w:rsidR="006A0898" w:rsidRPr="006A0898" w:rsidRDefault="006A0898" w:rsidP="00FE3605">
      <w:pPr>
        <w:pStyle w:val="NormalWeb"/>
        <w:spacing w:before="0" w:beforeAutospacing="0" w:after="0" w:afterAutospacing="0" w:line="480" w:lineRule="auto"/>
        <w:ind w:firstLine="720"/>
        <w:jc w:val="both"/>
      </w:pPr>
      <w:r w:rsidRPr="006A0898">
        <w:t xml:space="preserve">The statute says reasonable verifiable operating costs are to be recovered. </w:t>
      </w:r>
      <w:r w:rsidR="7A4D0CE6" w:rsidRPr="7A4D0CE6">
        <w:rPr>
          <w:rFonts w:ascii="Cambria" w:eastAsia="Cambria" w:hAnsi="Cambria" w:cs="Cambria"/>
        </w:rPr>
        <w:t xml:space="preserve">In extreme operating events generators regularly incur additional operating expenses that may not be strictly considered "marginal costs" - such as additional staffing, heating/cooling equipment, water treatment, chemical supplies, or backup fuel procurement. </w:t>
      </w:r>
      <w:r w:rsidRPr="006A0898">
        <w:t>All operating costs,</w:t>
      </w:r>
      <w:r w:rsidR="00E660AE">
        <w:t xml:space="preserve"> </w:t>
      </w:r>
      <w:r w:rsidRPr="006A0898">
        <w:t>including all costs associated with purchasing and delivering fuel and other materials needed in the production of electricity to the generator</w:t>
      </w:r>
      <w:r w:rsidR="0089144B">
        <w:t xml:space="preserve"> </w:t>
      </w:r>
      <w:r w:rsidR="7A4D0CE6">
        <w:t>a</w:t>
      </w:r>
      <w:r w:rsidRPr="006A0898">
        <w:t>re reasonable</w:t>
      </w:r>
      <w:r w:rsidR="0089144B">
        <w:t>,</w:t>
      </w:r>
      <w:r w:rsidRPr="006A0898">
        <w:t xml:space="preserve"> verifiable </w:t>
      </w:r>
      <w:r w:rsidR="0089144B">
        <w:t xml:space="preserve">operating costs that </w:t>
      </w:r>
      <w:r w:rsidRPr="006A0898">
        <w:t xml:space="preserve">should be reimbursed. </w:t>
      </w:r>
    </w:p>
    <w:p w14:paraId="6CB495D4" w14:textId="53282611" w:rsidR="006A0898" w:rsidRPr="006A0898" w:rsidRDefault="006A0898">
      <w:pPr>
        <w:pStyle w:val="NormalWeb"/>
        <w:spacing w:before="0" w:beforeAutospacing="0" w:after="0" w:afterAutospacing="0" w:line="480" w:lineRule="auto"/>
        <w:ind w:firstLine="720"/>
        <w:jc w:val="both"/>
      </w:pPr>
      <w:r w:rsidRPr="006A0898">
        <w:t xml:space="preserve">These costs should be recovered through a two-step settlement process that utilizes </w:t>
      </w:r>
      <w:r w:rsidR="7A4D0CE6">
        <w:t>the Fuel Index Price (</w:t>
      </w:r>
      <w:r w:rsidRPr="006A0898">
        <w:t>FIP</w:t>
      </w:r>
      <w:r w:rsidR="7A4D0CE6">
        <w:t>)</w:t>
      </w:r>
      <w:r w:rsidRPr="006A0898">
        <w:t xml:space="preserve"> </w:t>
      </w:r>
      <w:r w:rsidR="7A4D0CE6" w:rsidRPr="7A4D0CE6">
        <w:rPr>
          <w:rFonts w:ascii="Cambria" w:eastAsia="Cambria" w:hAnsi="Cambria" w:cs="Cambria"/>
        </w:rPr>
        <w:t xml:space="preserve">(or other verified other fuel cost) </w:t>
      </w:r>
      <w:r w:rsidRPr="006A0898">
        <w:t xml:space="preserve">and the unit heat rate along with a resettlement process </w:t>
      </w:r>
      <w:r w:rsidR="7A4D0CE6" w:rsidRPr="7A4D0CE6">
        <w:rPr>
          <w:rFonts w:ascii="Cambria" w:eastAsia="Cambria" w:hAnsi="Cambria" w:cs="Cambria"/>
        </w:rPr>
        <w:t xml:space="preserve">that </w:t>
      </w:r>
      <w:r w:rsidRPr="006A0898">
        <w:t xml:space="preserve">incorporates actual costs once those costs have been submitted by the </w:t>
      </w:r>
      <w:r w:rsidRPr="006A0898">
        <w:lastRenderedPageBreak/>
        <w:t>generator. The statute does not provide for a value judgment or subjective call by ERCOT and requires the full recovery of those costs to ensure dispatched generators are not losing money.</w:t>
      </w:r>
    </w:p>
    <w:p w14:paraId="035B3C0E" w14:textId="1C6728DE" w:rsidR="7A4D0CE6" w:rsidRDefault="7A4D0CE6" w:rsidP="00FE3605">
      <w:pPr>
        <w:spacing w:line="480" w:lineRule="auto"/>
        <w:ind w:firstLine="720"/>
        <w:jc w:val="both"/>
        <w:rPr>
          <w:rFonts w:ascii="Times New Roman" w:eastAsia="Times New Roman" w:hAnsi="Times New Roman" w:cs="Times New Roman"/>
        </w:rPr>
      </w:pPr>
      <w:r w:rsidRPr="7A4D0CE6">
        <w:rPr>
          <w:rFonts w:ascii="Times New Roman" w:eastAsia="Times New Roman" w:hAnsi="Times New Roman" w:cs="Times New Roman"/>
        </w:rPr>
        <w:t>Costs should be recovered through load ratio share allocation.</w:t>
      </w:r>
    </w:p>
    <w:p w14:paraId="09F8A0F9" w14:textId="77777777" w:rsidR="00032DD5" w:rsidRDefault="00032DD5" w:rsidP="006A0898">
      <w:pPr>
        <w:spacing w:line="480" w:lineRule="auto"/>
        <w:ind w:left="1440" w:hanging="720"/>
        <w:jc w:val="both"/>
        <w:rPr>
          <w:rFonts w:ascii="Times New Roman" w:hAnsi="Times New Roman" w:cs="Times New Roman"/>
        </w:rPr>
      </w:pPr>
    </w:p>
    <w:p w14:paraId="5E676E14" w14:textId="1BC045A7" w:rsidR="00434302" w:rsidRPr="006A0898" w:rsidRDefault="006A0898" w:rsidP="006A0898">
      <w:pPr>
        <w:spacing w:line="480" w:lineRule="auto"/>
        <w:jc w:val="both"/>
        <w:rPr>
          <w:rFonts w:ascii="Times New Roman" w:hAnsi="Times New Roman" w:cs="Times New Roman"/>
          <w:b/>
          <w:bCs/>
        </w:rPr>
      </w:pPr>
      <w:r>
        <w:rPr>
          <w:rFonts w:ascii="Times New Roman" w:hAnsi="Times New Roman" w:cs="Times New Roman"/>
          <w:b/>
        </w:rPr>
        <w:t>Question</w:t>
      </w:r>
      <w:r w:rsidR="00434302">
        <w:rPr>
          <w:rFonts w:ascii="Times New Roman" w:hAnsi="Times New Roman" w:cs="Times New Roman"/>
          <w:b/>
        </w:rPr>
        <w:t xml:space="preserve"> 4: </w:t>
      </w:r>
      <w:r w:rsidRPr="006A0898">
        <w:rPr>
          <w:rFonts w:ascii="Times New Roman" w:hAnsi="Times New Roman" w:cs="Times New Roman"/>
          <w:b/>
          <w:bCs/>
        </w:rPr>
        <w:t>How often should the Commission review each of</w:t>
      </w:r>
      <w:r>
        <w:rPr>
          <w:rFonts w:ascii="Times New Roman" w:hAnsi="Times New Roman" w:cs="Times New Roman"/>
          <w:b/>
          <w:bCs/>
        </w:rPr>
        <w:t xml:space="preserve"> </w:t>
      </w:r>
      <w:r w:rsidRPr="006A0898">
        <w:rPr>
          <w:rFonts w:ascii="Times New Roman" w:hAnsi="Times New Roman" w:cs="Times New Roman"/>
          <w:b/>
          <w:bCs/>
        </w:rPr>
        <w:t>the system-wide offer cap programs, including the low system-wide offer cap, the high system-wide offer cap, and the emergency pricing program?</w:t>
      </w:r>
    </w:p>
    <w:p w14:paraId="37F9A75A" w14:textId="77777777" w:rsidR="006A0898" w:rsidRDefault="006A0898" w:rsidP="006A0898">
      <w:pPr>
        <w:jc w:val="both"/>
        <w:rPr>
          <w:rFonts w:ascii="Times New Roman" w:hAnsi="Times New Roman" w:cs="Times New Roman"/>
          <w:b/>
          <w:bCs/>
        </w:rPr>
      </w:pPr>
    </w:p>
    <w:p w14:paraId="447CF017" w14:textId="165A490C" w:rsidR="006A0898" w:rsidRPr="006A0898" w:rsidRDefault="7A4D0CE6" w:rsidP="00FE3605">
      <w:pPr>
        <w:spacing w:line="480" w:lineRule="auto"/>
        <w:jc w:val="both"/>
        <w:rPr>
          <w:rFonts w:ascii="Times New Roman" w:hAnsi="Times New Roman" w:cs="Times New Roman"/>
        </w:rPr>
      </w:pPr>
      <w:r w:rsidRPr="7A4D0CE6">
        <w:rPr>
          <w:rFonts w:ascii="Times New Roman" w:hAnsi="Times New Roman" w:cs="Times New Roman"/>
        </w:rPr>
        <w:t xml:space="preserve">The language in the statute requires review once every five (5) years so TCPA recommends adopting language in the rule that tracks </w:t>
      </w:r>
      <w:r w:rsidRPr="7A4D0CE6">
        <w:rPr>
          <w:rFonts w:ascii="Times New Roman" w:eastAsia="Times New Roman" w:hAnsi="Times New Roman" w:cs="Times New Roman"/>
        </w:rPr>
        <w:t xml:space="preserve">PURA § </w:t>
      </w:r>
      <w:r w:rsidRPr="7A4D0CE6">
        <w:rPr>
          <w:rFonts w:ascii="Times New Roman" w:hAnsi="Times New Roman" w:cs="Times New Roman"/>
        </w:rPr>
        <w:t>39.160 (f). It is also reasonable to expect that the first utilization of the Emergency Pricing Program will yield insights that may warrant an event-based review outside of that normal 5-year cadence.</w:t>
      </w:r>
    </w:p>
    <w:p w14:paraId="68A9FDFF" w14:textId="0261236E" w:rsidR="006A0898" w:rsidRPr="006A0898" w:rsidRDefault="006A0898" w:rsidP="7A4D0CE6">
      <w:pPr>
        <w:spacing w:after="160" w:line="276" w:lineRule="auto"/>
        <w:jc w:val="both"/>
        <w:rPr>
          <w:rFonts w:ascii="Times New Roman" w:hAnsi="Times New Roman" w:cs="Times New Roman"/>
        </w:rPr>
      </w:pPr>
    </w:p>
    <w:p w14:paraId="580F497F" w14:textId="5ED7C2FD" w:rsidR="00434302" w:rsidRDefault="00434302" w:rsidP="0024565E">
      <w:pPr>
        <w:spacing w:line="480" w:lineRule="auto"/>
        <w:rPr>
          <w:rFonts w:ascii="Times New Roman" w:hAnsi="Times New Roman" w:cs="Times New Roman"/>
        </w:rPr>
      </w:pPr>
    </w:p>
    <w:p w14:paraId="51C8B677" w14:textId="1387E35C" w:rsidR="006A0898" w:rsidRDefault="006A0898" w:rsidP="0024565E">
      <w:pPr>
        <w:spacing w:line="480" w:lineRule="auto"/>
        <w:rPr>
          <w:rFonts w:ascii="Times New Roman" w:hAnsi="Times New Roman" w:cs="Times New Roman"/>
          <w:b/>
          <w:bCs/>
        </w:rPr>
      </w:pPr>
      <w:r>
        <w:rPr>
          <w:rFonts w:ascii="Times New Roman" w:hAnsi="Times New Roman" w:cs="Times New Roman"/>
          <w:b/>
        </w:rPr>
        <w:t>Question 5:</w:t>
      </w:r>
      <w:r w:rsidR="00F6354D">
        <w:rPr>
          <w:rFonts w:ascii="Times New Roman" w:hAnsi="Times New Roman" w:cs="Times New Roman"/>
          <w:b/>
        </w:rPr>
        <w:t xml:space="preserve"> </w:t>
      </w:r>
      <w:r w:rsidR="00F6354D" w:rsidRPr="00F6354D">
        <w:rPr>
          <w:rFonts w:ascii="Times New Roman" w:hAnsi="Times New Roman" w:cs="Times New Roman"/>
          <w:b/>
          <w:bCs/>
        </w:rPr>
        <w:t>Are there any additional policy issues the Commission should address in a proposed rule implementing PURA § 39.160</w:t>
      </w:r>
      <w:r w:rsidR="00F6354D">
        <w:rPr>
          <w:rFonts w:ascii="Times New Roman" w:hAnsi="Times New Roman" w:cs="Times New Roman"/>
          <w:b/>
          <w:bCs/>
        </w:rPr>
        <w:t>?</w:t>
      </w:r>
    </w:p>
    <w:p w14:paraId="7C1398F6" w14:textId="09884C7B" w:rsidR="00F6354D" w:rsidRPr="00F6354D" w:rsidRDefault="7A4D0CE6" w:rsidP="00FE3605">
      <w:pPr>
        <w:spacing w:line="480" w:lineRule="auto"/>
        <w:ind w:firstLine="720"/>
        <w:jc w:val="both"/>
        <w:rPr>
          <w:rFonts w:ascii="Times New Roman" w:hAnsi="Times New Roman" w:cs="Times New Roman"/>
        </w:rPr>
      </w:pPr>
      <w:r w:rsidRPr="7A4D0CE6">
        <w:rPr>
          <w:rFonts w:ascii="Times New Roman" w:hAnsi="Times New Roman" w:cs="Times New Roman"/>
        </w:rPr>
        <w:t xml:space="preserve">The Commission is interested in and has ERCOT been working on establishing a </w:t>
      </w:r>
    </w:p>
    <w:p w14:paraId="2973F48E" w14:textId="6162F9B2" w:rsidR="00F6354D" w:rsidRPr="00F6354D" w:rsidRDefault="7A4D0CE6" w:rsidP="7A4D0CE6">
      <w:pPr>
        <w:spacing w:after="160" w:line="480" w:lineRule="auto"/>
        <w:jc w:val="both"/>
        <w:rPr>
          <w:rFonts w:ascii="Times New Roman" w:hAnsi="Times New Roman" w:cs="Times New Roman"/>
        </w:rPr>
      </w:pPr>
      <w:r w:rsidRPr="7A4D0CE6">
        <w:rPr>
          <w:rFonts w:ascii="Times New Roman" w:hAnsi="Times New Roman" w:cs="Times New Roman"/>
        </w:rPr>
        <w:t>reliability standard for the ERCOT market.  Any price caps in the market need to be modeled in their reliability analysis</w:t>
      </w:r>
      <w:r w:rsidRPr="7A4D0CE6">
        <w:rPr>
          <w:rFonts w:ascii="Times New Roman" w:eastAsia="Times New Roman" w:hAnsi="Times New Roman" w:cs="Times New Roman"/>
        </w:rPr>
        <w:t xml:space="preserve"> associated with that effort</w:t>
      </w:r>
      <w:r w:rsidRPr="7A4D0CE6">
        <w:rPr>
          <w:rFonts w:ascii="Times New Roman" w:hAnsi="Times New Roman" w:cs="Times New Roman"/>
        </w:rPr>
        <w:t>, and the cap established in this rulemaking should be included in ERCOT’s associated modeling and reliability analysis.</w:t>
      </w:r>
    </w:p>
    <w:p w14:paraId="52B9B354" w14:textId="2654E148" w:rsidR="00F6354D" w:rsidRPr="00F6354D" w:rsidRDefault="00F6354D" w:rsidP="00FE3605">
      <w:pPr>
        <w:spacing w:after="160" w:line="480" w:lineRule="auto"/>
        <w:ind w:firstLine="720"/>
        <w:jc w:val="both"/>
        <w:rPr>
          <w:rFonts w:ascii="Times New Roman" w:hAnsi="Times New Roman" w:cs="Times New Roman"/>
        </w:rPr>
      </w:pPr>
      <w:r w:rsidRPr="00F6354D">
        <w:rPr>
          <w:rFonts w:ascii="Times New Roman" w:hAnsi="Times New Roman" w:cs="Times New Roman"/>
        </w:rPr>
        <w:t xml:space="preserve">As mentioned above, the PNM is no longer </w:t>
      </w:r>
      <w:r w:rsidR="00C72B5B">
        <w:rPr>
          <w:rFonts w:ascii="Times New Roman" w:hAnsi="Times New Roman" w:cs="Times New Roman"/>
        </w:rPr>
        <w:t>necessary</w:t>
      </w:r>
      <w:r w:rsidRPr="00F6354D">
        <w:rPr>
          <w:rFonts w:ascii="Times New Roman" w:hAnsi="Times New Roman" w:cs="Times New Roman"/>
        </w:rPr>
        <w:t xml:space="preserve"> once this program is </w:t>
      </w:r>
      <w:r w:rsidR="00C72B5B">
        <w:rPr>
          <w:rFonts w:ascii="Times New Roman" w:hAnsi="Times New Roman" w:cs="Times New Roman"/>
        </w:rPr>
        <w:t>implemented</w:t>
      </w:r>
      <w:r w:rsidRPr="00F6354D">
        <w:rPr>
          <w:rFonts w:ascii="Times New Roman" w:hAnsi="Times New Roman" w:cs="Times New Roman"/>
        </w:rPr>
        <w:t xml:space="preserve"> and should be removed. </w:t>
      </w:r>
    </w:p>
    <w:p w14:paraId="162F96E0" w14:textId="77777777" w:rsidR="00636A7B" w:rsidRDefault="00636A7B" w:rsidP="00E51397">
      <w:pPr>
        <w:spacing w:line="480" w:lineRule="auto"/>
        <w:jc w:val="center"/>
        <w:rPr>
          <w:rFonts w:ascii="Times New Roman" w:hAnsi="Times New Roman" w:cs="Times New Roman"/>
          <w:b/>
          <w:bCs/>
        </w:rPr>
      </w:pPr>
    </w:p>
    <w:p w14:paraId="527C3C5B" w14:textId="77777777" w:rsidR="00636A7B" w:rsidRDefault="00636A7B" w:rsidP="00E51397">
      <w:pPr>
        <w:spacing w:line="480" w:lineRule="auto"/>
        <w:jc w:val="center"/>
        <w:rPr>
          <w:rFonts w:ascii="Times New Roman" w:hAnsi="Times New Roman" w:cs="Times New Roman"/>
          <w:b/>
          <w:bCs/>
        </w:rPr>
      </w:pPr>
    </w:p>
    <w:p w14:paraId="5122E290" w14:textId="3ABBD236" w:rsidR="00242B62" w:rsidRPr="00C36738" w:rsidRDefault="00242B62" w:rsidP="00E51397">
      <w:pPr>
        <w:spacing w:line="480" w:lineRule="auto"/>
        <w:jc w:val="center"/>
        <w:rPr>
          <w:rFonts w:ascii="Times New Roman" w:hAnsi="Times New Roman" w:cs="Times New Roman"/>
          <w:b/>
          <w:bCs/>
        </w:rPr>
      </w:pPr>
      <w:r w:rsidRPr="00C36738">
        <w:rPr>
          <w:rFonts w:ascii="Times New Roman" w:hAnsi="Times New Roman" w:cs="Times New Roman"/>
          <w:b/>
          <w:bCs/>
        </w:rPr>
        <w:lastRenderedPageBreak/>
        <w:t>Conclusion</w:t>
      </w:r>
    </w:p>
    <w:p w14:paraId="133B8B3A" w14:textId="137591E4" w:rsidR="00994270" w:rsidRDefault="006141FF" w:rsidP="00FE3605">
      <w:pPr>
        <w:spacing w:line="480" w:lineRule="auto"/>
        <w:ind w:firstLine="720"/>
        <w:jc w:val="both"/>
        <w:rPr>
          <w:rFonts w:ascii="Times New Roman" w:hAnsi="Times New Roman" w:cs="Times New Roman"/>
        </w:rPr>
      </w:pPr>
      <w:r>
        <w:rPr>
          <w:rFonts w:ascii="Times New Roman" w:hAnsi="Times New Roman" w:cs="Times New Roman"/>
        </w:rPr>
        <w:t>TCPA</w:t>
      </w:r>
      <w:r w:rsidR="00242B62" w:rsidRPr="00C36738">
        <w:rPr>
          <w:rFonts w:ascii="Times New Roman" w:hAnsi="Times New Roman" w:cs="Times New Roman"/>
        </w:rPr>
        <w:t xml:space="preserve"> appreciates the Commission’s </w:t>
      </w:r>
      <w:r w:rsidR="00584142">
        <w:rPr>
          <w:rFonts w:ascii="Times New Roman" w:hAnsi="Times New Roman" w:cs="Times New Roman"/>
        </w:rPr>
        <w:t>consideration of these comments</w:t>
      </w:r>
      <w:r w:rsidR="00306E68">
        <w:rPr>
          <w:rFonts w:ascii="Times New Roman" w:hAnsi="Times New Roman" w:cs="Times New Roman"/>
        </w:rPr>
        <w:t xml:space="preserve"> and looks forward to working with other interested parties in this rulemaking</w:t>
      </w:r>
      <w:r w:rsidR="00B844B7" w:rsidRPr="00C36738">
        <w:rPr>
          <w:rFonts w:ascii="Times New Roman" w:hAnsi="Times New Roman" w:cs="Times New Roman"/>
        </w:rPr>
        <w:t>.</w:t>
      </w:r>
    </w:p>
    <w:p w14:paraId="021848AD" w14:textId="77777777" w:rsidR="0035218A" w:rsidRPr="00C36738" w:rsidRDefault="0035218A" w:rsidP="00E51397">
      <w:pPr>
        <w:spacing w:line="480" w:lineRule="auto"/>
        <w:jc w:val="both"/>
        <w:rPr>
          <w:rFonts w:ascii="Times New Roman" w:hAnsi="Times New Roman" w:cs="Times New Roman"/>
        </w:rPr>
      </w:pPr>
    </w:p>
    <w:p w14:paraId="28E325AC" w14:textId="5105CED9"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Dated:</w:t>
      </w:r>
      <w:r w:rsidR="00B0163A" w:rsidRPr="00C36738">
        <w:rPr>
          <w:rFonts w:ascii="Times New Roman" w:hAnsi="Times New Roman" w:cs="Times New Roman"/>
        </w:rPr>
        <w:t xml:space="preserve"> </w:t>
      </w:r>
      <w:r w:rsidR="00F6354D">
        <w:rPr>
          <w:rFonts w:ascii="Times New Roman" w:hAnsi="Times New Roman" w:cs="Times New Roman"/>
        </w:rPr>
        <w:t>August 15, 2023</w:t>
      </w:r>
    </w:p>
    <w:p w14:paraId="08306740" w14:textId="77777777" w:rsidR="00651509"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p>
    <w:p w14:paraId="017A376D" w14:textId="6583869D"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00F6354D">
        <w:rPr>
          <w:rFonts w:ascii="Times New Roman" w:hAnsi="Times New Roman" w:cs="Times New Roman"/>
        </w:rPr>
        <w:tab/>
      </w:r>
      <w:r w:rsidR="00F6354D">
        <w:rPr>
          <w:rFonts w:ascii="Times New Roman" w:hAnsi="Times New Roman" w:cs="Times New Roman"/>
        </w:rPr>
        <w:tab/>
      </w:r>
      <w:r w:rsidR="00F6354D">
        <w:rPr>
          <w:rFonts w:ascii="Times New Roman" w:hAnsi="Times New Roman" w:cs="Times New Roman"/>
        </w:rPr>
        <w:tab/>
      </w:r>
      <w:r w:rsidR="00F6354D">
        <w:rPr>
          <w:rFonts w:ascii="Times New Roman" w:hAnsi="Times New Roman" w:cs="Times New Roman"/>
        </w:rPr>
        <w:tab/>
      </w:r>
      <w:r w:rsidR="00F6354D">
        <w:rPr>
          <w:rFonts w:ascii="Times New Roman" w:hAnsi="Times New Roman" w:cs="Times New Roman"/>
        </w:rPr>
        <w:tab/>
      </w:r>
      <w:r w:rsidRPr="00C36738">
        <w:rPr>
          <w:rFonts w:ascii="Times New Roman" w:hAnsi="Times New Roman" w:cs="Times New Roman"/>
        </w:rPr>
        <w:t>Respectfully submitted,</w:t>
      </w:r>
    </w:p>
    <w:p w14:paraId="7A323786" w14:textId="55901607" w:rsidR="0093796B" w:rsidRPr="0048370E" w:rsidRDefault="0093796B" w:rsidP="0093796B">
      <w:pPr>
        <w:tabs>
          <w:tab w:val="left" w:pos="4320"/>
        </w:tabs>
        <w:ind w:right="-540"/>
        <w:rPr>
          <w:rFonts w:eastAsia="Times New Roman"/>
        </w:rPr>
      </w:pPr>
      <w:r>
        <w:rPr>
          <w:rFonts w:eastAsia="Times New Roman"/>
        </w:rPr>
        <w:tab/>
      </w:r>
      <w:r>
        <w:rPr>
          <w:rFonts w:eastAsia="Times New Roman"/>
          <w:noProof/>
          <w:lang w:eastAsia="en-US"/>
        </w:rPr>
        <w:drawing>
          <wp:inline distT="0" distB="0" distL="0" distR="0" wp14:anchorId="2225DE69" wp14:editId="21D223C9">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73891067" w14:textId="13A9EF40" w:rsidR="0093796B" w:rsidRDefault="0093796B" w:rsidP="0093796B">
      <w:pPr>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ab/>
        <w:t>Michele Richmond</w:t>
      </w:r>
    </w:p>
    <w:p w14:paraId="6C474204" w14:textId="794C2285"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04BC8460" w14:textId="78D531F6"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4F2F0029" w14:textId="25EAAF11" w:rsidR="0093796B" w:rsidRPr="00A87133"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7133">
        <w:rPr>
          <w:rFonts w:eastAsia="Times New Roman"/>
        </w:rPr>
        <w:t>(512) 653-7447</w:t>
      </w:r>
    </w:p>
    <w:p w14:paraId="592601F4" w14:textId="59B82B8A" w:rsidR="0093796B" w:rsidRPr="00A87133" w:rsidRDefault="0093796B" w:rsidP="0093796B">
      <w:pPr>
        <w:spacing w:line="360" w:lineRule="auto"/>
        <w:rPr>
          <w:rStyle w:val="Hyperlink"/>
          <w:rFonts w:eastAsia="Times New Roman"/>
        </w:rPr>
      </w:pP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00855095">
        <w:rPr>
          <w:rFonts w:eastAsia="Times New Roman"/>
        </w:rPr>
        <w:t xml:space="preserve">              </w:t>
      </w:r>
      <w:hyperlink r:id="rId9" w:history="1">
        <w:r w:rsidR="00855095" w:rsidRPr="00B25F1A">
          <w:rPr>
            <w:rStyle w:val="Hyperlink"/>
            <w:rFonts w:eastAsia="Times New Roman"/>
          </w:rPr>
          <w:t>michele@competitivepower.org</w:t>
        </w:r>
      </w:hyperlink>
    </w:p>
    <w:p w14:paraId="51234D93" w14:textId="77777777" w:rsidR="0011418A" w:rsidRDefault="00F30BE0" w:rsidP="00D836CA">
      <w:pPr>
        <w:spacing w:line="480" w:lineRule="auto"/>
        <w:jc w:val="both"/>
        <w:rPr>
          <w:rFonts w:ascii="Times New Roman" w:hAnsi="Times New Roman" w:cs="Times New Roman"/>
        </w:rPr>
      </w:pPr>
      <w:r w:rsidRPr="00A87133">
        <w:rPr>
          <w:rFonts w:ascii="Times New Roman" w:hAnsi="Times New Roman" w:cs="Times New Roman"/>
        </w:rPr>
        <w:tab/>
      </w:r>
      <w:r w:rsidRPr="00A87133">
        <w:rPr>
          <w:rFonts w:ascii="Times New Roman" w:hAnsi="Times New Roman" w:cs="Times New Roman"/>
        </w:rPr>
        <w:tab/>
      </w:r>
      <w:r w:rsidRPr="00A87133">
        <w:rPr>
          <w:rFonts w:ascii="Times New Roman" w:hAnsi="Times New Roman" w:cs="Times New Roman"/>
        </w:rPr>
        <w:tab/>
      </w:r>
      <w:r w:rsidRPr="00A87133">
        <w:rPr>
          <w:rFonts w:ascii="Times New Roman" w:hAnsi="Times New Roman" w:cs="Times New Roman"/>
        </w:rPr>
        <w:tab/>
      </w:r>
    </w:p>
    <w:p w14:paraId="3678CE65" w14:textId="285459BB" w:rsidR="0088086C" w:rsidRPr="00636A7B" w:rsidRDefault="0011418A" w:rsidP="00FE3605">
      <w:pPr>
        <w:spacing w:line="259" w:lineRule="auto"/>
        <w:rPr>
          <w:rFonts w:ascii="Times New Roman" w:hAnsi="Times New Roman" w:cs="Times New Roman"/>
        </w:rPr>
      </w:pPr>
      <w:r w:rsidRPr="3ECF8B15">
        <w:rPr>
          <w:rFonts w:ascii="Times New Roman" w:hAnsi="Times New Roman" w:cs="Times New Roman"/>
        </w:rPr>
        <w:br w:type="page"/>
      </w:r>
      <w:r w:rsidR="3ECF8B15" w:rsidRPr="3ECF8B15">
        <w:rPr>
          <w:rFonts w:ascii="Times New Roman" w:hAnsi="Times New Roman" w:cs="Times New Roman"/>
          <w:b/>
          <w:bCs/>
        </w:rPr>
        <w:lastRenderedPageBreak/>
        <w:t xml:space="preserve">PROJECT NO. </w:t>
      </w:r>
      <w:r w:rsidR="3ECF8B15" w:rsidRPr="00636A7B">
        <w:rPr>
          <w:rFonts w:ascii="Times New Roman" w:hAnsi="Times New Roman" w:cs="Times New Roman"/>
          <w:b/>
          <w:bCs/>
        </w:rPr>
        <w:t>54585</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88086C" w:rsidRPr="00C36738" w14:paraId="70706D04" w14:textId="77777777" w:rsidTr="3ECF8B15">
        <w:trPr>
          <w:trHeight w:val="1341"/>
        </w:trPr>
        <w:tc>
          <w:tcPr>
            <w:tcW w:w="4230" w:type="dxa"/>
            <w:vAlign w:val="center"/>
          </w:tcPr>
          <w:p w14:paraId="5392C471" w14:textId="470330A7" w:rsidR="0088086C" w:rsidRPr="00C36738" w:rsidRDefault="3ECF8B15" w:rsidP="00FC0D4D">
            <w:pPr>
              <w:jc w:val="center"/>
              <w:rPr>
                <w:rFonts w:ascii="Times New Roman" w:hAnsi="Times New Roman" w:cs="Times New Roman"/>
                <w:b/>
                <w:bCs/>
              </w:rPr>
            </w:pPr>
            <w:r w:rsidRPr="3ECF8B15">
              <w:rPr>
                <w:rFonts w:ascii="Times New Roman" w:hAnsi="Times New Roman" w:cs="Times New Roman"/>
                <w:b/>
                <w:bCs/>
              </w:rPr>
              <w:t>EMERGENCY PRICING PROGRAM</w:t>
            </w:r>
          </w:p>
        </w:tc>
        <w:tc>
          <w:tcPr>
            <w:tcW w:w="720" w:type="dxa"/>
            <w:vAlign w:val="center"/>
          </w:tcPr>
          <w:p w14:paraId="40871564" w14:textId="77777777" w:rsidR="0088086C" w:rsidRPr="00C36738" w:rsidRDefault="0088086C" w:rsidP="00E90974">
            <w:pPr>
              <w:jc w:val="center"/>
              <w:rPr>
                <w:rFonts w:ascii="Times New Roman" w:hAnsi="Times New Roman" w:cs="Times New Roman"/>
                <w:b/>
                <w:bCs/>
              </w:rPr>
            </w:pPr>
            <w:r w:rsidRPr="00C36738">
              <w:rPr>
                <w:rFonts w:ascii="Times New Roman" w:hAnsi="Times New Roman" w:cs="Times New Roman"/>
                <w:b/>
                <w:bCs/>
              </w:rPr>
              <w:t>§</w:t>
            </w:r>
          </w:p>
          <w:p w14:paraId="194C7E37" w14:textId="77777777" w:rsidR="0088086C" w:rsidRPr="00C36738" w:rsidRDefault="0088086C" w:rsidP="00E90974">
            <w:pPr>
              <w:jc w:val="center"/>
              <w:rPr>
                <w:rFonts w:ascii="Times New Roman" w:hAnsi="Times New Roman" w:cs="Times New Roman"/>
                <w:b/>
                <w:bCs/>
              </w:rPr>
            </w:pPr>
            <w:r w:rsidRPr="00C36738">
              <w:rPr>
                <w:rFonts w:ascii="Times New Roman" w:hAnsi="Times New Roman" w:cs="Times New Roman"/>
                <w:b/>
                <w:bCs/>
              </w:rPr>
              <w:t>§</w:t>
            </w:r>
          </w:p>
          <w:p w14:paraId="2692B223" w14:textId="77777777" w:rsidR="0088086C" w:rsidRPr="00C36738" w:rsidRDefault="0088086C" w:rsidP="00E90974">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64C8BE5B" w14:textId="77777777" w:rsidR="0088086C" w:rsidRPr="00C36738" w:rsidRDefault="0088086C" w:rsidP="00E90974">
            <w:pPr>
              <w:jc w:val="center"/>
              <w:rPr>
                <w:rFonts w:ascii="Times New Roman" w:hAnsi="Times New Roman" w:cs="Times New Roman"/>
                <w:b/>
                <w:bCs/>
              </w:rPr>
            </w:pPr>
            <w:r w:rsidRPr="00C36738">
              <w:rPr>
                <w:rFonts w:ascii="Times New Roman" w:hAnsi="Times New Roman" w:cs="Times New Roman"/>
                <w:b/>
                <w:bCs/>
              </w:rPr>
              <w:t>BEFORE THE</w:t>
            </w:r>
          </w:p>
          <w:p w14:paraId="043B9A81" w14:textId="77777777" w:rsidR="0088086C" w:rsidRPr="00C36738" w:rsidRDefault="0088086C" w:rsidP="00E90974">
            <w:pPr>
              <w:jc w:val="center"/>
              <w:rPr>
                <w:rFonts w:ascii="Times New Roman" w:hAnsi="Times New Roman" w:cs="Times New Roman"/>
                <w:b/>
                <w:bCs/>
              </w:rPr>
            </w:pPr>
            <w:r w:rsidRPr="00C36738">
              <w:rPr>
                <w:rFonts w:ascii="Times New Roman" w:hAnsi="Times New Roman" w:cs="Times New Roman"/>
                <w:b/>
                <w:bCs/>
              </w:rPr>
              <w:t>PUBLIC UTILITY COMMISSION</w:t>
            </w:r>
          </w:p>
          <w:p w14:paraId="7DA2FA7C" w14:textId="77777777" w:rsidR="0088086C" w:rsidRPr="00C36738" w:rsidRDefault="0088086C" w:rsidP="00E90974">
            <w:pPr>
              <w:jc w:val="center"/>
              <w:rPr>
                <w:rFonts w:ascii="Times New Roman" w:hAnsi="Times New Roman" w:cs="Times New Roman"/>
                <w:b/>
                <w:bCs/>
              </w:rPr>
            </w:pPr>
            <w:r w:rsidRPr="00C36738">
              <w:rPr>
                <w:rFonts w:ascii="Times New Roman" w:hAnsi="Times New Roman" w:cs="Times New Roman"/>
                <w:b/>
                <w:bCs/>
              </w:rPr>
              <w:t>OF TEXAS</w:t>
            </w:r>
          </w:p>
        </w:tc>
      </w:tr>
    </w:tbl>
    <w:p w14:paraId="0E3DB7C8" w14:textId="602C83F3" w:rsidR="0088086C" w:rsidRPr="00C36738" w:rsidRDefault="0088086C" w:rsidP="00FC0D4D">
      <w:pPr>
        <w:ind w:hanging="450"/>
        <w:rPr>
          <w:rFonts w:ascii="Times New Roman" w:hAnsi="Times New Roman" w:cs="Times New Roman"/>
          <w:u w:val="single"/>
        </w:rPr>
      </w:pPr>
      <w:r w:rsidRPr="00C36738">
        <w:rPr>
          <w:rFonts w:ascii="Times New Roman" w:hAnsi="Times New Roman" w:cs="Times New Roman"/>
          <w:b/>
          <w:bCs/>
        </w:rPr>
        <w:tab/>
      </w:r>
    </w:p>
    <w:p w14:paraId="70C03F55" w14:textId="6DC6A16B" w:rsidR="0088086C" w:rsidRDefault="0088086C" w:rsidP="0088086C">
      <w:pPr>
        <w:jc w:val="center"/>
        <w:rPr>
          <w:rFonts w:ascii="Times New Roman" w:hAnsi="Times New Roman" w:cs="Times New Roman"/>
          <w:b/>
          <w:bCs/>
          <w:u w:val="single"/>
        </w:rPr>
      </w:pPr>
      <w:r>
        <w:rPr>
          <w:rFonts w:ascii="Times New Roman" w:hAnsi="Times New Roman" w:cs="Times New Roman"/>
          <w:b/>
          <w:bCs/>
          <w:u w:val="single"/>
        </w:rPr>
        <w:t>EXECUTIVE SUMMARY</w:t>
      </w:r>
      <w:r w:rsidRPr="00C36738">
        <w:rPr>
          <w:rFonts w:ascii="Times New Roman" w:hAnsi="Times New Roman" w:cs="Times New Roman"/>
          <w:b/>
          <w:bCs/>
          <w:u w:val="single"/>
        </w:rPr>
        <w:t xml:space="preserve"> OF </w:t>
      </w:r>
      <w:r w:rsidR="006141FF">
        <w:rPr>
          <w:rFonts w:ascii="Times New Roman" w:hAnsi="Times New Roman" w:cs="Times New Roman"/>
          <w:b/>
          <w:bCs/>
          <w:u w:val="single"/>
        </w:rPr>
        <w:t>TCPA</w:t>
      </w:r>
      <w:r>
        <w:rPr>
          <w:rFonts w:ascii="Times New Roman" w:hAnsi="Times New Roman" w:cs="Times New Roman"/>
          <w:b/>
          <w:bCs/>
          <w:u w:val="single"/>
        </w:rPr>
        <w:t xml:space="preserve"> COMMENTS</w:t>
      </w:r>
    </w:p>
    <w:p w14:paraId="782B75E3" w14:textId="77777777" w:rsidR="00E61864" w:rsidRDefault="00E61864" w:rsidP="0088086C">
      <w:pPr>
        <w:jc w:val="center"/>
        <w:rPr>
          <w:rFonts w:ascii="Times New Roman" w:hAnsi="Times New Roman" w:cs="Times New Roman"/>
          <w:b/>
          <w:bCs/>
          <w:u w:val="single"/>
        </w:rPr>
      </w:pPr>
    </w:p>
    <w:p w14:paraId="0ECE3253" w14:textId="77777777" w:rsidR="00636A7B" w:rsidRPr="000F7886"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Clarify specific settlement price point that triggers the EPP</w:t>
      </w:r>
      <w:r w:rsidRPr="000F7886">
        <w:rPr>
          <w:rFonts w:ascii="Times New Roman" w:hAnsi="Times New Roman" w:cs="Times New Roman"/>
        </w:rPr>
        <w:t xml:space="preserve"> (</w:t>
      </w:r>
      <w:proofErr w:type="gramStart"/>
      <w:r w:rsidRPr="000F7886">
        <w:rPr>
          <w:rFonts w:ascii="Times New Roman" w:hAnsi="Times New Roman" w:cs="Times New Roman"/>
        </w:rPr>
        <w:t>i.e.</w:t>
      </w:r>
      <w:proofErr w:type="gramEnd"/>
      <w:r w:rsidRPr="000F7886">
        <w:rPr>
          <w:rFonts w:ascii="Times New Roman" w:hAnsi="Times New Roman" w:cs="Times New Roman"/>
        </w:rPr>
        <w:t xml:space="preserve"> ERCOT Hub Average 345kV price)</w:t>
      </w:r>
    </w:p>
    <w:p w14:paraId="176D5918"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Trigger and return to normal prices should be formulaic and </w:t>
      </w:r>
      <w:proofErr w:type="gramStart"/>
      <w:r>
        <w:rPr>
          <w:rFonts w:ascii="Times New Roman" w:hAnsi="Times New Roman" w:cs="Times New Roman"/>
        </w:rPr>
        <w:t>automated</w:t>
      </w:r>
      <w:proofErr w:type="gramEnd"/>
    </w:p>
    <w:p w14:paraId="58FFB75F"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Require ERCOT &amp; IMM market analyses to account for EPP price </w:t>
      </w:r>
      <w:proofErr w:type="gramStart"/>
      <w:r>
        <w:rPr>
          <w:rFonts w:ascii="Times New Roman" w:hAnsi="Times New Roman" w:cs="Times New Roman"/>
        </w:rPr>
        <w:t>caps</w:t>
      </w:r>
      <w:proofErr w:type="gramEnd"/>
    </w:p>
    <w:p w14:paraId="652AA68E"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PNM &amp; LCAP are duplicative of EPP &amp; should be terminated upon implementation of </w:t>
      </w:r>
      <w:proofErr w:type="gramStart"/>
      <w:r>
        <w:rPr>
          <w:rFonts w:ascii="Times New Roman" w:hAnsi="Times New Roman" w:cs="Times New Roman"/>
        </w:rPr>
        <w:t>EPP</w:t>
      </w:r>
      <w:proofErr w:type="gramEnd"/>
    </w:p>
    <w:p w14:paraId="304476C5"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Generators must be made whole to reasonable &amp; verifiable operating costs not only to marginal costs during time EPP is in </w:t>
      </w:r>
      <w:proofErr w:type="gramStart"/>
      <w:r>
        <w:rPr>
          <w:rFonts w:ascii="Times New Roman" w:hAnsi="Times New Roman" w:cs="Times New Roman"/>
        </w:rPr>
        <w:t>effect</w:t>
      </w:r>
      <w:proofErr w:type="gramEnd"/>
    </w:p>
    <w:p w14:paraId="4D8D2D98"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Market notice should be required anytime EPP is triggered and upon return from EPP to normal market </w:t>
      </w:r>
      <w:proofErr w:type="gramStart"/>
      <w:r>
        <w:rPr>
          <w:rFonts w:ascii="Times New Roman" w:hAnsi="Times New Roman" w:cs="Times New Roman"/>
        </w:rPr>
        <w:t>pricing</w:t>
      </w:r>
      <w:proofErr w:type="gramEnd"/>
    </w:p>
    <w:p w14:paraId="3C1B0BBE"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Market depends on scarcity pricing which no longer correlates to Energy Emergency Alerts (EEAs) so EPP could be triggered outside of </w:t>
      </w:r>
      <w:proofErr w:type="gramStart"/>
      <w:r>
        <w:rPr>
          <w:rFonts w:ascii="Times New Roman" w:hAnsi="Times New Roman" w:cs="Times New Roman"/>
        </w:rPr>
        <w:t>EEA</w:t>
      </w:r>
      <w:proofErr w:type="gramEnd"/>
    </w:p>
    <w:p w14:paraId="749E4499"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EPP price and duration should be pre-determined and coded into ERCOT systems so no regulatory body or individual is needed to manually </w:t>
      </w:r>
      <w:proofErr w:type="gramStart"/>
      <w:r>
        <w:rPr>
          <w:rFonts w:ascii="Times New Roman" w:hAnsi="Times New Roman" w:cs="Times New Roman"/>
        </w:rPr>
        <w:t>implement</w:t>
      </w:r>
      <w:proofErr w:type="gramEnd"/>
    </w:p>
    <w:p w14:paraId="76BA93D8"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Cap should be the same for energy and ancillary services to avoid any disincentive to providing one over the </w:t>
      </w:r>
      <w:proofErr w:type="gramStart"/>
      <w:r>
        <w:rPr>
          <w:rFonts w:ascii="Times New Roman" w:hAnsi="Times New Roman" w:cs="Times New Roman"/>
        </w:rPr>
        <w:t>other</w:t>
      </w:r>
      <w:proofErr w:type="gramEnd"/>
    </w:p>
    <w:p w14:paraId="6EC6C5D2" w14:textId="77777777" w:rsidR="00636A7B"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All operating costs associated with purchasing and delivering fuel and other materials needed to produce electricity are reasonable, verifiable operating costs that must be </w:t>
      </w:r>
      <w:proofErr w:type="gramStart"/>
      <w:r>
        <w:rPr>
          <w:rFonts w:ascii="Times New Roman" w:hAnsi="Times New Roman" w:cs="Times New Roman"/>
        </w:rPr>
        <w:t>reimbursed</w:t>
      </w:r>
      <w:proofErr w:type="gramEnd"/>
    </w:p>
    <w:p w14:paraId="5A9FE8F9" w14:textId="77777777" w:rsidR="00636A7B" w:rsidRPr="00E56FED" w:rsidRDefault="00636A7B" w:rsidP="00636A7B">
      <w:pPr>
        <w:pStyle w:val="ListParagraph"/>
        <w:numPr>
          <w:ilvl w:val="0"/>
          <w:numId w:val="41"/>
        </w:numPr>
        <w:spacing w:line="360" w:lineRule="auto"/>
        <w:rPr>
          <w:rFonts w:ascii="Times New Roman" w:hAnsi="Times New Roman" w:cs="Times New Roman"/>
        </w:rPr>
      </w:pPr>
      <w:r>
        <w:rPr>
          <w:rFonts w:ascii="Times New Roman" w:hAnsi="Times New Roman" w:cs="Times New Roman"/>
        </w:rPr>
        <w:t xml:space="preserve">Two-step settlement process could </w:t>
      </w:r>
      <w:proofErr w:type="gramStart"/>
      <w:r>
        <w:rPr>
          <w:rFonts w:ascii="Times New Roman" w:hAnsi="Times New Roman" w:cs="Times New Roman"/>
        </w:rPr>
        <w:t>utilized</w:t>
      </w:r>
      <w:proofErr w:type="gramEnd"/>
      <w:r>
        <w:rPr>
          <w:rFonts w:ascii="Times New Roman" w:hAnsi="Times New Roman" w:cs="Times New Roman"/>
        </w:rPr>
        <w:t xml:space="preserve"> to recover reasonable, verifiable operating costs with FIP and unit heat rate followed by resettlement process that incorporates actual costs once those have been submitted by the generator </w:t>
      </w:r>
    </w:p>
    <w:p w14:paraId="5373714B" w14:textId="77777777" w:rsidR="00636A7B" w:rsidRPr="00C36738" w:rsidRDefault="00636A7B" w:rsidP="00636A7B">
      <w:pPr>
        <w:rPr>
          <w:rFonts w:ascii="Times New Roman" w:hAnsi="Times New Roman" w:cs="Times New Roman"/>
          <w:b/>
          <w:bCs/>
          <w:u w:val="single"/>
        </w:rPr>
      </w:pPr>
    </w:p>
    <w:sectPr w:rsidR="00636A7B" w:rsidRPr="00C36738" w:rsidSect="00DC34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6F24" w14:textId="77777777" w:rsidR="00623352" w:rsidRDefault="00623352" w:rsidP="00AF1446">
      <w:r>
        <w:separator/>
      </w:r>
    </w:p>
  </w:endnote>
  <w:endnote w:type="continuationSeparator" w:id="0">
    <w:p w14:paraId="0E431795" w14:textId="77777777" w:rsidR="00623352" w:rsidRDefault="00623352" w:rsidP="00AF1446">
      <w:r>
        <w:continuationSeparator/>
      </w:r>
    </w:p>
  </w:endnote>
  <w:endnote w:type="continuationNotice" w:id="1">
    <w:p w14:paraId="0E27FF21" w14:textId="77777777" w:rsidR="00623352" w:rsidRDefault="00623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0C83" w14:textId="77777777" w:rsidR="005C2362" w:rsidRDefault="005C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8A6" w14:textId="7EF6CCC7" w:rsidR="00D00A3A" w:rsidRPr="00D8346C" w:rsidRDefault="006141FF" w:rsidP="00DC3469">
    <w:pPr>
      <w:pStyle w:val="Footer"/>
      <w:rPr>
        <w:rFonts w:ascii="Times New Roman" w:hAnsi="Times New Roman" w:cs="Times New Roman"/>
      </w:rPr>
    </w:pPr>
    <w:r>
      <w:rPr>
        <w:rFonts w:ascii="Times New Roman" w:hAnsi="Times New Roman" w:cs="Times New Roman"/>
      </w:rPr>
      <w:t>TCPA</w:t>
    </w:r>
    <w:r w:rsidR="00D00A3A" w:rsidRPr="00D8346C">
      <w:rPr>
        <w:rFonts w:ascii="Times New Roman" w:hAnsi="Times New Roman" w:cs="Times New Roman"/>
      </w:rPr>
      <w:t xml:space="preserve"> </w:t>
    </w:r>
    <w:r w:rsidR="0017175C">
      <w:rPr>
        <w:rFonts w:ascii="Times New Roman" w:hAnsi="Times New Roman" w:cs="Times New Roman"/>
      </w:rPr>
      <w:t xml:space="preserve">Comments on </w:t>
    </w:r>
    <w:r w:rsidR="005C2362">
      <w:rPr>
        <w:rFonts w:ascii="Times New Roman" w:hAnsi="Times New Roman" w:cs="Times New Roman"/>
      </w:rPr>
      <w:t>Emergency Pricing Program Staff Questions</w:t>
    </w:r>
    <w:r w:rsidR="00D00A3A" w:rsidRPr="00D8346C">
      <w:rPr>
        <w:rFonts w:ascii="Times New Roman" w:hAnsi="Times New Roman" w:cs="Times New Roman"/>
      </w:rPr>
      <w:tab/>
      <w:t xml:space="preserve">Page </w:t>
    </w:r>
    <w:r w:rsidR="00D00A3A" w:rsidRPr="00D8346C">
      <w:rPr>
        <w:rFonts w:ascii="Times New Roman" w:hAnsi="Times New Roman" w:cs="Times New Roman"/>
      </w:rPr>
      <w:fldChar w:fldCharType="begin"/>
    </w:r>
    <w:r w:rsidR="00D00A3A" w:rsidRPr="00D8346C">
      <w:rPr>
        <w:rFonts w:ascii="Times New Roman" w:hAnsi="Times New Roman" w:cs="Times New Roman"/>
      </w:rPr>
      <w:instrText xml:space="preserve"> PAGE   \* MERGEFORMAT </w:instrText>
    </w:r>
    <w:r w:rsidR="00D00A3A" w:rsidRPr="00D8346C">
      <w:rPr>
        <w:rFonts w:ascii="Times New Roman" w:hAnsi="Times New Roman" w:cs="Times New Roman"/>
      </w:rPr>
      <w:fldChar w:fldCharType="separate"/>
    </w:r>
    <w:r w:rsidR="00412FF2">
      <w:rPr>
        <w:rFonts w:ascii="Times New Roman" w:hAnsi="Times New Roman" w:cs="Times New Roman"/>
        <w:noProof/>
      </w:rPr>
      <w:t>8</w:t>
    </w:r>
    <w:r w:rsidR="00D00A3A" w:rsidRPr="00D8346C">
      <w:rPr>
        <w:rFonts w:ascii="Times New Roman" w:hAnsi="Times New Roman" w:cs="Times New Roman"/>
        <w:noProof/>
      </w:rPr>
      <w:fldChar w:fldCharType="end"/>
    </w:r>
  </w:p>
  <w:p w14:paraId="0F70DEEE" w14:textId="77777777" w:rsidR="00D00A3A" w:rsidRDefault="00D00A3A">
    <w:pPr>
      <w:pStyle w:val="Footer"/>
    </w:pPr>
  </w:p>
  <w:p w14:paraId="77AE2FF0" w14:textId="77777777" w:rsidR="00436101" w:rsidRDefault="004361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07A5" w14:textId="77777777" w:rsidR="005C2362" w:rsidRDefault="005C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2D55" w14:textId="77777777" w:rsidR="00623352" w:rsidRDefault="00623352" w:rsidP="00AF1446">
      <w:r>
        <w:separator/>
      </w:r>
    </w:p>
  </w:footnote>
  <w:footnote w:type="continuationSeparator" w:id="0">
    <w:p w14:paraId="48C708CA" w14:textId="77777777" w:rsidR="00623352" w:rsidRDefault="00623352" w:rsidP="00AF1446">
      <w:r>
        <w:continuationSeparator/>
      </w:r>
    </w:p>
  </w:footnote>
  <w:footnote w:type="continuationNotice" w:id="1">
    <w:p w14:paraId="6D0B4CF0" w14:textId="77777777" w:rsidR="00623352" w:rsidRDefault="00623352"/>
  </w:footnote>
  <w:footnote w:id="2">
    <w:p w14:paraId="6A344EFC" w14:textId="01E86A5A" w:rsidR="0011418A" w:rsidRPr="00855095" w:rsidRDefault="0011418A" w:rsidP="00C31608">
      <w:pPr>
        <w:pStyle w:val="FootnoteText"/>
        <w:ind w:firstLine="720"/>
        <w:rPr>
          <w:rFonts w:ascii="Times New Roman" w:hAnsi="Times New Roman" w:cs="Times New Roman"/>
          <w:sz w:val="20"/>
          <w:szCs w:val="20"/>
        </w:rPr>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TCPA is a trade association representing power generation companies and wholesale power marketers with investments in Texas and the Electric Reliability Council of Texas (ERCOT) wholesale electric market. TCPA members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w:t>
      </w:r>
      <w:r w:rsidR="000F76F2">
        <w:rPr>
          <w:rFonts w:ascii="Times New Roman" w:hAnsi="Times New Roman" w:cs="Times New Roman"/>
          <w:sz w:val="20"/>
          <w:szCs w:val="20"/>
        </w:rPr>
        <w:t>own more than 55,000 MW of</w:t>
      </w:r>
      <w:r w:rsidRPr="00855095">
        <w:rPr>
          <w:rFonts w:ascii="Times New Roman" w:hAnsi="Times New Roman" w:cs="Times New Roman"/>
          <w:sz w:val="20"/>
          <w:szCs w:val="20"/>
        </w:rPr>
        <w:t xml:space="preserve"> generating capacity in ERCOT, representing billions of dollars of investment in the state, and employing thousands of Texans. </w:t>
      </w:r>
      <w:r w:rsidRPr="0011418A">
        <w:rPr>
          <w:rFonts w:ascii="Times New Roman" w:hAnsi="Times New Roman" w:cs="Times New Roman"/>
          <w:sz w:val="20"/>
          <w:szCs w:val="20"/>
        </w:rPr>
        <w:t xml:space="preserve">TCPA member companies participating in these comments </w:t>
      </w:r>
      <w:proofErr w:type="gramStart"/>
      <w:r w:rsidRPr="0011418A">
        <w:rPr>
          <w:rFonts w:ascii="Times New Roman" w:hAnsi="Times New Roman" w:cs="Times New Roman"/>
          <w:sz w:val="20"/>
          <w:szCs w:val="20"/>
        </w:rPr>
        <w:t>include:</w:t>
      </w:r>
      <w:proofErr w:type="gramEnd"/>
      <w:r w:rsidRPr="0011418A">
        <w:rPr>
          <w:rFonts w:ascii="Times New Roman" w:hAnsi="Times New Roman" w:cs="Times New Roman"/>
          <w:sz w:val="20"/>
          <w:szCs w:val="20"/>
        </w:rPr>
        <w:t xml:space="preserve"> Calpine, </w:t>
      </w:r>
      <w:proofErr w:type="spellStart"/>
      <w:r w:rsidRPr="0011418A">
        <w:rPr>
          <w:rFonts w:ascii="Times New Roman" w:hAnsi="Times New Roman" w:cs="Times New Roman"/>
          <w:sz w:val="20"/>
          <w:szCs w:val="20"/>
        </w:rPr>
        <w:t>Cogentrix</w:t>
      </w:r>
      <w:proofErr w:type="spellEnd"/>
      <w:r w:rsidRPr="0011418A">
        <w:rPr>
          <w:rFonts w:ascii="Times New Roman" w:hAnsi="Times New Roman" w:cs="Times New Roman"/>
          <w:sz w:val="20"/>
          <w:szCs w:val="20"/>
        </w:rPr>
        <w:t xml:space="preserve">, Constellation (formerly Exelon), EDF Trading North America, </w:t>
      </w:r>
      <w:r w:rsidR="005C2362">
        <w:rPr>
          <w:rFonts w:ascii="Times New Roman" w:hAnsi="Times New Roman" w:cs="Times New Roman"/>
          <w:sz w:val="20"/>
          <w:szCs w:val="20"/>
        </w:rPr>
        <w:t>Hull Street Energy</w:t>
      </w:r>
      <w:r w:rsidRPr="0011418A">
        <w:rPr>
          <w:rFonts w:ascii="Times New Roman" w:hAnsi="Times New Roman" w:cs="Times New Roman"/>
          <w:sz w:val="20"/>
          <w:szCs w:val="20"/>
        </w:rPr>
        <w:t>,</w:t>
      </w:r>
      <w:r w:rsidR="005C2362">
        <w:rPr>
          <w:rFonts w:ascii="Times New Roman" w:hAnsi="Times New Roman" w:cs="Times New Roman"/>
          <w:sz w:val="20"/>
          <w:szCs w:val="20"/>
        </w:rPr>
        <w:t xml:space="preserve"> LS Power,</w:t>
      </w:r>
      <w:r w:rsidRPr="0011418A">
        <w:rPr>
          <w:rFonts w:ascii="Times New Roman" w:hAnsi="Times New Roman" w:cs="Times New Roman"/>
          <w:sz w:val="20"/>
          <w:szCs w:val="20"/>
        </w:rPr>
        <w:t xml:space="preserve"> </w:t>
      </w:r>
      <w:r w:rsidR="005C2362">
        <w:rPr>
          <w:rFonts w:ascii="Times New Roman" w:hAnsi="Times New Roman" w:cs="Times New Roman"/>
          <w:sz w:val="20"/>
          <w:szCs w:val="20"/>
        </w:rPr>
        <w:t>Rockland Capital</w:t>
      </w:r>
      <w:r w:rsidRPr="0011418A">
        <w:rPr>
          <w:rFonts w:ascii="Times New Roman" w:hAnsi="Times New Roman" w:cs="Times New Roman"/>
          <w:sz w:val="20"/>
          <w:szCs w:val="20"/>
        </w:rPr>
        <w:t xml:space="preserve">, </w:t>
      </w:r>
      <w:r w:rsidR="005C2362">
        <w:rPr>
          <w:rFonts w:ascii="Times New Roman" w:hAnsi="Times New Roman" w:cs="Times New Roman"/>
          <w:sz w:val="20"/>
          <w:szCs w:val="20"/>
        </w:rPr>
        <w:t xml:space="preserve">Shell Energy North America, </w:t>
      </w:r>
      <w:r w:rsidRPr="0011418A">
        <w:rPr>
          <w:rFonts w:ascii="Times New Roman" w:hAnsi="Times New Roman" w:cs="Times New Roman"/>
          <w:sz w:val="20"/>
          <w:szCs w:val="20"/>
        </w:rPr>
        <w:t xml:space="preserve">Talen Energy, Tenaska, </w:t>
      </w:r>
      <w:proofErr w:type="spellStart"/>
      <w:r w:rsidRPr="0011418A">
        <w:rPr>
          <w:rFonts w:ascii="Times New Roman" w:hAnsi="Times New Roman" w:cs="Times New Roman"/>
          <w:sz w:val="20"/>
          <w:szCs w:val="20"/>
        </w:rPr>
        <w:t>TexGen</w:t>
      </w:r>
      <w:proofErr w:type="spellEnd"/>
      <w:r w:rsidRPr="0011418A">
        <w:rPr>
          <w:rFonts w:ascii="Times New Roman" w:hAnsi="Times New Roman" w:cs="Times New Roman"/>
          <w:sz w:val="20"/>
          <w:szCs w:val="20"/>
        </w:rPr>
        <w:t xml:space="preserve"> Power,</w:t>
      </w:r>
      <w:r w:rsidR="0006097C">
        <w:rPr>
          <w:rFonts w:ascii="Times New Roman" w:hAnsi="Times New Roman" w:cs="Times New Roman"/>
          <w:sz w:val="20"/>
          <w:szCs w:val="20"/>
        </w:rPr>
        <w:t xml:space="preserve"> </w:t>
      </w:r>
      <w:proofErr w:type="spellStart"/>
      <w:r w:rsidR="005C2362">
        <w:rPr>
          <w:rFonts w:ascii="Times New Roman" w:hAnsi="Times New Roman" w:cs="Times New Roman"/>
          <w:sz w:val="20"/>
          <w:szCs w:val="20"/>
        </w:rPr>
        <w:t>Vistra</w:t>
      </w:r>
      <w:proofErr w:type="spellEnd"/>
      <w:r w:rsidR="005C2362">
        <w:rPr>
          <w:rFonts w:ascii="Times New Roman" w:hAnsi="Times New Roman" w:cs="Times New Roman"/>
          <w:sz w:val="20"/>
          <w:szCs w:val="20"/>
        </w:rPr>
        <w:t>,</w:t>
      </w:r>
      <w:r w:rsidRPr="0011418A">
        <w:rPr>
          <w:rFonts w:ascii="Times New Roman" w:hAnsi="Times New Roman" w:cs="Times New Roman"/>
          <w:sz w:val="20"/>
          <w:szCs w:val="20"/>
        </w:rPr>
        <w:t xml:space="preserve"> and </w:t>
      </w:r>
      <w:proofErr w:type="spellStart"/>
      <w:r w:rsidRPr="0011418A">
        <w:rPr>
          <w:rFonts w:ascii="Times New Roman" w:hAnsi="Times New Roman" w:cs="Times New Roman"/>
          <w:sz w:val="20"/>
          <w:szCs w:val="20"/>
        </w:rPr>
        <w:t>WattBridge</w:t>
      </w:r>
      <w:proofErr w:type="spellEnd"/>
      <w:r w:rsidRPr="0011418A">
        <w:rPr>
          <w:rFonts w:ascii="Times New Roman" w:hAnsi="Times New Roman" w:cs="Times New Roman"/>
          <w:sz w:val="20"/>
          <w:szCs w:val="20"/>
        </w:rPr>
        <w:t>.</w:t>
      </w:r>
      <w:r w:rsidR="00624399">
        <w:rPr>
          <w:rFonts w:ascii="Times New Roman" w:hAnsi="Times New Roman" w:cs="Times New Roman"/>
          <w:sz w:val="20"/>
          <w:szCs w:val="20"/>
        </w:rPr>
        <w:t xml:space="preserve"> NRG is filing company comments separately.</w:t>
      </w:r>
    </w:p>
  </w:footnote>
  <w:footnote w:id="3">
    <w:p w14:paraId="794A284A" w14:textId="6BFBF006" w:rsidR="7A4D0CE6" w:rsidRDefault="7A4D0CE6" w:rsidP="00FE3605">
      <w:pPr>
        <w:pStyle w:val="FootnoteText"/>
        <w:rPr>
          <w:rFonts w:ascii="Times New Roman" w:eastAsia="Times New Roman" w:hAnsi="Times New Roman" w:cs="Times New Roman"/>
          <w:sz w:val="20"/>
          <w:szCs w:val="20"/>
        </w:rPr>
      </w:pPr>
      <w:r w:rsidRPr="7A4D0CE6">
        <w:rPr>
          <w:rStyle w:val="FootnoteReference"/>
        </w:rPr>
        <w:footnoteRef/>
      </w:r>
      <w:r>
        <w:t xml:space="preserve"> </w:t>
      </w:r>
      <w:r w:rsidRPr="7A4D0CE6">
        <w:rPr>
          <w:rFonts w:ascii="Times New Roman" w:eastAsia="Times New Roman" w:hAnsi="Times New Roman" w:cs="Times New Roman"/>
          <w:sz w:val="20"/>
          <w:szCs w:val="20"/>
        </w:rPr>
        <w:t xml:space="preserve">Project No. 54585, Staff Questions for Stakeholder Comment (Jul. 25, 2023) (setting deadline of August 15, </w:t>
      </w:r>
      <w:proofErr w:type="gramStart"/>
      <w:r w:rsidRPr="7A4D0CE6">
        <w:rPr>
          <w:rFonts w:ascii="Times New Roman" w:eastAsia="Times New Roman" w:hAnsi="Times New Roman" w:cs="Times New Roman"/>
          <w:sz w:val="20"/>
          <w:szCs w:val="20"/>
        </w:rPr>
        <w:t>2023</w:t>
      </w:r>
      <w:proofErr w:type="gramEnd"/>
      <w:r w:rsidRPr="7A4D0CE6">
        <w:rPr>
          <w:rFonts w:ascii="Times New Roman" w:eastAsia="Times New Roman" w:hAnsi="Times New Roman" w:cs="Times New Roman"/>
          <w:sz w:val="20"/>
          <w:szCs w:val="20"/>
        </w:rPr>
        <w:t xml:space="preserve"> for stakeholder comments).</w:t>
      </w:r>
    </w:p>
  </w:footnote>
  <w:footnote w:id="4">
    <w:p w14:paraId="50438BF8" w14:textId="4F948532" w:rsidR="7A4D0CE6" w:rsidRPr="00023E22" w:rsidRDefault="7A4D0CE6" w:rsidP="00FE3605">
      <w:pPr>
        <w:pStyle w:val="FootnoteText"/>
        <w:rPr>
          <w:rFonts w:ascii="Times New Roman" w:hAnsi="Times New Roman" w:cs="Times New Roman"/>
          <w:sz w:val="20"/>
          <w:szCs w:val="20"/>
        </w:rPr>
      </w:pPr>
      <w:r w:rsidRPr="00023E22">
        <w:rPr>
          <w:rStyle w:val="FootnoteReference"/>
          <w:rFonts w:ascii="Times New Roman" w:hAnsi="Times New Roman" w:cs="Times New Roman"/>
          <w:sz w:val="20"/>
          <w:szCs w:val="20"/>
        </w:rPr>
        <w:footnoteRef/>
      </w:r>
      <w:r w:rsidRPr="00023E22">
        <w:rPr>
          <w:rFonts w:ascii="Times New Roman" w:hAnsi="Times New Roman" w:cs="Times New Roman"/>
          <w:sz w:val="20"/>
          <w:szCs w:val="20"/>
        </w:rPr>
        <w:t xml:space="preserve"> </w:t>
      </w:r>
      <w:r w:rsidRPr="00023E22">
        <w:rPr>
          <w:rFonts w:ascii="Times New Roman" w:eastAsia="Cambria" w:hAnsi="Times New Roman" w:cs="Times New Roman"/>
          <w:sz w:val="20"/>
          <w:szCs w:val="20"/>
        </w:rPr>
        <w:t xml:space="preserve">Tex. </w:t>
      </w:r>
      <w:proofErr w:type="spellStart"/>
      <w:r w:rsidRPr="00023E22">
        <w:rPr>
          <w:rFonts w:ascii="Times New Roman" w:eastAsia="Cambria" w:hAnsi="Times New Roman" w:cs="Times New Roman"/>
          <w:sz w:val="20"/>
          <w:szCs w:val="20"/>
        </w:rPr>
        <w:t>Uti</w:t>
      </w:r>
      <w:proofErr w:type="spellEnd"/>
      <w:r w:rsidRPr="00023E22">
        <w:rPr>
          <w:rFonts w:ascii="Times New Roman" w:eastAsia="Cambria" w:hAnsi="Times New Roman" w:cs="Times New Roman"/>
          <w:sz w:val="20"/>
          <w:szCs w:val="20"/>
        </w:rPr>
        <w:t>. Code §§ 11.001-66.016 (“PURA”).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100B" w14:textId="77777777" w:rsidR="005C2362" w:rsidRDefault="005C2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856" w14:textId="5F730D56" w:rsidR="005C2362" w:rsidRDefault="005C2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243D" w14:textId="77777777" w:rsidR="005C2362" w:rsidRDefault="005C2362">
    <w:pPr>
      <w:pStyle w:val="Header"/>
    </w:pPr>
  </w:p>
</w:hdr>
</file>

<file path=word/intelligence2.xml><?xml version="1.0" encoding="utf-8"?>
<int2:intelligence xmlns:int2="http://schemas.microsoft.com/office/intelligence/2020/intelligence" xmlns:oel="http://schemas.microsoft.com/office/2019/extlst">
  <int2:observations>
    <int2:textHash int2:hashCode="D81qOlW0MANWx8" int2:id="BmoMLyf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6042265C"/>
    <w:lvl w:ilvl="0" w:tplc="F8104106">
      <w:start w:val="7"/>
      <w:numFmt w:val="lowerLetter"/>
      <w:lvlText w:val="(%1)"/>
      <w:lvlJc w:val="left"/>
    </w:lvl>
    <w:lvl w:ilvl="1" w:tplc="EAAEBA7A">
      <w:numFmt w:val="decimal"/>
      <w:lvlText w:val=""/>
      <w:lvlJc w:val="left"/>
    </w:lvl>
    <w:lvl w:ilvl="2" w:tplc="8E84F138">
      <w:numFmt w:val="decimal"/>
      <w:lvlText w:val=""/>
      <w:lvlJc w:val="left"/>
    </w:lvl>
    <w:lvl w:ilvl="3" w:tplc="96E2CABA">
      <w:numFmt w:val="decimal"/>
      <w:lvlText w:val=""/>
      <w:lvlJc w:val="left"/>
    </w:lvl>
    <w:lvl w:ilvl="4" w:tplc="C3F4EFE0">
      <w:numFmt w:val="decimal"/>
      <w:lvlText w:val=""/>
      <w:lvlJc w:val="left"/>
    </w:lvl>
    <w:lvl w:ilvl="5" w:tplc="0F3CAE60">
      <w:numFmt w:val="decimal"/>
      <w:lvlText w:val=""/>
      <w:lvlJc w:val="left"/>
    </w:lvl>
    <w:lvl w:ilvl="6" w:tplc="476ED36A">
      <w:numFmt w:val="decimal"/>
      <w:lvlText w:val=""/>
      <w:lvlJc w:val="left"/>
    </w:lvl>
    <w:lvl w:ilvl="7" w:tplc="049E74FA">
      <w:numFmt w:val="decimal"/>
      <w:lvlText w:val=""/>
      <w:lvlJc w:val="left"/>
    </w:lvl>
    <w:lvl w:ilvl="8" w:tplc="FF90FDE2">
      <w:numFmt w:val="decimal"/>
      <w:lvlText w:val=""/>
      <w:lvlJc w:val="left"/>
    </w:lvl>
  </w:abstractNum>
  <w:abstractNum w:abstractNumId="1" w15:restartNumberingAfterBreak="0">
    <w:nsid w:val="00004D06"/>
    <w:multiLevelType w:val="hybridMultilevel"/>
    <w:tmpl w:val="E660B834"/>
    <w:lvl w:ilvl="0" w:tplc="45D46368">
      <w:start w:val="1"/>
      <w:numFmt w:val="lowerLetter"/>
      <w:lvlText w:val="(%1)"/>
      <w:lvlJc w:val="left"/>
    </w:lvl>
    <w:lvl w:ilvl="1" w:tplc="00E8112A">
      <w:start w:val="1"/>
      <w:numFmt w:val="decimal"/>
      <w:lvlText w:val="(%2)"/>
      <w:lvlJc w:val="left"/>
    </w:lvl>
    <w:lvl w:ilvl="2" w:tplc="BBAA2036">
      <w:numFmt w:val="decimal"/>
      <w:lvlText w:val=""/>
      <w:lvlJc w:val="left"/>
    </w:lvl>
    <w:lvl w:ilvl="3" w:tplc="3112C754">
      <w:numFmt w:val="decimal"/>
      <w:lvlText w:val=""/>
      <w:lvlJc w:val="left"/>
    </w:lvl>
    <w:lvl w:ilvl="4" w:tplc="7A242630">
      <w:numFmt w:val="decimal"/>
      <w:lvlText w:val=""/>
      <w:lvlJc w:val="left"/>
    </w:lvl>
    <w:lvl w:ilvl="5" w:tplc="56685954">
      <w:numFmt w:val="decimal"/>
      <w:lvlText w:val=""/>
      <w:lvlJc w:val="left"/>
    </w:lvl>
    <w:lvl w:ilvl="6" w:tplc="699AB008">
      <w:numFmt w:val="decimal"/>
      <w:lvlText w:val=""/>
      <w:lvlJc w:val="left"/>
    </w:lvl>
    <w:lvl w:ilvl="7" w:tplc="A246F7D2">
      <w:numFmt w:val="decimal"/>
      <w:lvlText w:val=""/>
      <w:lvlJc w:val="left"/>
    </w:lvl>
    <w:lvl w:ilvl="8" w:tplc="ECC6106A">
      <w:numFmt w:val="decimal"/>
      <w:lvlText w:val=""/>
      <w:lvlJc w:val="left"/>
    </w:lvl>
  </w:abstractNum>
  <w:abstractNum w:abstractNumId="2" w15:restartNumberingAfterBreak="0">
    <w:nsid w:val="040F64BA"/>
    <w:multiLevelType w:val="hybridMultilevel"/>
    <w:tmpl w:val="19AA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8DA"/>
    <w:multiLevelType w:val="hybridMultilevel"/>
    <w:tmpl w:val="2662E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B115C"/>
    <w:multiLevelType w:val="hybridMultilevel"/>
    <w:tmpl w:val="6D8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878B1"/>
    <w:multiLevelType w:val="hybridMultilevel"/>
    <w:tmpl w:val="BDAE5724"/>
    <w:lvl w:ilvl="0" w:tplc="3FC02F12">
      <w:start w:val="4"/>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C7AFB"/>
    <w:multiLevelType w:val="hybridMultilevel"/>
    <w:tmpl w:val="BDAE5724"/>
    <w:lvl w:ilvl="0" w:tplc="FFFFFFFF">
      <w:start w:val="4"/>
      <w:numFmt w:val="lowerRoman"/>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205EC"/>
    <w:multiLevelType w:val="hybridMultilevel"/>
    <w:tmpl w:val="B7B4ED5C"/>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5A83"/>
    <w:multiLevelType w:val="hybridMultilevel"/>
    <w:tmpl w:val="1910D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73B31"/>
    <w:multiLevelType w:val="hybridMultilevel"/>
    <w:tmpl w:val="EE8C0296"/>
    <w:lvl w:ilvl="0" w:tplc="ECA6328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27A80"/>
    <w:multiLevelType w:val="hybridMultilevel"/>
    <w:tmpl w:val="C480D92E"/>
    <w:lvl w:ilvl="0" w:tplc="93BAAA84">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977C7"/>
    <w:multiLevelType w:val="hybridMultilevel"/>
    <w:tmpl w:val="30AA4BE2"/>
    <w:lvl w:ilvl="0" w:tplc="D662FF42">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15989"/>
    <w:multiLevelType w:val="hybridMultilevel"/>
    <w:tmpl w:val="5B007748"/>
    <w:lvl w:ilvl="0" w:tplc="9412F9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A3C75"/>
    <w:multiLevelType w:val="hybridMultilevel"/>
    <w:tmpl w:val="4934B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6603B"/>
    <w:multiLevelType w:val="hybridMultilevel"/>
    <w:tmpl w:val="1C4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E0585"/>
    <w:multiLevelType w:val="hybridMultilevel"/>
    <w:tmpl w:val="02B2D9BE"/>
    <w:lvl w:ilvl="0" w:tplc="754C431E">
      <w:start w:val="3"/>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30E70"/>
    <w:multiLevelType w:val="hybridMultilevel"/>
    <w:tmpl w:val="58CAC864"/>
    <w:lvl w:ilvl="0" w:tplc="19C852C4">
      <w:start w:val="7"/>
      <w:numFmt w:val="upperLetter"/>
      <w:lvlText w:val="(%1)"/>
      <w:lvlJc w:val="left"/>
      <w:pPr>
        <w:ind w:left="1890" w:hanging="180"/>
      </w:pPr>
      <w:rPr>
        <w:rFonts w:hint="default"/>
        <w:strike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EF74A1"/>
    <w:multiLevelType w:val="hybridMultilevel"/>
    <w:tmpl w:val="296EC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EB7A4E"/>
    <w:multiLevelType w:val="hybridMultilevel"/>
    <w:tmpl w:val="A9BA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C4FBE"/>
    <w:multiLevelType w:val="hybridMultilevel"/>
    <w:tmpl w:val="373434F8"/>
    <w:lvl w:ilvl="0" w:tplc="38209DB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9F3266"/>
    <w:multiLevelType w:val="hybridMultilevel"/>
    <w:tmpl w:val="1870034E"/>
    <w:lvl w:ilvl="0" w:tplc="455C6A7C">
      <w:start w:val="1"/>
      <w:numFmt w:val="upperLetter"/>
      <w:lvlText w:val="%1."/>
      <w:lvlJc w:val="left"/>
      <w:pPr>
        <w:ind w:left="720" w:hanging="360"/>
      </w:pPr>
      <w:rPr>
        <w:b/>
        <w:bCs w:val="0"/>
      </w:rPr>
    </w:lvl>
    <w:lvl w:ilvl="1" w:tplc="0409000F">
      <w:start w:val="1"/>
      <w:numFmt w:val="decimal"/>
      <w:lvlText w:val="%2."/>
      <w:lvlJc w:val="left"/>
      <w:pPr>
        <w:ind w:left="1440" w:hanging="360"/>
      </w:pPr>
      <w:rPr>
        <w:b/>
        <w:bCs/>
      </w:rPr>
    </w:lvl>
    <w:lvl w:ilvl="2" w:tplc="AC42F8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077F8"/>
    <w:multiLevelType w:val="hybridMultilevel"/>
    <w:tmpl w:val="BA0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0471F"/>
    <w:multiLevelType w:val="hybridMultilevel"/>
    <w:tmpl w:val="62D4F122"/>
    <w:lvl w:ilvl="0" w:tplc="BCDE3A64">
      <w:start w:val="5"/>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917C4"/>
    <w:multiLevelType w:val="hybridMultilevel"/>
    <w:tmpl w:val="1870034E"/>
    <w:lvl w:ilvl="0" w:tplc="FFFFFFFF">
      <w:start w:val="1"/>
      <w:numFmt w:val="upperLetter"/>
      <w:lvlText w:val="%1."/>
      <w:lvlJc w:val="left"/>
      <w:pPr>
        <w:ind w:left="720" w:hanging="360"/>
      </w:pPr>
      <w:rPr>
        <w:b/>
        <w:bCs w:val="0"/>
      </w:rPr>
    </w:lvl>
    <w:lvl w:ilvl="1" w:tplc="FFFFFFFF">
      <w:start w:val="1"/>
      <w:numFmt w:val="decimal"/>
      <w:lvlText w:val="%2."/>
      <w:lvlJc w:val="left"/>
      <w:pPr>
        <w:ind w:left="1440" w:hanging="360"/>
      </w:pPr>
      <w:rPr>
        <w:b/>
        <w:bCs/>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1950EA"/>
    <w:multiLevelType w:val="hybridMultilevel"/>
    <w:tmpl w:val="B0564D3C"/>
    <w:lvl w:ilvl="0" w:tplc="FFFFFFFF">
      <w:numFmt w:val="decimal"/>
      <w:lvlText w:val=""/>
      <w:lvlJc w:val="left"/>
    </w:lvl>
    <w:lvl w:ilvl="1" w:tplc="FFFFFFFF">
      <w:start w:val="1"/>
      <w:numFmt w:val="decimal"/>
      <w:lvlText w:val="(%2)"/>
      <w:lvlJc w:val="left"/>
      <w:pPr>
        <w:ind w:left="1440" w:hanging="360"/>
      </w:pPr>
    </w:lvl>
    <w:lvl w:ilvl="2" w:tplc="FFFFFFFF">
      <w:start w:val="1"/>
      <w:numFmt w:val="upperLetter"/>
      <w:lvlText w:val="(%3)"/>
      <w:lvlJc w:val="left"/>
      <w:pPr>
        <w:ind w:left="2160" w:hanging="180"/>
      </w:pPr>
    </w:lvl>
    <w:lvl w:ilvl="3" w:tplc="BC965232">
      <w:start w:val="1"/>
      <w:numFmt w:val="lowerRoman"/>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9E3698"/>
    <w:multiLevelType w:val="hybridMultilevel"/>
    <w:tmpl w:val="6A98A752"/>
    <w:lvl w:ilvl="0" w:tplc="149ACDA4">
      <w:start w:val="1"/>
      <w:numFmt w:val="lowerLetter"/>
      <w:lvlText w:val="(%1)"/>
      <w:lvlJc w:val="left"/>
      <w:pPr>
        <w:ind w:left="1080" w:hanging="360"/>
      </w:pPr>
      <w:rPr>
        <w:rFonts w:hint="default"/>
        <w:u w:val="none"/>
      </w:rPr>
    </w:lvl>
    <w:lvl w:ilvl="1" w:tplc="DFD8F0DE">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AF26BF"/>
    <w:multiLevelType w:val="hybridMultilevel"/>
    <w:tmpl w:val="79645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940F6"/>
    <w:multiLevelType w:val="hybridMultilevel"/>
    <w:tmpl w:val="7CC2C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F24C3"/>
    <w:multiLevelType w:val="hybridMultilevel"/>
    <w:tmpl w:val="FCFE36B8"/>
    <w:lvl w:ilvl="0" w:tplc="CA884796">
      <w:start w:val="9"/>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23436"/>
    <w:multiLevelType w:val="hybridMultilevel"/>
    <w:tmpl w:val="5DC25FD8"/>
    <w:lvl w:ilvl="0" w:tplc="39420F0E">
      <w:start w:val="3"/>
      <w:numFmt w:val="decimal"/>
      <w:lvlText w:val="(%1)"/>
      <w:lvlJc w:val="left"/>
      <w:pPr>
        <w:ind w:left="144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3C4"/>
    <w:multiLevelType w:val="hybridMultilevel"/>
    <w:tmpl w:val="126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470F5"/>
    <w:multiLevelType w:val="hybridMultilevel"/>
    <w:tmpl w:val="A9DE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46CC8"/>
    <w:multiLevelType w:val="hybridMultilevel"/>
    <w:tmpl w:val="450EB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E5E21"/>
    <w:multiLevelType w:val="hybridMultilevel"/>
    <w:tmpl w:val="B1F48600"/>
    <w:lvl w:ilvl="0" w:tplc="BC965232">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2724E5C"/>
    <w:multiLevelType w:val="hybridMultilevel"/>
    <w:tmpl w:val="17CAE75C"/>
    <w:lvl w:ilvl="0" w:tplc="686EC7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274A0"/>
    <w:multiLevelType w:val="hybridMultilevel"/>
    <w:tmpl w:val="6E6A6C2E"/>
    <w:lvl w:ilvl="0" w:tplc="699AB008">
      <w:numFmt w:val="decimal"/>
      <w:lvlText w:val=""/>
      <w:lvlJc w:val="left"/>
    </w:lvl>
    <w:lvl w:ilvl="1" w:tplc="DFD8F0DE">
      <w:start w:val="1"/>
      <w:numFmt w:val="decimal"/>
      <w:lvlText w:val="(%2)"/>
      <w:lvlJc w:val="left"/>
      <w:pPr>
        <w:ind w:left="1440" w:hanging="360"/>
      </w:pPr>
    </w:lvl>
    <w:lvl w:ilvl="2" w:tplc="465EF95E">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D4763"/>
    <w:multiLevelType w:val="hybridMultilevel"/>
    <w:tmpl w:val="E4E6FD94"/>
    <w:lvl w:ilvl="0" w:tplc="E31AFDF2">
      <w:start w:val="8"/>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C1F47"/>
    <w:multiLevelType w:val="hybridMultilevel"/>
    <w:tmpl w:val="59A69714"/>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610B6"/>
    <w:multiLevelType w:val="hybridMultilevel"/>
    <w:tmpl w:val="894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C7ADA"/>
    <w:multiLevelType w:val="hybridMultilevel"/>
    <w:tmpl w:val="EB1E7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64B03"/>
    <w:multiLevelType w:val="hybridMultilevel"/>
    <w:tmpl w:val="E4BE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928349">
    <w:abstractNumId w:val="14"/>
  </w:num>
  <w:num w:numId="2" w16cid:durableId="1424448643">
    <w:abstractNumId w:val="4"/>
  </w:num>
  <w:num w:numId="3" w16cid:durableId="153766529">
    <w:abstractNumId w:val="25"/>
  </w:num>
  <w:num w:numId="4" w16cid:durableId="151484035">
    <w:abstractNumId w:val="1"/>
  </w:num>
  <w:num w:numId="5" w16cid:durableId="228880393">
    <w:abstractNumId w:val="35"/>
  </w:num>
  <w:num w:numId="6" w16cid:durableId="554585577">
    <w:abstractNumId w:val="20"/>
  </w:num>
  <w:num w:numId="7" w16cid:durableId="1290359993">
    <w:abstractNumId w:val="12"/>
  </w:num>
  <w:num w:numId="8" w16cid:durableId="489297001">
    <w:abstractNumId w:val="3"/>
  </w:num>
  <w:num w:numId="9" w16cid:durableId="598373515">
    <w:abstractNumId w:val="27"/>
  </w:num>
  <w:num w:numId="10" w16cid:durableId="675496908">
    <w:abstractNumId w:val="32"/>
  </w:num>
  <w:num w:numId="11" w16cid:durableId="2016959285">
    <w:abstractNumId w:val="39"/>
  </w:num>
  <w:num w:numId="12" w16cid:durableId="263271618">
    <w:abstractNumId w:val="13"/>
  </w:num>
  <w:num w:numId="13" w16cid:durableId="1368405552">
    <w:abstractNumId w:val="26"/>
  </w:num>
  <w:num w:numId="14" w16cid:durableId="873886428">
    <w:abstractNumId w:val="8"/>
  </w:num>
  <w:num w:numId="15" w16cid:durableId="874081447">
    <w:abstractNumId w:val="9"/>
  </w:num>
  <w:num w:numId="16" w16cid:durableId="1931238588">
    <w:abstractNumId w:val="28"/>
  </w:num>
  <w:num w:numId="17" w16cid:durableId="1356541976">
    <w:abstractNumId w:val="24"/>
  </w:num>
  <w:num w:numId="18" w16cid:durableId="1067531787">
    <w:abstractNumId w:val="5"/>
  </w:num>
  <w:num w:numId="19" w16cid:durableId="131100724">
    <w:abstractNumId w:val="33"/>
  </w:num>
  <w:num w:numId="20" w16cid:durableId="1053189971">
    <w:abstractNumId w:val="6"/>
  </w:num>
  <w:num w:numId="21" w16cid:durableId="601259996">
    <w:abstractNumId w:val="16"/>
  </w:num>
  <w:num w:numId="22" w16cid:durableId="532813185">
    <w:abstractNumId w:val="7"/>
  </w:num>
  <w:num w:numId="23" w16cid:durableId="202256340">
    <w:abstractNumId w:val="36"/>
  </w:num>
  <w:num w:numId="24" w16cid:durableId="171143256">
    <w:abstractNumId w:val="10"/>
  </w:num>
  <w:num w:numId="25" w16cid:durableId="957108365">
    <w:abstractNumId w:val="0"/>
  </w:num>
  <w:num w:numId="26" w16cid:durableId="713887097">
    <w:abstractNumId w:val="21"/>
  </w:num>
  <w:num w:numId="27" w16cid:durableId="342513052">
    <w:abstractNumId w:val="29"/>
  </w:num>
  <w:num w:numId="28" w16cid:durableId="1946574862">
    <w:abstractNumId w:val="37"/>
  </w:num>
  <w:num w:numId="29" w16cid:durableId="279723331">
    <w:abstractNumId w:val="15"/>
  </w:num>
  <w:num w:numId="30" w16cid:durableId="230391109">
    <w:abstractNumId w:val="22"/>
  </w:num>
  <w:num w:numId="31" w16cid:durableId="94328194">
    <w:abstractNumId w:val="11"/>
  </w:num>
  <w:num w:numId="32" w16cid:durableId="835196101">
    <w:abstractNumId w:val="17"/>
  </w:num>
  <w:num w:numId="33" w16cid:durableId="233782366">
    <w:abstractNumId w:val="23"/>
  </w:num>
  <w:num w:numId="34" w16cid:durableId="616179790">
    <w:abstractNumId w:val="19"/>
  </w:num>
  <w:num w:numId="35" w16cid:durableId="334920695">
    <w:abstractNumId w:val="34"/>
  </w:num>
  <w:num w:numId="36" w16cid:durableId="2095201181">
    <w:abstractNumId w:val="30"/>
  </w:num>
  <w:num w:numId="37" w16cid:durableId="1403330782">
    <w:abstractNumId w:val="38"/>
  </w:num>
  <w:num w:numId="38" w16cid:durableId="1638074390">
    <w:abstractNumId w:val="18"/>
  </w:num>
  <w:num w:numId="39" w16cid:durableId="1422293411">
    <w:abstractNumId w:val="40"/>
  </w:num>
  <w:num w:numId="40" w16cid:durableId="1060330318">
    <w:abstractNumId w:val="31"/>
  </w:num>
  <w:num w:numId="41" w16cid:durableId="192231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46"/>
    <w:rsid w:val="000002B3"/>
    <w:rsid w:val="000023F4"/>
    <w:rsid w:val="0002171A"/>
    <w:rsid w:val="00023E22"/>
    <w:rsid w:val="00027D49"/>
    <w:rsid w:val="00032DD5"/>
    <w:rsid w:val="00034906"/>
    <w:rsid w:val="00042800"/>
    <w:rsid w:val="000448CA"/>
    <w:rsid w:val="00046C46"/>
    <w:rsid w:val="000470B5"/>
    <w:rsid w:val="00047366"/>
    <w:rsid w:val="000541D4"/>
    <w:rsid w:val="00060774"/>
    <w:rsid w:val="0006097C"/>
    <w:rsid w:val="00061A66"/>
    <w:rsid w:val="0006560A"/>
    <w:rsid w:val="00067076"/>
    <w:rsid w:val="00072FB6"/>
    <w:rsid w:val="0007768D"/>
    <w:rsid w:val="00086AD5"/>
    <w:rsid w:val="0008738F"/>
    <w:rsid w:val="000A250F"/>
    <w:rsid w:val="000A28D7"/>
    <w:rsid w:val="000A46BE"/>
    <w:rsid w:val="000A7927"/>
    <w:rsid w:val="000B1615"/>
    <w:rsid w:val="000B4910"/>
    <w:rsid w:val="000B7E64"/>
    <w:rsid w:val="000C0948"/>
    <w:rsid w:val="000C0B1A"/>
    <w:rsid w:val="000C6468"/>
    <w:rsid w:val="000D006A"/>
    <w:rsid w:val="000D0598"/>
    <w:rsid w:val="000D0AA0"/>
    <w:rsid w:val="000D18BA"/>
    <w:rsid w:val="000D3B55"/>
    <w:rsid w:val="000D3D91"/>
    <w:rsid w:val="000D529C"/>
    <w:rsid w:val="000E3D45"/>
    <w:rsid w:val="000E3FFB"/>
    <w:rsid w:val="000E43FC"/>
    <w:rsid w:val="000E4D8E"/>
    <w:rsid w:val="000E64BF"/>
    <w:rsid w:val="000F1924"/>
    <w:rsid w:val="000F76F2"/>
    <w:rsid w:val="00107439"/>
    <w:rsid w:val="00113EB3"/>
    <w:rsid w:val="0011418A"/>
    <w:rsid w:val="00114DD9"/>
    <w:rsid w:val="00116907"/>
    <w:rsid w:val="0012041D"/>
    <w:rsid w:val="0012155F"/>
    <w:rsid w:val="00121751"/>
    <w:rsid w:val="00124804"/>
    <w:rsid w:val="001253C7"/>
    <w:rsid w:val="00126DA7"/>
    <w:rsid w:val="001279D6"/>
    <w:rsid w:val="00130184"/>
    <w:rsid w:val="00131877"/>
    <w:rsid w:val="00132E60"/>
    <w:rsid w:val="001348A4"/>
    <w:rsid w:val="00140CC3"/>
    <w:rsid w:val="00144AC4"/>
    <w:rsid w:val="0014553B"/>
    <w:rsid w:val="001460B0"/>
    <w:rsid w:val="001516D7"/>
    <w:rsid w:val="00151F74"/>
    <w:rsid w:val="001555F5"/>
    <w:rsid w:val="0015675E"/>
    <w:rsid w:val="00157B84"/>
    <w:rsid w:val="00163C20"/>
    <w:rsid w:val="0017175C"/>
    <w:rsid w:val="00171941"/>
    <w:rsid w:val="00171FF4"/>
    <w:rsid w:val="00173DC7"/>
    <w:rsid w:val="001765C5"/>
    <w:rsid w:val="00176A2A"/>
    <w:rsid w:val="001875EC"/>
    <w:rsid w:val="001918F1"/>
    <w:rsid w:val="001952A5"/>
    <w:rsid w:val="001A135C"/>
    <w:rsid w:val="001A371A"/>
    <w:rsid w:val="001A4191"/>
    <w:rsid w:val="001A49C5"/>
    <w:rsid w:val="001A4D72"/>
    <w:rsid w:val="001A6228"/>
    <w:rsid w:val="001A666C"/>
    <w:rsid w:val="001B3C81"/>
    <w:rsid w:val="001B5D20"/>
    <w:rsid w:val="001B6850"/>
    <w:rsid w:val="001B7686"/>
    <w:rsid w:val="001C14E7"/>
    <w:rsid w:val="001C227C"/>
    <w:rsid w:val="001C4B7A"/>
    <w:rsid w:val="001C4C46"/>
    <w:rsid w:val="001C5A5D"/>
    <w:rsid w:val="001D02E6"/>
    <w:rsid w:val="001D4BE3"/>
    <w:rsid w:val="001D69D6"/>
    <w:rsid w:val="001D7885"/>
    <w:rsid w:val="001D7EF2"/>
    <w:rsid w:val="001E14D1"/>
    <w:rsid w:val="001E1D10"/>
    <w:rsid w:val="001E23BD"/>
    <w:rsid w:val="001E44EB"/>
    <w:rsid w:val="001F3022"/>
    <w:rsid w:val="001F448A"/>
    <w:rsid w:val="001F5B44"/>
    <w:rsid w:val="00200C35"/>
    <w:rsid w:val="00203BF9"/>
    <w:rsid w:val="00203E69"/>
    <w:rsid w:val="002040B5"/>
    <w:rsid w:val="002114EC"/>
    <w:rsid w:val="00213FE4"/>
    <w:rsid w:val="002152F6"/>
    <w:rsid w:val="00215C75"/>
    <w:rsid w:val="002174A6"/>
    <w:rsid w:val="00225E91"/>
    <w:rsid w:val="0022662C"/>
    <w:rsid w:val="00226B43"/>
    <w:rsid w:val="0023671E"/>
    <w:rsid w:val="00236A61"/>
    <w:rsid w:val="002379E1"/>
    <w:rsid w:val="00240B0D"/>
    <w:rsid w:val="00242B62"/>
    <w:rsid w:val="00243613"/>
    <w:rsid w:val="00243B0F"/>
    <w:rsid w:val="00244341"/>
    <w:rsid w:val="0024565E"/>
    <w:rsid w:val="0024634D"/>
    <w:rsid w:val="002653BF"/>
    <w:rsid w:val="002666F6"/>
    <w:rsid w:val="00267EA8"/>
    <w:rsid w:val="002709A7"/>
    <w:rsid w:val="00281E7B"/>
    <w:rsid w:val="00284883"/>
    <w:rsid w:val="00294C11"/>
    <w:rsid w:val="00296296"/>
    <w:rsid w:val="002A1FCB"/>
    <w:rsid w:val="002A57F7"/>
    <w:rsid w:val="002A6EB6"/>
    <w:rsid w:val="002C113B"/>
    <w:rsid w:val="002C4F86"/>
    <w:rsid w:val="002C5A90"/>
    <w:rsid w:val="002C7B5A"/>
    <w:rsid w:val="002D756B"/>
    <w:rsid w:val="002E11EA"/>
    <w:rsid w:val="002E2F76"/>
    <w:rsid w:val="002E4463"/>
    <w:rsid w:val="002E49A9"/>
    <w:rsid w:val="002E5221"/>
    <w:rsid w:val="002F0AC0"/>
    <w:rsid w:val="002F2147"/>
    <w:rsid w:val="002F43AF"/>
    <w:rsid w:val="002F750C"/>
    <w:rsid w:val="00306E68"/>
    <w:rsid w:val="00307D53"/>
    <w:rsid w:val="00307F63"/>
    <w:rsid w:val="00311AA4"/>
    <w:rsid w:val="0031270B"/>
    <w:rsid w:val="0031721D"/>
    <w:rsid w:val="0032018B"/>
    <w:rsid w:val="00321139"/>
    <w:rsid w:val="003222A6"/>
    <w:rsid w:val="00323186"/>
    <w:rsid w:val="003279E9"/>
    <w:rsid w:val="00330929"/>
    <w:rsid w:val="00330CC6"/>
    <w:rsid w:val="003322CD"/>
    <w:rsid w:val="00333188"/>
    <w:rsid w:val="003332D1"/>
    <w:rsid w:val="0034355A"/>
    <w:rsid w:val="00343ADA"/>
    <w:rsid w:val="00345503"/>
    <w:rsid w:val="0035218A"/>
    <w:rsid w:val="00352E52"/>
    <w:rsid w:val="00360C2D"/>
    <w:rsid w:val="00361D5D"/>
    <w:rsid w:val="003772FD"/>
    <w:rsid w:val="0038111A"/>
    <w:rsid w:val="00382B92"/>
    <w:rsid w:val="00382E73"/>
    <w:rsid w:val="00384F28"/>
    <w:rsid w:val="00386992"/>
    <w:rsid w:val="00386ABE"/>
    <w:rsid w:val="0039088D"/>
    <w:rsid w:val="003A1264"/>
    <w:rsid w:val="003A186B"/>
    <w:rsid w:val="003A3A8C"/>
    <w:rsid w:val="003A5C58"/>
    <w:rsid w:val="003B26A9"/>
    <w:rsid w:val="003B3AC6"/>
    <w:rsid w:val="003B4AA5"/>
    <w:rsid w:val="003B507C"/>
    <w:rsid w:val="003B5FBE"/>
    <w:rsid w:val="003B776B"/>
    <w:rsid w:val="003C310D"/>
    <w:rsid w:val="003C48FC"/>
    <w:rsid w:val="003C516E"/>
    <w:rsid w:val="003D0743"/>
    <w:rsid w:val="003D0C93"/>
    <w:rsid w:val="003D0E9C"/>
    <w:rsid w:val="003D184E"/>
    <w:rsid w:val="003D4730"/>
    <w:rsid w:val="003D4E7D"/>
    <w:rsid w:val="003D5964"/>
    <w:rsid w:val="003D6470"/>
    <w:rsid w:val="003D793F"/>
    <w:rsid w:val="003E1621"/>
    <w:rsid w:val="003E261E"/>
    <w:rsid w:val="003E400F"/>
    <w:rsid w:val="003E423B"/>
    <w:rsid w:val="003E4F58"/>
    <w:rsid w:val="003E6FD7"/>
    <w:rsid w:val="003F23C6"/>
    <w:rsid w:val="003F5719"/>
    <w:rsid w:val="00402227"/>
    <w:rsid w:val="0040294D"/>
    <w:rsid w:val="004070DB"/>
    <w:rsid w:val="00412FF2"/>
    <w:rsid w:val="00415A88"/>
    <w:rsid w:val="00416016"/>
    <w:rsid w:val="00416D96"/>
    <w:rsid w:val="0042151B"/>
    <w:rsid w:val="00422E07"/>
    <w:rsid w:val="00434302"/>
    <w:rsid w:val="00436101"/>
    <w:rsid w:val="00443948"/>
    <w:rsid w:val="004465BB"/>
    <w:rsid w:val="004512AC"/>
    <w:rsid w:val="00452B90"/>
    <w:rsid w:val="0045379F"/>
    <w:rsid w:val="00453FD0"/>
    <w:rsid w:val="0045682A"/>
    <w:rsid w:val="00457638"/>
    <w:rsid w:val="00460079"/>
    <w:rsid w:val="0046186E"/>
    <w:rsid w:val="00461AFE"/>
    <w:rsid w:val="004676FA"/>
    <w:rsid w:val="0046788E"/>
    <w:rsid w:val="0047439E"/>
    <w:rsid w:val="00476005"/>
    <w:rsid w:val="0048030D"/>
    <w:rsid w:val="00485239"/>
    <w:rsid w:val="0048691B"/>
    <w:rsid w:val="00492DAE"/>
    <w:rsid w:val="00497220"/>
    <w:rsid w:val="00497FA2"/>
    <w:rsid w:val="004A21ED"/>
    <w:rsid w:val="004A78F5"/>
    <w:rsid w:val="004B039D"/>
    <w:rsid w:val="004B0B68"/>
    <w:rsid w:val="004B0D75"/>
    <w:rsid w:val="004B5A83"/>
    <w:rsid w:val="004B69A8"/>
    <w:rsid w:val="004B6DBF"/>
    <w:rsid w:val="004C2573"/>
    <w:rsid w:val="004C7015"/>
    <w:rsid w:val="004C7ED8"/>
    <w:rsid w:val="004E0391"/>
    <w:rsid w:val="004E1D67"/>
    <w:rsid w:val="004E40FB"/>
    <w:rsid w:val="004F18CF"/>
    <w:rsid w:val="00502A57"/>
    <w:rsid w:val="0050324E"/>
    <w:rsid w:val="00504A3A"/>
    <w:rsid w:val="00505C81"/>
    <w:rsid w:val="0051167A"/>
    <w:rsid w:val="00515C88"/>
    <w:rsid w:val="00516409"/>
    <w:rsid w:val="005229D2"/>
    <w:rsid w:val="0052332C"/>
    <w:rsid w:val="00523B95"/>
    <w:rsid w:val="00524889"/>
    <w:rsid w:val="00527E02"/>
    <w:rsid w:val="005303C1"/>
    <w:rsid w:val="00530DBF"/>
    <w:rsid w:val="00531E61"/>
    <w:rsid w:val="005335AE"/>
    <w:rsid w:val="005342B4"/>
    <w:rsid w:val="00536F34"/>
    <w:rsid w:val="005426D4"/>
    <w:rsid w:val="005454F8"/>
    <w:rsid w:val="00552DA1"/>
    <w:rsid w:val="0055376A"/>
    <w:rsid w:val="0055594D"/>
    <w:rsid w:val="00555FEE"/>
    <w:rsid w:val="00557AF4"/>
    <w:rsid w:val="00561EF7"/>
    <w:rsid w:val="00567276"/>
    <w:rsid w:val="00575393"/>
    <w:rsid w:val="00577B92"/>
    <w:rsid w:val="00580715"/>
    <w:rsid w:val="0058126E"/>
    <w:rsid w:val="005818FD"/>
    <w:rsid w:val="00581F2F"/>
    <w:rsid w:val="0058331F"/>
    <w:rsid w:val="00584142"/>
    <w:rsid w:val="00586AD2"/>
    <w:rsid w:val="00587507"/>
    <w:rsid w:val="00590B8A"/>
    <w:rsid w:val="00595624"/>
    <w:rsid w:val="00595A68"/>
    <w:rsid w:val="005978E6"/>
    <w:rsid w:val="005A08AB"/>
    <w:rsid w:val="005A49FC"/>
    <w:rsid w:val="005A7902"/>
    <w:rsid w:val="005B0B7C"/>
    <w:rsid w:val="005B1BB2"/>
    <w:rsid w:val="005B31B4"/>
    <w:rsid w:val="005B3E62"/>
    <w:rsid w:val="005C075F"/>
    <w:rsid w:val="005C2362"/>
    <w:rsid w:val="005D0221"/>
    <w:rsid w:val="005D0B40"/>
    <w:rsid w:val="005D3BB9"/>
    <w:rsid w:val="005D5C11"/>
    <w:rsid w:val="005D766C"/>
    <w:rsid w:val="005E2D62"/>
    <w:rsid w:val="005E490E"/>
    <w:rsid w:val="005E7294"/>
    <w:rsid w:val="005E7992"/>
    <w:rsid w:val="005F01AC"/>
    <w:rsid w:val="005F3A3A"/>
    <w:rsid w:val="005F3A4D"/>
    <w:rsid w:val="005F786A"/>
    <w:rsid w:val="005F7A80"/>
    <w:rsid w:val="00601E3D"/>
    <w:rsid w:val="00604AA4"/>
    <w:rsid w:val="0060552F"/>
    <w:rsid w:val="00607EDE"/>
    <w:rsid w:val="006113FB"/>
    <w:rsid w:val="006141FF"/>
    <w:rsid w:val="006154D4"/>
    <w:rsid w:val="00623352"/>
    <w:rsid w:val="00624399"/>
    <w:rsid w:val="00624B4C"/>
    <w:rsid w:val="00630852"/>
    <w:rsid w:val="00634E60"/>
    <w:rsid w:val="00636A7B"/>
    <w:rsid w:val="00641AB3"/>
    <w:rsid w:val="00644763"/>
    <w:rsid w:val="006477F0"/>
    <w:rsid w:val="00651509"/>
    <w:rsid w:val="00652430"/>
    <w:rsid w:val="00654EF0"/>
    <w:rsid w:val="00656E6B"/>
    <w:rsid w:val="00662559"/>
    <w:rsid w:val="00662F8E"/>
    <w:rsid w:val="00666970"/>
    <w:rsid w:val="00674E65"/>
    <w:rsid w:val="00680691"/>
    <w:rsid w:val="00681823"/>
    <w:rsid w:val="006829A0"/>
    <w:rsid w:val="00683345"/>
    <w:rsid w:val="00684B58"/>
    <w:rsid w:val="00691F6C"/>
    <w:rsid w:val="00697851"/>
    <w:rsid w:val="006A0898"/>
    <w:rsid w:val="006A421A"/>
    <w:rsid w:val="006A56EF"/>
    <w:rsid w:val="006B6B0B"/>
    <w:rsid w:val="006C175A"/>
    <w:rsid w:val="006C28C9"/>
    <w:rsid w:val="006C3A47"/>
    <w:rsid w:val="006C4297"/>
    <w:rsid w:val="006C556C"/>
    <w:rsid w:val="006C5B41"/>
    <w:rsid w:val="006C72D3"/>
    <w:rsid w:val="006D0B47"/>
    <w:rsid w:val="006D1322"/>
    <w:rsid w:val="006D2AE6"/>
    <w:rsid w:val="006D3983"/>
    <w:rsid w:val="006D5A99"/>
    <w:rsid w:val="006D6383"/>
    <w:rsid w:val="006D7229"/>
    <w:rsid w:val="006E0391"/>
    <w:rsid w:val="006E40FF"/>
    <w:rsid w:val="006F109C"/>
    <w:rsid w:val="00700569"/>
    <w:rsid w:val="007024E1"/>
    <w:rsid w:val="00702556"/>
    <w:rsid w:val="00704ACE"/>
    <w:rsid w:val="00706573"/>
    <w:rsid w:val="00711D5A"/>
    <w:rsid w:val="007128A1"/>
    <w:rsid w:val="00714D2C"/>
    <w:rsid w:val="00726C20"/>
    <w:rsid w:val="00727E97"/>
    <w:rsid w:val="0073087C"/>
    <w:rsid w:val="00731811"/>
    <w:rsid w:val="007426DF"/>
    <w:rsid w:val="0074534C"/>
    <w:rsid w:val="00745EDF"/>
    <w:rsid w:val="00751AA5"/>
    <w:rsid w:val="00752A81"/>
    <w:rsid w:val="00754410"/>
    <w:rsid w:val="0075638D"/>
    <w:rsid w:val="007601EA"/>
    <w:rsid w:val="00762903"/>
    <w:rsid w:val="007633B1"/>
    <w:rsid w:val="00766964"/>
    <w:rsid w:val="00770787"/>
    <w:rsid w:val="007822A4"/>
    <w:rsid w:val="007851D7"/>
    <w:rsid w:val="007903AE"/>
    <w:rsid w:val="00792178"/>
    <w:rsid w:val="00792B92"/>
    <w:rsid w:val="0079543B"/>
    <w:rsid w:val="00796026"/>
    <w:rsid w:val="007960F5"/>
    <w:rsid w:val="007A6702"/>
    <w:rsid w:val="007A741F"/>
    <w:rsid w:val="007B26E3"/>
    <w:rsid w:val="007B357D"/>
    <w:rsid w:val="007B3A3A"/>
    <w:rsid w:val="007B479B"/>
    <w:rsid w:val="007D0349"/>
    <w:rsid w:val="007D3A09"/>
    <w:rsid w:val="007D6A03"/>
    <w:rsid w:val="007E25FA"/>
    <w:rsid w:val="007E56EE"/>
    <w:rsid w:val="007F44E1"/>
    <w:rsid w:val="007F4875"/>
    <w:rsid w:val="007F735C"/>
    <w:rsid w:val="00803980"/>
    <w:rsid w:val="008070E5"/>
    <w:rsid w:val="00810F37"/>
    <w:rsid w:val="00814A7D"/>
    <w:rsid w:val="00816A5A"/>
    <w:rsid w:val="008245D1"/>
    <w:rsid w:val="00827EB6"/>
    <w:rsid w:val="00830ECC"/>
    <w:rsid w:val="008410D0"/>
    <w:rsid w:val="00842F5B"/>
    <w:rsid w:val="00843D73"/>
    <w:rsid w:val="00854451"/>
    <w:rsid w:val="00855095"/>
    <w:rsid w:val="008566AF"/>
    <w:rsid w:val="00862F13"/>
    <w:rsid w:val="008704D4"/>
    <w:rsid w:val="00872CAE"/>
    <w:rsid w:val="00875A04"/>
    <w:rsid w:val="0087670E"/>
    <w:rsid w:val="0088086C"/>
    <w:rsid w:val="00880FA4"/>
    <w:rsid w:val="00886C61"/>
    <w:rsid w:val="008877F3"/>
    <w:rsid w:val="00890D08"/>
    <w:rsid w:val="0089144B"/>
    <w:rsid w:val="00894643"/>
    <w:rsid w:val="00897D2B"/>
    <w:rsid w:val="00897D4E"/>
    <w:rsid w:val="008A162B"/>
    <w:rsid w:val="008A21FD"/>
    <w:rsid w:val="008B7546"/>
    <w:rsid w:val="008C5B78"/>
    <w:rsid w:val="008C6808"/>
    <w:rsid w:val="008D0ED5"/>
    <w:rsid w:val="008D112E"/>
    <w:rsid w:val="008D49E2"/>
    <w:rsid w:val="008D51ED"/>
    <w:rsid w:val="008E2C7A"/>
    <w:rsid w:val="008F15ED"/>
    <w:rsid w:val="008F4952"/>
    <w:rsid w:val="008F602C"/>
    <w:rsid w:val="008F78F3"/>
    <w:rsid w:val="008F7D2C"/>
    <w:rsid w:val="00900EC0"/>
    <w:rsid w:val="009010BC"/>
    <w:rsid w:val="00901AEB"/>
    <w:rsid w:val="00902594"/>
    <w:rsid w:val="009063D3"/>
    <w:rsid w:val="00912839"/>
    <w:rsid w:val="00920D16"/>
    <w:rsid w:val="00921B24"/>
    <w:rsid w:val="00923F22"/>
    <w:rsid w:val="009329C5"/>
    <w:rsid w:val="0093796B"/>
    <w:rsid w:val="0094044A"/>
    <w:rsid w:val="009463E2"/>
    <w:rsid w:val="0095327F"/>
    <w:rsid w:val="00953506"/>
    <w:rsid w:val="00953D03"/>
    <w:rsid w:val="009540AB"/>
    <w:rsid w:val="0095439D"/>
    <w:rsid w:val="00955A97"/>
    <w:rsid w:val="0095621B"/>
    <w:rsid w:val="009567D2"/>
    <w:rsid w:val="00957EA7"/>
    <w:rsid w:val="009622D0"/>
    <w:rsid w:val="009725DA"/>
    <w:rsid w:val="00974130"/>
    <w:rsid w:val="0098415A"/>
    <w:rsid w:val="00990EE2"/>
    <w:rsid w:val="009927A8"/>
    <w:rsid w:val="00994270"/>
    <w:rsid w:val="00995FA2"/>
    <w:rsid w:val="00996CA9"/>
    <w:rsid w:val="009A1E5E"/>
    <w:rsid w:val="009A2E70"/>
    <w:rsid w:val="009A4303"/>
    <w:rsid w:val="009A4AB1"/>
    <w:rsid w:val="009A62BF"/>
    <w:rsid w:val="009A6F20"/>
    <w:rsid w:val="009B5999"/>
    <w:rsid w:val="009B767E"/>
    <w:rsid w:val="009C1E59"/>
    <w:rsid w:val="009C2257"/>
    <w:rsid w:val="009C5528"/>
    <w:rsid w:val="009C6279"/>
    <w:rsid w:val="009C784D"/>
    <w:rsid w:val="009E0E45"/>
    <w:rsid w:val="009E3134"/>
    <w:rsid w:val="009E4566"/>
    <w:rsid w:val="009F03A5"/>
    <w:rsid w:val="009F08DF"/>
    <w:rsid w:val="009F16AF"/>
    <w:rsid w:val="009F3961"/>
    <w:rsid w:val="009F7055"/>
    <w:rsid w:val="009F70B1"/>
    <w:rsid w:val="00A01140"/>
    <w:rsid w:val="00A03DD6"/>
    <w:rsid w:val="00A11567"/>
    <w:rsid w:val="00A15454"/>
    <w:rsid w:val="00A157F6"/>
    <w:rsid w:val="00A16E58"/>
    <w:rsid w:val="00A179AD"/>
    <w:rsid w:val="00A21DAF"/>
    <w:rsid w:val="00A25507"/>
    <w:rsid w:val="00A260A9"/>
    <w:rsid w:val="00A267AA"/>
    <w:rsid w:val="00A27E43"/>
    <w:rsid w:val="00A360FD"/>
    <w:rsid w:val="00A36F03"/>
    <w:rsid w:val="00A44108"/>
    <w:rsid w:val="00A61351"/>
    <w:rsid w:val="00A66316"/>
    <w:rsid w:val="00A716FE"/>
    <w:rsid w:val="00A73861"/>
    <w:rsid w:val="00A7721F"/>
    <w:rsid w:val="00A820D2"/>
    <w:rsid w:val="00A82E3B"/>
    <w:rsid w:val="00A82EDA"/>
    <w:rsid w:val="00A87133"/>
    <w:rsid w:val="00A93847"/>
    <w:rsid w:val="00A957E5"/>
    <w:rsid w:val="00AA5438"/>
    <w:rsid w:val="00AA68C6"/>
    <w:rsid w:val="00AA6A6A"/>
    <w:rsid w:val="00AB1B8E"/>
    <w:rsid w:val="00AB5447"/>
    <w:rsid w:val="00AB7048"/>
    <w:rsid w:val="00AC3C14"/>
    <w:rsid w:val="00AC4196"/>
    <w:rsid w:val="00AC48B0"/>
    <w:rsid w:val="00AC5CCE"/>
    <w:rsid w:val="00AD5D21"/>
    <w:rsid w:val="00AE2FEF"/>
    <w:rsid w:val="00AE5F34"/>
    <w:rsid w:val="00AF1446"/>
    <w:rsid w:val="00AF7DE9"/>
    <w:rsid w:val="00B0163A"/>
    <w:rsid w:val="00B0351A"/>
    <w:rsid w:val="00B04E05"/>
    <w:rsid w:val="00B10D9B"/>
    <w:rsid w:val="00B12004"/>
    <w:rsid w:val="00B1566D"/>
    <w:rsid w:val="00B15763"/>
    <w:rsid w:val="00B16AAA"/>
    <w:rsid w:val="00B2247F"/>
    <w:rsid w:val="00B256BD"/>
    <w:rsid w:val="00B25A21"/>
    <w:rsid w:val="00B271DE"/>
    <w:rsid w:val="00B46245"/>
    <w:rsid w:val="00B47E44"/>
    <w:rsid w:val="00B53635"/>
    <w:rsid w:val="00B55797"/>
    <w:rsid w:val="00B71618"/>
    <w:rsid w:val="00B72D17"/>
    <w:rsid w:val="00B74475"/>
    <w:rsid w:val="00B77185"/>
    <w:rsid w:val="00B8182C"/>
    <w:rsid w:val="00B82446"/>
    <w:rsid w:val="00B83829"/>
    <w:rsid w:val="00B844B7"/>
    <w:rsid w:val="00B869B4"/>
    <w:rsid w:val="00B9205D"/>
    <w:rsid w:val="00B93DC6"/>
    <w:rsid w:val="00B945A3"/>
    <w:rsid w:val="00B94BF7"/>
    <w:rsid w:val="00BA0869"/>
    <w:rsid w:val="00BA515B"/>
    <w:rsid w:val="00BB0F16"/>
    <w:rsid w:val="00BB184B"/>
    <w:rsid w:val="00BB44D2"/>
    <w:rsid w:val="00BB646D"/>
    <w:rsid w:val="00BC017B"/>
    <w:rsid w:val="00BC5BD2"/>
    <w:rsid w:val="00BC72CF"/>
    <w:rsid w:val="00BD1F97"/>
    <w:rsid w:val="00BD376B"/>
    <w:rsid w:val="00BD4DF2"/>
    <w:rsid w:val="00BD506B"/>
    <w:rsid w:val="00BD5E14"/>
    <w:rsid w:val="00BD70E8"/>
    <w:rsid w:val="00BE1379"/>
    <w:rsid w:val="00BE5EEB"/>
    <w:rsid w:val="00BE6AA7"/>
    <w:rsid w:val="00BF0081"/>
    <w:rsid w:val="00BF0A06"/>
    <w:rsid w:val="00BF2FC9"/>
    <w:rsid w:val="00C06735"/>
    <w:rsid w:val="00C11C4B"/>
    <w:rsid w:val="00C14174"/>
    <w:rsid w:val="00C17077"/>
    <w:rsid w:val="00C2023E"/>
    <w:rsid w:val="00C243EC"/>
    <w:rsid w:val="00C31608"/>
    <w:rsid w:val="00C36738"/>
    <w:rsid w:val="00C4363E"/>
    <w:rsid w:val="00C43BE2"/>
    <w:rsid w:val="00C5165B"/>
    <w:rsid w:val="00C56455"/>
    <w:rsid w:val="00C5691A"/>
    <w:rsid w:val="00C57A55"/>
    <w:rsid w:val="00C605D7"/>
    <w:rsid w:val="00C66549"/>
    <w:rsid w:val="00C72B5B"/>
    <w:rsid w:val="00C72D17"/>
    <w:rsid w:val="00C76C9B"/>
    <w:rsid w:val="00C77095"/>
    <w:rsid w:val="00C811D6"/>
    <w:rsid w:val="00C8319F"/>
    <w:rsid w:val="00C85154"/>
    <w:rsid w:val="00C864F2"/>
    <w:rsid w:val="00C86957"/>
    <w:rsid w:val="00C87F10"/>
    <w:rsid w:val="00C9169B"/>
    <w:rsid w:val="00C92AA5"/>
    <w:rsid w:val="00C92DD3"/>
    <w:rsid w:val="00C9435D"/>
    <w:rsid w:val="00C948B8"/>
    <w:rsid w:val="00C95EFE"/>
    <w:rsid w:val="00C96642"/>
    <w:rsid w:val="00C96A1A"/>
    <w:rsid w:val="00C97492"/>
    <w:rsid w:val="00CA397A"/>
    <w:rsid w:val="00CA4476"/>
    <w:rsid w:val="00CA55DD"/>
    <w:rsid w:val="00CA65BA"/>
    <w:rsid w:val="00CB0C58"/>
    <w:rsid w:val="00CB7E55"/>
    <w:rsid w:val="00CC0798"/>
    <w:rsid w:val="00CC665E"/>
    <w:rsid w:val="00CE1254"/>
    <w:rsid w:val="00CE4536"/>
    <w:rsid w:val="00CF34C9"/>
    <w:rsid w:val="00CF50C6"/>
    <w:rsid w:val="00D00A3A"/>
    <w:rsid w:val="00D014B9"/>
    <w:rsid w:val="00D016E7"/>
    <w:rsid w:val="00D069EE"/>
    <w:rsid w:val="00D06A7C"/>
    <w:rsid w:val="00D16116"/>
    <w:rsid w:val="00D16CDB"/>
    <w:rsid w:val="00D232C7"/>
    <w:rsid w:val="00D233D6"/>
    <w:rsid w:val="00D244EB"/>
    <w:rsid w:val="00D27CEF"/>
    <w:rsid w:val="00D30B8E"/>
    <w:rsid w:val="00D30ED9"/>
    <w:rsid w:val="00D33855"/>
    <w:rsid w:val="00D373DF"/>
    <w:rsid w:val="00D41F3B"/>
    <w:rsid w:val="00D42033"/>
    <w:rsid w:val="00D43F6E"/>
    <w:rsid w:val="00D52AE1"/>
    <w:rsid w:val="00D548DF"/>
    <w:rsid w:val="00D57C50"/>
    <w:rsid w:val="00D57CDD"/>
    <w:rsid w:val="00D661E9"/>
    <w:rsid w:val="00D66971"/>
    <w:rsid w:val="00D70030"/>
    <w:rsid w:val="00D70F60"/>
    <w:rsid w:val="00D712D7"/>
    <w:rsid w:val="00D714B8"/>
    <w:rsid w:val="00D74CC8"/>
    <w:rsid w:val="00D75495"/>
    <w:rsid w:val="00D777DF"/>
    <w:rsid w:val="00D825EA"/>
    <w:rsid w:val="00D825ED"/>
    <w:rsid w:val="00D8346C"/>
    <w:rsid w:val="00D836CA"/>
    <w:rsid w:val="00D8657D"/>
    <w:rsid w:val="00D90EF5"/>
    <w:rsid w:val="00D91202"/>
    <w:rsid w:val="00D91669"/>
    <w:rsid w:val="00D93636"/>
    <w:rsid w:val="00D976C3"/>
    <w:rsid w:val="00DA5B87"/>
    <w:rsid w:val="00DB4028"/>
    <w:rsid w:val="00DC03A9"/>
    <w:rsid w:val="00DC1CBE"/>
    <w:rsid w:val="00DC275D"/>
    <w:rsid w:val="00DC3469"/>
    <w:rsid w:val="00DC71D9"/>
    <w:rsid w:val="00DD12BF"/>
    <w:rsid w:val="00DD1657"/>
    <w:rsid w:val="00DD5B8F"/>
    <w:rsid w:val="00DE0E40"/>
    <w:rsid w:val="00DE2558"/>
    <w:rsid w:val="00DE2623"/>
    <w:rsid w:val="00DE36A1"/>
    <w:rsid w:val="00DE4437"/>
    <w:rsid w:val="00DE4C6A"/>
    <w:rsid w:val="00DE65B3"/>
    <w:rsid w:val="00DF0A49"/>
    <w:rsid w:val="00DF4050"/>
    <w:rsid w:val="00DF5762"/>
    <w:rsid w:val="00DF6899"/>
    <w:rsid w:val="00DF6AFB"/>
    <w:rsid w:val="00E00E65"/>
    <w:rsid w:val="00E0100E"/>
    <w:rsid w:val="00E03248"/>
    <w:rsid w:val="00E039B0"/>
    <w:rsid w:val="00E102C4"/>
    <w:rsid w:val="00E11DEE"/>
    <w:rsid w:val="00E14B1C"/>
    <w:rsid w:val="00E17B69"/>
    <w:rsid w:val="00E17B6D"/>
    <w:rsid w:val="00E21723"/>
    <w:rsid w:val="00E2182B"/>
    <w:rsid w:val="00E21A70"/>
    <w:rsid w:val="00E21B1E"/>
    <w:rsid w:val="00E301B4"/>
    <w:rsid w:val="00E3052E"/>
    <w:rsid w:val="00E3433A"/>
    <w:rsid w:val="00E353EF"/>
    <w:rsid w:val="00E43D6B"/>
    <w:rsid w:val="00E47D33"/>
    <w:rsid w:val="00E5083B"/>
    <w:rsid w:val="00E51397"/>
    <w:rsid w:val="00E5390C"/>
    <w:rsid w:val="00E54C81"/>
    <w:rsid w:val="00E57351"/>
    <w:rsid w:val="00E61864"/>
    <w:rsid w:val="00E660AE"/>
    <w:rsid w:val="00E674F5"/>
    <w:rsid w:val="00E705E0"/>
    <w:rsid w:val="00E73C79"/>
    <w:rsid w:val="00E8164B"/>
    <w:rsid w:val="00E8287B"/>
    <w:rsid w:val="00E84897"/>
    <w:rsid w:val="00E90974"/>
    <w:rsid w:val="00E93082"/>
    <w:rsid w:val="00E937F9"/>
    <w:rsid w:val="00E942D3"/>
    <w:rsid w:val="00E94BFB"/>
    <w:rsid w:val="00E96D57"/>
    <w:rsid w:val="00EA4E02"/>
    <w:rsid w:val="00EA7401"/>
    <w:rsid w:val="00EB193D"/>
    <w:rsid w:val="00EB3AC7"/>
    <w:rsid w:val="00EB562A"/>
    <w:rsid w:val="00EB6D3B"/>
    <w:rsid w:val="00EB6EE5"/>
    <w:rsid w:val="00EC0BEE"/>
    <w:rsid w:val="00EC5230"/>
    <w:rsid w:val="00EC6178"/>
    <w:rsid w:val="00EC6513"/>
    <w:rsid w:val="00EC6FE4"/>
    <w:rsid w:val="00EC75D1"/>
    <w:rsid w:val="00ED108D"/>
    <w:rsid w:val="00ED1BFF"/>
    <w:rsid w:val="00ED52D1"/>
    <w:rsid w:val="00ED5D65"/>
    <w:rsid w:val="00EE435B"/>
    <w:rsid w:val="00EF12F0"/>
    <w:rsid w:val="00EF2E54"/>
    <w:rsid w:val="00F03B8E"/>
    <w:rsid w:val="00F05009"/>
    <w:rsid w:val="00F125FF"/>
    <w:rsid w:val="00F155A8"/>
    <w:rsid w:val="00F16F61"/>
    <w:rsid w:val="00F30BE0"/>
    <w:rsid w:val="00F3627A"/>
    <w:rsid w:val="00F40502"/>
    <w:rsid w:val="00F40753"/>
    <w:rsid w:val="00F46E7C"/>
    <w:rsid w:val="00F52021"/>
    <w:rsid w:val="00F55F97"/>
    <w:rsid w:val="00F6354D"/>
    <w:rsid w:val="00F7215F"/>
    <w:rsid w:val="00F83CFE"/>
    <w:rsid w:val="00F84B65"/>
    <w:rsid w:val="00F909BE"/>
    <w:rsid w:val="00F92023"/>
    <w:rsid w:val="00F974DF"/>
    <w:rsid w:val="00FA0E4C"/>
    <w:rsid w:val="00FA39ED"/>
    <w:rsid w:val="00FA50F0"/>
    <w:rsid w:val="00FC077A"/>
    <w:rsid w:val="00FC0D4D"/>
    <w:rsid w:val="00FC0E65"/>
    <w:rsid w:val="00FC4EA0"/>
    <w:rsid w:val="00FC5F76"/>
    <w:rsid w:val="00FD0915"/>
    <w:rsid w:val="00FD23E8"/>
    <w:rsid w:val="00FE1976"/>
    <w:rsid w:val="00FE3605"/>
    <w:rsid w:val="00FE4067"/>
    <w:rsid w:val="00FF3BEA"/>
    <w:rsid w:val="00FF7693"/>
    <w:rsid w:val="1068D276"/>
    <w:rsid w:val="3ECF8B15"/>
    <w:rsid w:val="5A45EA99"/>
    <w:rsid w:val="5DCFFFB7"/>
    <w:rsid w:val="5E6F94DF"/>
    <w:rsid w:val="6A2DBC19"/>
    <w:rsid w:val="6CB42835"/>
    <w:rsid w:val="7A4D0CE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6EFCB"/>
  <w15:docId w15:val="{317F6EE8-A828-4B4D-8894-12BE8B03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9A0"/>
    <w:pPr>
      <w:widowControl w:val="0"/>
      <w:autoSpaceDE w:val="0"/>
      <w:autoSpaceDN w:val="0"/>
      <w:ind w:left="1200" w:hanging="360"/>
      <w:outlineLvl w:val="0"/>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46"/>
    <w:pPr>
      <w:tabs>
        <w:tab w:val="center" w:pos="4320"/>
        <w:tab w:val="right" w:pos="8640"/>
      </w:tabs>
    </w:pPr>
  </w:style>
  <w:style w:type="character" w:customStyle="1" w:styleId="HeaderChar">
    <w:name w:val="Header Char"/>
    <w:basedOn w:val="DefaultParagraphFont"/>
    <w:link w:val="Header"/>
    <w:uiPriority w:val="99"/>
    <w:rsid w:val="00AF1446"/>
  </w:style>
  <w:style w:type="paragraph" w:styleId="Footer">
    <w:name w:val="footer"/>
    <w:basedOn w:val="Normal"/>
    <w:link w:val="FooterChar"/>
    <w:uiPriority w:val="99"/>
    <w:unhideWhenUsed/>
    <w:rsid w:val="00AF1446"/>
    <w:pPr>
      <w:tabs>
        <w:tab w:val="center" w:pos="4320"/>
        <w:tab w:val="right" w:pos="8640"/>
      </w:tabs>
    </w:pPr>
  </w:style>
  <w:style w:type="character" w:customStyle="1" w:styleId="FooterChar">
    <w:name w:val="Footer Char"/>
    <w:basedOn w:val="DefaultParagraphFont"/>
    <w:link w:val="Footer"/>
    <w:uiPriority w:val="99"/>
    <w:rsid w:val="00AF1446"/>
  </w:style>
  <w:style w:type="paragraph" w:styleId="ListParagraph">
    <w:name w:val="List Paragraph"/>
    <w:basedOn w:val="Normal"/>
    <w:link w:val="ListParagraphChar"/>
    <w:uiPriority w:val="34"/>
    <w:qFormat/>
    <w:rsid w:val="00DF5762"/>
    <w:pPr>
      <w:ind w:left="720"/>
      <w:contextualSpacing/>
    </w:pPr>
  </w:style>
  <w:style w:type="paragraph" w:styleId="FootnoteText">
    <w:name w:val="footnote text"/>
    <w:basedOn w:val="Normal"/>
    <w:link w:val="FootnoteTextChar"/>
    <w:uiPriority w:val="99"/>
    <w:unhideWhenUsed/>
    <w:rsid w:val="006B6B0B"/>
  </w:style>
  <w:style w:type="character" w:customStyle="1" w:styleId="FootnoteTextChar">
    <w:name w:val="Footnote Text Char"/>
    <w:basedOn w:val="DefaultParagraphFont"/>
    <w:link w:val="FootnoteText"/>
    <w:uiPriority w:val="99"/>
    <w:rsid w:val="006B6B0B"/>
  </w:style>
  <w:style w:type="character" w:styleId="FootnoteReference">
    <w:name w:val="footnote reference"/>
    <w:basedOn w:val="DefaultParagraphFont"/>
    <w:uiPriority w:val="99"/>
    <w:unhideWhenUsed/>
    <w:rsid w:val="006B6B0B"/>
    <w:rPr>
      <w:vertAlign w:val="superscript"/>
    </w:rPr>
  </w:style>
  <w:style w:type="table" w:styleId="TableGrid">
    <w:name w:val="Table Grid"/>
    <w:basedOn w:val="TableNormal"/>
    <w:uiPriority w:val="59"/>
    <w:rsid w:val="009A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DF"/>
    <w:rPr>
      <w:rFonts w:ascii="Segoe UI" w:hAnsi="Segoe UI" w:cs="Segoe UI"/>
      <w:sz w:val="18"/>
      <w:szCs w:val="18"/>
    </w:rPr>
  </w:style>
  <w:style w:type="character" w:styleId="CommentReference">
    <w:name w:val="annotation reference"/>
    <w:basedOn w:val="DefaultParagraphFont"/>
    <w:uiPriority w:val="99"/>
    <w:semiHidden/>
    <w:unhideWhenUsed/>
    <w:rsid w:val="00BF0A06"/>
    <w:rPr>
      <w:sz w:val="16"/>
      <w:szCs w:val="16"/>
    </w:rPr>
  </w:style>
  <w:style w:type="paragraph" w:styleId="CommentText">
    <w:name w:val="annotation text"/>
    <w:basedOn w:val="Normal"/>
    <w:link w:val="CommentTextChar"/>
    <w:uiPriority w:val="99"/>
    <w:unhideWhenUsed/>
    <w:rsid w:val="00BF0A06"/>
    <w:rPr>
      <w:sz w:val="20"/>
      <w:szCs w:val="20"/>
    </w:rPr>
  </w:style>
  <w:style w:type="character" w:customStyle="1" w:styleId="CommentTextChar">
    <w:name w:val="Comment Text Char"/>
    <w:basedOn w:val="DefaultParagraphFont"/>
    <w:link w:val="CommentText"/>
    <w:uiPriority w:val="99"/>
    <w:rsid w:val="00BF0A06"/>
    <w:rPr>
      <w:sz w:val="20"/>
      <w:szCs w:val="20"/>
    </w:rPr>
  </w:style>
  <w:style w:type="paragraph" w:styleId="CommentSubject">
    <w:name w:val="annotation subject"/>
    <w:basedOn w:val="CommentText"/>
    <w:next w:val="CommentText"/>
    <w:link w:val="CommentSubjectChar"/>
    <w:uiPriority w:val="99"/>
    <w:semiHidden/>
    <w:unhideWhenUsed/>
    <w:rsid w:val="00BF0A06"/>
    <w:rPr>
      <w:b/>
      <w:bCs/>
    </w:rPr>
  </w:style>
  <w:style w:type="character" w:customStyle="1" w:styleId="CommentSubjectChar">
    <w:name w:val="Comment Subject Char"/>
    <w:basedOn w:val="CommentTextChar"/>
    <w:link w:val="CommentSubject"/>
    <w:uiPriority w:val="99"/>
    <w:semiHidden/>
    <w:rsid w:val="00BF0A06"/>
    <w:rPr>
      <w:b/>
      <w:bCs/>
      <w:sz w:val="20"/>
      <w:szCs w:val="20"/>
    </w:rPr>
  </w:style>
  <w:style w:type="character" w:styleId="Hyperlink">
    <w:name w:val="Hyperlink"/>
    <w:basedOn w:val="DefaultParagraphFont"/>
    <w:uiPriority w:val="99"/>
    <w:unhideWhenUsed/>
    <w:rsid w:val="00294C11"/>
    <w:rPr>
      <w:color w:val="0000FF" w:themeColor="hyperlink"/>
      <w:u w:val="single"/>
    </w:rPr>
  </w:style>
  <w:style w:type="character" w:customStyle="1" w:styleId="UnresolvedMention1">
    <w:name w:val="Unresolved Mention1"/>
    <w:basedOn w:val="DefaultParagraphFont"/>
    <w:uiPriority w:val="99"/>
    <w:semiHidden/>
    <w:unhideWhenUsed/>
    <w:rsid w:val="00294C11"/>
    <w:rPr>
      <w:color w:val="605E5C"/>
      <w:shd w:val="clear" w:color="auto" w:fill="E1DFDD"/>
    </w:rPr>
  </w:style>
  <w:style w:type="character" w:customStyle="1" w:styleId="ListParagraphChar">
    <w:name w:val="List Paragraph Char"/>
    <w:basedOn w:val="DefaultParagraphFont"/>
    <w:link w:val="ListParagraph"/>
    <w:uiPriority w:val="34"/>
    <w:rsid w:val="0088086C"/>
  </w:style>
  <w:style w:type="paragraph" w:styleId="Revision">
    <w:name w:val="Revision"/>
    <w:hidden/>
    <w:uiPriority w:val="99"/>
    <w:semiHidden/>
    <w:rsid w:val="00B82446"/>
  </w:style>
  <w:style w:type="character" w:styleId="FollowedHyperlink">
    <w:name w:val="FollowedHyperlink"/>
    <w:basedOn w:val="DefaultParagraphFont"/>
    <w:uiPriority w:val="99"/>
    <w:semiHidden/>
    <w:unhideWhenUsed/>
    <w:rsid w:val="001A666C"/>
    <w:rPr>
      <w:color w:val="800080" w:themeColor="followedHyperlink"/>
      <w:u w:val="single"/>
    </w:rPr>
  </w:style>
  <w:style w:type="character" w:customStyle="1" w:styleId="UnresolvedMention2">
    <w:name w:val="Unresolved Mention2"/>
    <w:basedOn w:val="DefaultParagraphFont"/>
    <w:uiPriority w:val="99"/>
    <w:semiHidden/>
    <w:unhideWhenUsed/>
    <w:rsid w:val="00DC275D"/>
    <w:rPr>
      <w:color w:val="605E5C"/>
      <w:shd w:val="clear" w:color="auto" w:fill="E1DFDD"/>
    </w:rPr>
  </w:style>
  <w:style w:type="character" w:customStyle="1" w:styleId="Heading1Char">
    <w:name w:val="Heading 1 Char"/>
    <w:basedOn w:val="DefaultParagraphFont"/>
    <w:link w:val="Heading1"/>
    <w:uiPriority w:val="9"/>
    <w:rsid w:val="006829A0"/>
    <w:rPr>
      <w:rFonts w:ascii="Times New Roman" w:eastAsia="Times New Roman" w:hAnsi="Times New Roman" w:cs="Times New Roman"/>
      <w:b/>
      <w:bCs/>
      <w:lang w:eastAsia="en-US"/>
    </w:rPr>
  </w:style>
  <w:style w:type="paragraph" w:styleId="BodyText">
    <w:name w:val="Body Text"/>
    <w:basedOn w:val="Normal"/>
    <w:link w:val="BodyTextChar"/>
    <w:uiPriority w:val="1"/>
    <w:qFormat/>
    <w:rsid w:val="00215C75"/>
    <w:pPr>
      <w:widowControl w:val="0"/>
      <w:autoSpaceDE w:val="0"/>
      <w:autoSpaceDN w:val="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215C75"/>
    <w:rPr>
      <w:rFonts w:ascii="Times New Roman" w:eastAsia="Times New Roman" w:hAnsi="Times New Roman" w:cs="Times New Roman"/>
      <w:lang w:eastAsia="en-US"/>
    </w:rPr>
  </w:style>
  <w:style w:type="character" w:customStyle="1" w:styleId="UnresolvedMention3">
    <w:name w:val="Unresolved Mention3"/>
    <w:basedOn w:val="DefaultParagraphFont"/>
    <w:uiPriority w:val="99"/>
    <w:semiHidden/>
    <w:unhideWhenUsed/>
    <w:rsid w:val="001B3C81"/>
    <w:rPr>
      <w:color w:val="605E5C"/>
      <w:shd w:val="clear" w:color="auto" w:fill="E1DFDD"/>
    </w:rPr>
  </w:style>
  <w:style w:type="paragraph" w:styleId="NormalWeb">
    <w:name w:val="Normal (Web)"/>
    <w:basedOn w:val="Normal"/>
    <w:uiPriority w:val="99"/>
    <w:semiHidden/>
    <w:unhideWhenUsed/>
    <w:rsid w:val="006A089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0362">
      <w:bodyDiv w:val="1"/>
      <w:marLeft w:val="0"/>
      <w:marRight w:val="0"/>
      <w:marTop w:val="0"/>
      <w:marBottom w:val="0"/>
      <w:divBdr>
        <w:top w:val="none" w:sz="0" w:space="0" w:color="auto"/>
        <w:left w:val="none" w:sz="0" w:space="0" w:color="auto"/>
        <w:bottom w:val="none" w:sz="0" w:space="0" w:color="auto"/>
        <w:right w:val="none" w:sz="0" w:space="0" w:color="auto"/>
      </w:divBdr>
    </w:div>
    <w:div w:id="952324009">
      <w:bodyDiv w:val="1"/>
      <w:marLeft w:val="0"/>
      <w:marRight w:val="0"/>
      <w:marTop w:val="0"/>
      <w:marBottom w:val="0"/>
      <w:divBdr>
        <w:top w:val="none" w:sz="0" w:space="0" w:color="auto"/>
        <w:left w:val="none" w:sz="0" w:space="0" w:color="auto"/>
        <w:bottom w:val="none" w:sz="0" w:space="0" w:color="auto"/>
        <w:right w:val="none" w:sz="0" w:space="0" w:color="auto"/>
      </w:divBdr>
    </w:div>
    <w:div w:id="1025985484">
      <w:bodyDiv w:val="1"/>
      <w:marLeft w:val="0"/>
      <w:marRight w:val="0"/>
      <w:marTop w:val="0"/>
      <w:marBottom w:val="0"/>
      <w:divBdr>
        <w:top w:val="none" w:sz="0" w:space="0" w:color="auto"/>
        <w:left w:val="none" w:sz="0" w:space="0" w:color="auto"/>
        <w:bottom w:val="none" w:sz="0" w:space="0" w:color="auto"/>
        <w:right w:val="none" w:sz="0" w:space="0" w:color="auto"/>
      </w:divBdr>
    </w:div>
    <w:div w:id="1029255519">
      <w:bodyDiv w:val="1"/>
      <w:marLeft w:val="0"/>
      <w:marRight w:val="0"/>
      <w:marTop w:val="0"/>
      <w:marBottom w:val="0"/>
      <w:divBdr>
        <w:top w:val="none" w:sz="0" w:space="0" w:color="auto"/>
        <w:left w:val="none" w:sz="0" w:space="0" w:color="auto"/>
        <w:bottom w:val="none" w:sz="0" w:space="0" w:color="auto"/>
        <w:right w:val="none" w:sz="0" w:space="0" w:color="auto"/>
      </w:divBdr>
    </w:div>
    <w:div w:id="1251767620">
      <w:bodyDiv w:val="1"/>
      <w:marLeft w:val="0"/>
      <w:marRight w:val="0"/>
      <w:marTop w:val="0"/>
      <w:marBottom w:val="0"/>
      <w:divBdr>
        <w:top w:val="none" w:sz="0" w:space="0" w:color="auto"/>
        <w:left w:val="none" w:sz="0" w:space="0" w:color="auto"/>
        <w:bottom w:val="none" w:sz="0" w:space="0" w:color="auto"/>
        <w:right w:val="none" w:sz="0" w:space="0" w:color="auto"/>
      </w:divBdr>
    </w:div>
    <w:div w:id="1316646951">
      <w:bodyDiv w:val="1"/>
      <w:marLeft w:val="0"/>
      <w:marRight w:val="0"/>
      <w:marTop w:val="0"/>
      <w:marBottom w:val="0"/>
      <w:divBdr>
        <w:top w:val="none" w:sz="0" w:space="0" w:color="auto"/>
        <w:left w:val="none" w:sz="0" w:space="0" w:color="auto"/>
        <w:bottom w:val="none" w:sz="0" w:space="0" w:color="auto"/>
        <w:right w:val="none" w:sz="0" w:space="0" w:color="auto"/>
      </w:divBdr>
    </w:div>
    <w:div w:id="193897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513F-CC2B-42F3-906E-D86D660310C8}">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9</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Shellman</dc:creator>
  <cp:keywords/>
  <dc:description/>
  <cp:lastModifiedBy>TCPA - TX Competitive Power Advocates</cp:lastModifiedBy>
  <cp:revision>2</cp:revision>
  <cp:lastPrinted>2023-08-14T15:12:00Z</cp:lastPrinted>
  <dcterms:created xsi:type="dcterms:W3CDTF">2023-08-15T19:30:00Z</dcterms:created>
  <dcterms:modified xsi:type="dcterms:W3CDTF">2023-08-15T19:30:00Z</dcterms:modified>
</cp:coreProperties>
</file>