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45DD" w14:textId="162049D6" w:rsidR="00FF5059" w:rsidRPr="00717DCD" w:rsidRDefault="001B5E4A" w:rsidP="00B22487">
      <w:pPr>
        <w:pStyle w:val="Title"/>
        <w:rPr>
          <w:b/>
          <w:szCs w:val="24"/>
        </w:rPr>
      </w:pPr>
      <w:r w:rsidRPr="00717DCD">
        <w:rPr>
          <w:b/>
          <w:szCs w:val="24"/>
        </w:rPr>
        <w:t>PUC PROJECT NO. 55566</w:t>
      </w:r>
    </w:p>
    <w:p w14:paraId="31DDE53C" w14:textId="77777777" w:rsidR="00FF5059" w:rsidRPr="00717DCD" w:rsidRDefault="00FF5059" w:rsidP="00B22487">
      <w:pPr>
        <w:pStyle w:val="Title"/>
        <w:rPr>
          <w:b/>
          <w:szCs w:val="24"/>
        </w:rPr>
      </w:pPr>
    </w:p>
    <w:tbl>
      <w:tblPr>
        <w:tblW w:w="9375" w:type="dxa"/>
        <w:tblLook w:val="04A0" w:firstRow="1" w:lastRow="0" w:firstColumn="1" w:lastColumn="0" w:noHBand="0" w:noVBand="1"/>
      </w:tblPr>
      <w:tblGrid>
        <w:gridCol w:w="4247"/>
        <w:gridCol w:w="989"/>
        <w:gridCol w:w="4139"/>
      </w:tblGrid>
      <w:tr w:rsidR="00FF5059" w:rsidRPr="00D11A78" w14:paraId="672ADAD5" w14:textId="77777777" w:rsidTr="00DB5962">
        <w:trPr>
          <w:trHeight w:val="722"/>
        </w:trPr>
        <w:tc>
          <w:tcPr>
            <w:tcW w:w="4247" w:type="dxa"/>
            <w:shd w:val="clear" w:color="auto" w:fill="auto"/>
          </w:tcPr>
          <w:p w14:paraId="5B6A906F" w14:textId="77777777" w:rsidR="00FF5059" w:rsidRPr="00717DCD" w:rsidRDefault="001B5E4A" w:rsidP="00B22487">
            <w:pPr>
              <w:pStyle w:val="Title"/>
              <w:jc w:val="left"/>
              <w:rPr>
                <w:b/>
                <w:szCs w:val="24"/>
              </w:rPr>
            </w:pPr>
            <w:r w:rsidRPr="00717DCD">
              <w:rPr>
                <w:b/>
                <w:szCs w:val="24"/>
              </w:rPr>
              <w:t>GENERATION INTERCONNECTION</w:t>
            </w:r>
          </w:p>
          <w:p w14:paraId="28B0003F" w14:textId="70FBFD7B" w:rsidR="001B5E4A" w:rsidRPr="00717DCD" w:rsidRDefault="001B5E4A" w:rsidP="00B22487">
            <w:pPr>
              <w:pStyle w:val="Title"/>
              <w:jc w:val="left"/>
              <w:rPr>
                <w:b/>
                <w:szCs w:val="24"/>
              </w:rPr>
            </w:pPr>
            <w:r w:rsidRPr="00717DCD">
              <w:rPr>
                <w:b/>
                <w:szCs w:val="24"/>
              </w:rPr>
              <w:t>ALLOWANCE</w:t>
            </w:r>
          </w:p>
        </w:tc>
        <w:tc>
          <w:tcPr>
            <w:tcW w:w="989" w:type="dxa"/>
            <w:shd w:val="clear" w:color="auto" w:fill="auto"/>
          </w:tcPr>
          <w:p w14:paraId="03063560" w14:textId="77777777" w:rsidR="00FF5059" w:rsidRPr="00717DCD" w:rsidRDefault="00FF5059" w:rsidP="00B22487">
            <w:pPr>
              <w:pStyle w:val="Title"/>
              <w:rPr>
                <w:b/>
                <w:szCs w:val="24"/>
              </w:rPr>
            </w:pPr>
            <w:r w:rsidRPr="00717DCD">
              <w:rPr>
                <w:b/>
                <w:szCs w:val="24"/>
              </w:rPr>
              <w:t>§</w:t>
            </w:r>
          </w:p>
          <w:p w14:paraId="203A581A" w14:textId="77777777" w:rsidR="00FF5059" w:rsidRPr="00717DCD" w:rsidRDefault="00FF5059" w:rsidP="00B22487">
            <w:pPr>
              <w:pStyle w:val="Title"/>
              <w:rPr>
                <w:b/>
                <w:szCs w:val="24"/>
              </w:rPr>
            </w:pPr>
            <w:r w:rsidRPr="00717DCD">
              <w:rPr>
                <w:b/>
                <w:szCs w:val="24"/>
              </w:rPr>
              <w:t>§</w:t>
            </w:r>
          </w:p>
        </w:tc>
        <w:tc>
          <w:tcPr>
            <w:tcW w:w="4139" w:type="dxa"/>
            <w:shd w:val="clear" w:color="auto" w:fill="auto"/>
          </w:tcPr>
          <w:p w14:paraId="7952A813" w14:textId="77777777" w:rsidR="00FF5059" w:rsidRPr="00717DCD" w:rsidRDefault="00FF5059" w:rsidP="00B22487">
            <w:pPr>
              <w:pStyle w:val="Title"/>
              <w:rPr>
                <w:b/>
                <w:szCs w:val="24"/>
              </w:rPr>
            </w:pPr>
            <w:r w:rsidRPr="00717DCD">
              <w:rPr>
                <w:b/>
                <w:szCs w:val="24"/>
              </w:rPr>
              <w:t>PUBLIC UTILITY COMMISSION</w:t>
            </w:r>
          </w:p>
          <w:p w14:paraId="7306CE72" w14:textId="77777777" w:rsidR="00FF5059" w:rsidRPr="00717DCD" w:rsidRDefault="00FF5059" w:rsidP="00B22487">
            <w:pPr>
              <w:pStyle w:val="Title"/>
              <w:rPr>
                <w:b/>
                <w:szCs w:val="24"/>
              </w:rPr>
            </w:pPr>
            <w:r w:rsidRPr="00717DCD">
              <w:rPr>
                <w:b/>
                <w:szCs w:val="24"/>
              </w:rPr>
              <w:t>OF TEXAS</w:t>
            </w:r>
          </w:p>
        </w:tc>
      </w:tr>
    </w:tbl>
    <w:p w14:paraId="7219FB1D" w14:textId="77777777" w:rsidR="00CF7776" w:rsidRPr="00717DCD" w:rsidRDefault="00CF7776" w:rsidP="00B22487">
      <w:pPr>
        <w:pStyle w:val="Caption"/>
        <w:ind w:right="-270"/>
        <w:jc w:val="both"/>
        <w:rPr>
          <w:szCs w:val="24"/>
        </w:rPr>
      </w:pPr>
    </w:p>
    <w:p w14:paraId="69C36A4A" w14:textId="373A6970" w:rsidR="00CF7776" w:rsidRPr="00717DCD" w:rsidRDefault="00552F98" w:rsidP="00B22487">
      <w:pPr>
        <w:pStyle w:val="Caption"/>
        <w:ind w:right="-270"/>
        <w:rPr>
          <w:caps/>
          <w:szCs w:val="24"/>
          <w:u w:val="single"/>
        </w:rPr>
      </w:pPr>
      <w:r w:rsidRPr="00717DCD">
        <w:rPr>
          <w:caps/>
          <w:szCs w:val="24"/>
          <w:u w:val="single"/>
        </w:rPr>
        <w:t>TCPA’s</w:t>
      </w:r>
      <w:r w:rsidR="00CF7776" w:rsidRPr="00717DCD">
        <w:rPr>
          <w:caps/>
          <w:szCs w:val="24"/>
          <w:u w:val="single"/>
        </w:rPr>
        <w:t xml:space="preserve"> </w:t>
      </w:r>
      <w:r w:rsidR="004D3E50" w:rsidRPr="00717DCD">
        <w:rPr>
          <w:caps/>
          <w:szCs w:val="24"/>
          <w:u w:val="single"/>
        </w:rPr>
        <w:t xml:space="preserve">COMMENTS </w:t>
      </w:r>
      <w:r w:rsidR="009A6E92" w:rsidRPr="00717DCD">
        <w:rPr>
          <w:caps/>
          <w:szCs w:val="24"/>
          <w:u w:val="single"/>
        </w:rPr>
        <w:t xml:space="preserve">ON PROPOSAL FOR PUBLICATION (PFP) </w:t>
      </w:r>
    </w:p>
    <w:p w14:paraId="08D18250" w14:textId="50544C67" w:rsidR="00CF7776" w:rsidRPr="00717DCD" w:rsidRDefault="00CF7776" w:rsidP="00B22487">
      <w:pPr>
        <w:spacing w:after="0" w:line="480" w:lineRule="auto"/>
        <w:jc w:val="center"/>
        <w:rPr>
          <w:rFonts w:cs="Times New Roman"/>
          <w:szCs w:val="24"/>
        </w:rPr>
      </w:pPr>
    </w:p>
    <w:p w14:paraId="71FAB065" w14:textId="5B874D8A" w:rsidR="00D71501" w:rsidRPr="00D11A78" w:rsidRDefault="00552F98" w:rsidP="00A53E86">
      <w:pPr>
        <w:spacing w:line="480" w:lineRule="auto"/>
        <w:ind w:firstLine="360"/>
        <w:rPr>
          <w:rFonts w:cs="Times New Roman"/>
          <w:szCs w:val="24"/>
        </w:rPr>
      </w:pPr>
      <w:r w:rsidRPr="00D11A78">
        <w:rPr>
          <w:rFonts w:cs="Times New Roman"/>
          <w:szCs w:val="24"/>
        </w:rPr>
        <w:t>Texas Competitive Power Advocates (“TCPA”)</w:t>
      </w:r>
      <w:r w:rsidRPr="00D11A78">
        <w:rPr>
          <w:rStyle w:val="FootnoteReference"/>
          <w:rFonts w:cs="Times New Roman"/>
          <w:szCs w:val="24"/>
        </w:rPr>
        <w:footnoteReference w:id="1"/>
      </w:r>
      <w:r w:rsidRPr="00D11A78">
        <w:rPr>
          <w:rFonts w:cs="Times New Roman"/>
          <w:szCs w:val="24"/>
        </w:rPr>
        <w:t xml:space="preserve"> appreciates the opportunity to provide comment</w:t>
      </w:r>
      <w:r w:rsidR="00BC1A1E" w:rsidRPr="00D11A78">
        <w:rPr>
          <w:rFonts w:cs="Times New Roman"/>
          <w:szCs w:val="24"/>
        </w:rPr>
        <w:t>s</w:t>
      </w:r>
      <w:r w:rsidRPr="00D11A78">
        <w:rPr>
          <w:rFonts w:cs="Times New Roman"/>
          <w:szCs w:val="24"/>
        </w:rPr>
        <w:t xml:space="preserve"> </w:t>
      </w:r>
      <w:r w:rsidR="009A6E92" w:rsidRPr="00D11A78">
        <w:rPr>
          <w:rFonts w:cs="Times New Roman"/>
          <w:szCs w:val="24"/>
        </w:rPr>
        <w:t xml:space="preserve">on the </w:t>
      </w:r>
      <w:proofErr w:type="spellStart"/>
      <w:r w:rsidR="009A6E92" w:rsidRPr="00D11A78">
        <w:rPr>
          <w:rFonts w:cs="Times New Roman"/>
          <w:szCs w:val="24"/>
        </w:rPr>
        <w:t>PfP</w:t>
      </w:r>
      <w:proofErr w:type="spellEnd"/>
      <w:r w:rsidR="009A6E92" w:rsidRPr="00D11A78">
        <w:rPr>
          <w:rFonts w:cs="Times New Roman"/>
          <w:szCs w:val="24"/>
        </w:rPr>
        <w:t xml:space="preserve"> issued on November 30, </w:t>
      </w:r>
      <w:proofErr w:type="gramStart"/>
      <w:r w:rsidR="009A6E92" w:rsidRPr="00D11A78">
        <w:rPr>
          <w:rFonts w:cs="Times New Roman"/>
          <w:szCs w:val="24"/>
        </w:rPr>
        <w:t>2023</w:t>
      </w:r>
      <w:proofErr w:type="gramEnd"/>
      <w:r w:rsidRPr="00D11A78">
        <w:rPr>
          <w:rFonts w:cs="Times New Roman"/>
          <w:szCs w:val="24"/>
        </w:rPr>
        <w:t xml:space="preserve"> for implementing the generation interconnection allowance as enacted in H</w:t>
      </w:r>
      <w:r w:rsidR="008A34AF" w:rsidRPr="00D11A78">
        <w:rPr>
          <w:rFonts w:cs="Times New Roman"/>
          <w:szCs w:val="24"/>
        </w:rPr>
        <w:t xml:space="preserve">ouse </w:t>
      </w:r>
      <w:r w:rsidRPr="00D11A78">
        <w:rPr>
          <w:rFonts w:cs="Times New Roman"/>
          <w:szCs w:val="24"/>
        </w:rPr>
        <w:t>B</w:t>
      </w:r>
      <w:r w:rsidR="008A34AF" w:rsidRPr="00D11A78">
        <w:rPr>
          <w:rFonts w:cs="Times New Roman"/>
          <w:szCs w:val="24"/>
        </w:rPr>
        <w:t>ill</w:t>
      </w:r>
      <w:r w:rsidRPr="00D11A78">
        <w:rPr>
          <w:rFonts w:cs="Times New Roman"/>
          <w:szCs w:val="24"/>
        </w:rPr>
        <w:t xml:space="preserve"> </w:t>
      </w:r>
      <w:r w:rsidR="008A34AF" w:rsidRPr="00D11A78">
        <w:rPr>
          <w:rFonts w:cs="Times New Roman"/>
          <w:szCs w:val="24"/>
        </w:rPr>
        <w:t>(</w:t>
      </w:r>
      <w:r w:rsidR="00703A87" w:rsidRPr="00D11A78">
        <w:rPr>
          <w:rFonts w:cs="Times New Roman"/>
          <w:szCs w:val="24"/>
        </w:rPr>
        <w:t>“</w:t>
      </w:r>
      <w:r w:rsidR="008A34AF" w:rsidRPr="00D11A78">
        <w:rPr>
          <w:rFonts w:cs="Times New Roman"/>
          <w:szCs w:val="24"/>
        </w:rPr>
        <w:t>HB</w:t>
      </w:r>
      <w:r w:rsidR="00703A87" w:rsidRPr="00D11A78">
        <w:rPr>
          <w:rFonts w:cs="Times New Roman"/>
          <w:szCs w:val="24"/>
        </w:rPr>
        <w:t>”</w:t>
      </w:r>
      <w:r w:rsidR="008A34AF" w:rsidRPr="00D11A78">
        <w:rPr>
          <w:rFonts w:cs="Times New Roman"/>
          <w:szCs w:val="24"/>
        </w:rPr>
        <w:t xml:space="preserve">) </w:t>
      </w:r>
      <w:r w:rsidRPr="00D11A78">
        <w:rPr>
          <w:rFonts w:cs="Times New Roman"/>
          <w:szCs w:val="24"/>
        </w:rPr>
        <w:t>1500, Section 9, 88</w:t>
      </w:r>
      <w:r w:rsidRPr="00D11A78">
        <w:rPr>
          <w:rFonts w:cs="Times New Roman"/>
          <w:szCs w:val="24"/>
          <w:vertAlign w:val="superscript"/>
        </w:rPr>
        <w:t>th</w:t>
      </w:r>
      <w:r w:rsidRPr="00D11A78">
        <w:rPr>
          <w:rFonts w:cs="Times New Roman"/>
          <w:szCs w:val="24"/>
        </w:rPr>
        <w:t xml:space="preserve"> Regular Legislative Session. </w:t>
      </w:r>
      <w:r w:rsidR="002A6CBE" w:rsidRPr="00D2390E">
        <w:rPr>
          <w:rFonts w:cs="Times New Roman"/>
          <w:szCs w:val="24"/>
        </w:rPr>
        <w:t xml:space="preserve">These </w:t>
      </w:r>
      <w:r w:rsidR="002A6CBE" w:rsidRPr="00D11A78">
        <w:rPr>
          <w:rFonts w:cs="Times New Roman"/>
          <w:szCs w:val="24"/>
        </w:rPr>
        <w:t>c</w:t>
      </w:r>
      <w:r w:rsidR="009A6E92" w:rsidRPr="00D11A78">
        <w:rPr>
          <w:rFonts w:cs="Times New Roman"/>
          <w:szCs w:val="24"/>
        </w:rPr>
        <w:t xml:space="preserve">omments will address </w:t>
      </w:r>
      <w:r w:rsidR="004E0F23" w:rsidRPr="00D11A78">
        <w:rPr>
          <w:rFonts w:cs="Times New Roman"/>
          <w:szCs w:val="24"/>
        </w:rPr>
        <w:t>the following</w:t>
      </w:r>
      <w:r w:rsidR="009A6E92" w:rsidRPr="00D11A78">
        <w:rPr>
          <w:rFonts w:cs="Times New Roman"/>
          <w:szCs w:val="24"/>
        </w:rPr>
        <w:t xml:space="preserve"> components of the proposed rule: the different allowance amounts for different voltage level interconnections, the application of</w:t>
      </w:r>
      <w:r w:rsidR="004E0F23" w:rsidRPr="00D11A78">
        <w:rPr>
          <w:rFonts w:cs="Times New Roman"/>
          <w:szCs w:val="24"/>
        </w:rPr>
        <w:t xml:space="preserve"> allowance requirements to</w:t>
      </w:r>
      <w:r w:rsidR="009A6E92" w:rsidRPr="00D11A78">
        <w:rPr>
          <w:rFonts w:cs="Times New Roman"/>
          <w:szCs w:val="24"/>
        </w:rPr>
        <w:t xml:space="preserve"> amendments to a Standard Generator Interconnection Agreement (</w:t>
      </w:r>
      <w:r w:rsidR="00A3696C">
        <w:rPr>
          <w:rFonts w:cs="Times New Roman"/>
          <w:szCs w:val="24"/>
        </w:rPr>
        <w:t>“</w:t>
      </w:r>
      <w:r w:rsidR="009A6E92" w:rsidRPr="00D11A78">
        <w:rPr>
          <w:rFonts w:cs="Times New Roman"/>
          <w:szCs w:val="24"/>
        </w:rPr>
        <w:t>SGIA</w:t>
      </w:r>
      <w:r w:rsidR="00A3696C">
        <w:rPr>
          <w:rFonts w:cs="Times New Roman"/>
          <w:szCs w:val="24"/>
        </w:rPr>
        <w:t>”</w:t>
      </w:r>
      <w:r w:rsidR="009A6E92" w:rsidRPr="00D11A78">
        <w:rPr>
          <w:rFonts w:cs="Times New Roman"/>
          <w:szCs w:val="24"/>
        </w:rPr>
        <w:t xml:space="preserve">) as </w:t>
      </w:r>
      <w:r w:rsidR="000B5702" w:rsidRPr="00D11A78">
        <w:rPr>
          <w:rFonts w:cs="Times New Roman"/>
          <w:szCs w:val="24"/>
        </w:rPr>
        <w:t>well as to</w:t>
      </w:r>
      <w:r w:rsidR="009A6E92" w:rsidRPr="00D11A78">
        <w:rPr>
          <w:rFonts w:cs="Times New Roman"/>
          <w:szCs w:val="24"/>
        </w:rPr>
        <w:t xml:space="preserve"> upgrades </w:t>
      </w:r>
      <w:r w:rsidR="000B5702" w:rsidRPr="00D11A78">
        <w:rPr>
          <w:rFonts w:cs="Times New Roman"/>
          <w:szCs w:val="24"/>
        </w:rPr>
        <w:t xml:space="preserve">during </w:t>
      </w:r>
      <w:r w:rsidR="009A6E92" w:rsidRPr="00D11A78">
        <w:rPr>
          <w:rFonts w:cs="Times New Roman"/>
          <w:szCs w:val="24"/>
        </w:rPr>
        <w:t>the</w:t>
      </w:r>
      <w:r w:rsidR="002B480D" w:rsidRPr="00D11A78">
        <w:rPr>
          <w:rFonts w:cs="Times New Roman"/>
          <w:szCs w:val="24"/>
        </w:rPr>
        <w:t xml:space="preserve"> proposed</w:t>
      </w:r>
      <w:r w:rsidR="000B5702" w:rsidRPr="00D11A78">
        <w:rPr>
          <w:rFonts w:cs="Times New Roman"/>
          <w:szCs w:val="24"/>
        </w:rPr>
        <w:t xml:space="preserve"> 10-year</w:t>
      </w:r>
      <w:r w:rsidR="009A6E92" w:rsidRPr="00D11A78">
        <w:rPr>
          <w:rFonts w:cs="Times New Roman"/>
          <w:szCs w:val="24"/>
        </w:rPr>
        <w:t xml:space="preserve"> period, </w:t>
      </w:r>
      <w:r w:rsidR="000B5702" w:rsidRPr="00D11A78">
        <w:rPr>
          <w:rFonts w:cs="Times New Roman"/>
          <w:szCs w:val="24"/>
        </w:rPr>
        <w:t xml:space="preserve">the definition of generation resource, </w:t>
      </w:r>
      <w:r w:rsidR="009A6E92" w:rsidRPr="00D11A78">
        <w:rPr>
          <w:rFonts w:cs="Times New Roman"/>
          <w:szCs w:val="24"/>
        </w:rPr>
        <w:t>and reporting and monitoring of data.</w:t>
      </w:r>
      <w:r w:rsidR="00AC2170" w:rsidRPr="00D11A78">
        <w:rPr>
          <w:rFonts w:cs="Times New Roman"/>
          <w:szCs w:val="24"/>
        </w:rPr>
        <w:t xml:space="preserve"> </w:t>
      </w:r>
      <w:r w:rsidR="009A6E92" w:rsidRPr="00D11A78">
        <w:rPr>
          <w:rFonts w:cs="Times New Roman"/>
          <w:szCs w:val="24"/>
        </w:rPr>
        <w:t xml:space="preserve">TCPA has no comments or suggested changes for </w:t>
      </w:r>
      <w:r w:rsidR="00656DE9" w:rsidRPr="00D11A78">
        <w:rPr>
          <w:rFonts w:cs="Times New Roman"/>
          <w:szCs w:val="24"/>
        </w:rPr>
        <w:t>16 Texas Administration Code (</w:t>
      </w:r>
      <w:r w:rsidR="00A3696C">
        <w:rPr>
          <w:rFonts w:cs="Times New Roman"/>
          <w:szCs w:val="24"/>
        </w:rPr>
        <w:t>“</w:t>
      </w:r>
      <w:r w:rsidR="00656DE9" w:rsidRPr="00D11A78">
        <w:rPr>
          <w:rFonts w:cs="Times New Roman"/>
          <w:szCs w:val="24"/>
        </w:rPr>
        <w:t>TAC</w:t>
      </w:r>
      <w:r w:rsidR="00A3696C">
        <w:rPr>
          <w:rFonts w:cs="Times New Roman"/>
          <w:szCs w:val="24"/>
        </w:rPr>
        <w:t>”</w:t>
      </w:r>
      <w:r w:rsidR="00656DE9" w:rsidRPr="00D11A78">
        <w:rPr>
          <w:rFonts w:cs="Times New Roman"/>
          <w:szCs w:val="24"/>
        </w:rPr>
        <w:t>) §25.195 (a) – (e) and does not address those portions of the proposed rule.</w:t>
      </w:r>
    </w:p>
    <w:p w14:paraId="53205073" w14:textId="3CFE5901" w:rsidR="004D2307" w:rsidRPr="00D11A78" w:rsidRDefault="0039362A" w:rsidP="004D2307">
      <w:pPr>
        <w:spacing w:line="480" w:lineRule="auto"/>
        <w:ind w:firstLine="360"/>
        <w:jc w:val="center"/>
        <w:rPr>
          <w:rFonts w:cs="Times New Roman"/>
          <w:b/>
          <w:bCs/>
          <w:szCs w:val="24"/>
        </w:rPr>
      </w:pPr>
      <w:r w:rsidRPr="00D11A78">
        <w:rPr>
          <w:rFonts w:cs="Times New Roman"/>
          <w:b/>
          <w:bCs/>
          <w:szCs w:val="24"/>
        </w:rPr>
        <w:t xml:space="preserve">Comments on Proposed </w:t>
      </w:r>
      <w:r w:rsidR="009A6E92" w:rsidRPr="00D11A78">
        <w:rPr>
          <w:rFonts w:cs="Times New Roman"/>
          <w:b/>
          <w:bCs/>
          <w:szCs w:val="24"/>
        </w:rPr>
        <w:t>16 TAC §25.195 (f)</w:t>
      </w:r>
    </w:p>
    <w:p w14:paraId="19F0F0E3" w14:textId="15175680" w:rsidR="00475B15" w:rsidRPr="00D11A78" w:rsidRDefault="00974EA3" w:rsidP="00CC045D">
      <w:pPr>
        <w:spacing w:line="480" w:lineRule="auto"/>
        <w:ind w:firstLine="360"/>
        <w:rPr>
          <w:rFonts w:cs="Times New Roman"/>
          <w:szCs w:val="24"/>
        </w:rPr>
      </w:pPr>
      <w:r w:rsidRPr="00D11A78">
        <w:rPr>
          <w:rFonts w:cs="Times New Roman"/>
          <w:szCs w:val="24"/>
        </w:rPr>
        <w:t xml:space="preserve">TCPA, in addition to </w:t>
      </w:r>
      <w:proofErr w:type="gramStart"/>
      <w:r w:rsidRPr="00D11A78">
        <w:rPr>
          <w:rFonts w:cs="Times New Roman"/>
          <w:szCs w:val="24"/>
        </w:rPr>
        <w:t>a majority of</w:t>
      </w:r>
      <w:proofErr w:type="gramEnd"/>
      <w:r w:rsidRPr="00D11A78">
        <w:rPr>
          <w:rFonts w:cs="Times New Roman"/>
          <w:szCs w:val="24"/>
        </w:rPr>
        <w:t xml:space="preserve"> the commenters</w:t>
      </w:r>
      <w:r w:rsidR="0039362A" w:rsidRPr="00D11A78">
        <w:rPr>
          <w:rFonts w:cs="Times New Roman"/>
          <w:szCs w:val="24"/>
        </w:rPr>
        <w:t xml:space="preserve"> that participated at the workshop held at the Commission on November 7, 2023</w:t>
      </w:r>
      <w:r w:rsidRPr="00D11A78">
        <w:rPr>
          <w:rFonts w:cs="Times New Roman"/>
          <w:szCs w:val="24"/>
        </w:rPr>
        <w:t xml:space="preserve">, </w:t>
      </w:r>
      <w:r w:rsidR="0039362A" w:rsidRPr="00D11A78">
        <w:rPr>
          <w:rFonts w:cs="Times New Roman"/>
          <w:szCs w:val="24"/>
        </w:rPr>
        <w:t xml:space="preserve">expressed a strong preference to have a single allowance </w:t>
      </w:r>
      <w:r w:rsidR="0039362A" w:rsidRPr="00D11A78">
        <w:rPr>
          <w:rFonts w:cs="Times New Roman"/>
          <w:szCs w:val="24"/>
        </w:rPr>
        <w:lastRenderedPageBreak/>
        <w:t>amount that applies to all interconnections regardless of voltage level</w:t>
      </w:r>
      <w:r w:rsidR="00BB7712" w:rsidRPr="00D11A78">
        <w:rPr>
          <w:rFonts w:cs="Times New Roman"/>
          <w:szCs w:val="24"/>
        </w:rPr>
        <w:t>.</w:t>
      </w:r>
      <w:r w:rsidR="00D71501" w:rsidRPr="00D11A78">
        <w:rPr>
          <w:rFonts w:cs="Times New Roman"/>
          <w:szCs w:val="24"/>
        </w:rPr>
        <w:t xml:space="preserve"> </w:t>
      </w:r>
      <w:r w:rsidR="00A10FAE" w:rsidRPr="00D11A78">
        <w:rPr>
          <w:rFonts w:cs="Times New Roman"/>
          <w:szCs w:val="24"/>
        </w:rPr>
        <w:t>Although some of the written comments submitted in advance of the workshop</w:t>
      </w:r>
      <w:r w:rsidR="00EB111A" w:rsidRPr="00D11A78">
        <w:rPr>
          <w:rFonts w:cs="Times New Roman"/>
          <w:szCs w:val="24"/>
        </w:rPr>
        <w:t xml:space="preserve"> (and before the </w:t>
      </w:r>
      <w:r w:rsidR="00AC68E3" w:rsidRPr="00D11A78">
        <w:rPr>
          <w:rFonts w:cs="Times New Roman"/>
          <w:szCs w:val="24"/>
        </w:rPr>
        <w:t xml:space="preserve">filing of the </w:t>
      </w:r>
      <w:r w:rsidR="00EB111A" w:rsidRPr="00D11A78">
        <w:rPr>
          <w:rFonts w:cs="Times New Roman"/>
          <w:szCs w:val="24"/>
        </w:rPr>
        <w:t xml:space="preserve">historical </w:t>
      </w:r>
      <w:r w:rsidR="00AC68E3" w:rsidRPr="00D11A78">
        <w:rPr>
          <w:rFonts w:cs="Times New Roman"/>
          <w:szCs w:val="24"/>
        </w:rPr>
        <w:t>interconnection data)</w:t>
      </w:r>
      <w:r w:rsidR="00A10FAE" w:rsidRPr="00D11A78">
        <w:rPr>
          <w:rFonts w:cs="Times New Roman"/>
          <w:szCs w:val="24"/>
        </w:rPr>
        <w:t xml:space="preserve"> suggested that </w:t>
      </w:r>
      <w:r w:rsidR="00CF77F6" w:rsidRPr="00D11A78">
        <w:rPr>
          <w:rFonts w:cs="Times New Roman"/>
          <w:szCs w:val="24"/>
        </w:rPr>
        <w:t>differentiating the allowance based on voltage level might be appropriate,</w:t>
      </w:r>
      <w:r w:rsidR="00CF77F6" w:rsidRPr="00D11A78">
        <w:rPr>
          <w:rStyle w:val="FootnoteReference"/>
          <w:rFonts w:cs="Times New Roman"/>
          <w:szCs w:val="24"/>
        </w:rPr>
        <w:footnoteReference w:id="2"/>
      </w:r>
      <w:r w:rsidR="00CF77F6" w:rsidRPr="00D11A78">
        <w:rPr>
          <w:rFonts w:cs="Times New Roman"/>
          <w:szCs w:val="24"/>
        </w:rPr>
        <w:t xml:space="preserve"> d</w:t>
      </w:r>
      <w:r w:rsidR="0039362A" w:rsidRPr="00D11A78">
        <w:rPr>
          <w:rFonts w:cs="Times New Roman"/>
          <w:szCs w:val="24"/>
        </w:rPr>
        <w:t>iscussion at the November 7 workshop from</w:t>
      </w:r>
      <w:r w:rsidR="00142A77" w:rsidRPr="00D11A78">
        <w:rPr>
          <w:rFonts w:cs="Times New Roman"/>
          <w:szCs w:val="24"/>
        </w:rPr>
        <w:t xml:space="preserve"> a wide range of commenters, including</w:t>
      </w:r>
      <w:r w:rsidR="0039362A" w:rsidRPr="00D11A78">
        <w:rPr>
          <w:rFonts w:cs="Times New Roman"/>
          <w:szCs w:val="24"/>
        </w:rPr>
        <w:t xml:space="preserve"> transmission and distribution utilities (</w:t>
      </w:r>
      <w:r w:rsidR="00C347CB">
        <w:rPr>
          <w:rFonts w:cs="Times New Roman"/>
          <w:szCs w:val="24"/>
        </w:rPr>
        <w:t>“</w:t>
      </w:r>
      <w:r w:rsidR="0039362A" w:rsidRPr="00D11A78">
        <w:rPr>
          <w:rFonts w:cs="Times New Roman"/>
          <w:szCs w:val="24"/>
        </w:rPr>
        <w:t>TDUs</w:t>
      </w:r>
      <w:r w:rsidR="00C347CB">
        <w:rPr>
          <w:rFonts w:cs="Times New Roman"/>
          <w:szCs w:val="24"/>
        </w:rPr>
        <w:t>”</w:t>
      </w:r>
      <w:r w:rsidR="0039362A" w:rsidRPr="00D11A78">
        <w:rPr>
          <w:rFonts w:cs="Times New Roman"/>
          <w:szCs w:val="24"/>
        </w:rPr>
        <w:t>), industrial consumers, and generators of various fuel types</w:t>
      </w:r>
      <w:r w:rsidR="00142A77" w:rsidRPr="00D11A78">
        <w:rPr>
          <w:rFonts w:cs="Times New Roman"/>
          <w:szCs w:val="24"/>
        </w:rPr>
        <w:t>,</w:t>
      </w:r>
      <w:r w:rsidR="0039362A" w:rsidRPr="00D11A78">
        <w:rPr>
          <w:rFonts w:cs="Times New Roman"/>
          <w:szCs w:val="24"/>
        </w:rPr>
        <w:t xml:space="preserve"> </w:t>
      </w:r>
      <w:r w:rsidR="00CF77F6" w:rsidRPr="00D11A78">
        <w:rPr>
          <w:rFonts w:cs="Times New Roman"/>
          <w:szCs w:val="24"/>
        </w:rPr>
        <w:t>generally indicated</w:t>
      </w:r>
      <w:r w:rsidR="0039362A" w:rsidRPr="00D11A78">
        <w:rPr>
          <w:rFonts w:cs="Times New Roman"/>
          <w:szCs w:val="24"/>
        </w:rPr>
        <w:t xml:space="preserve"> agreement that the data submitted by </w:t>
      </w:r>
      <w:r w:rsidR="00882EAD" w:rsidRPr="00D11A78">
        <w:rPr>
          <w:rFonts w:cs="Times New Roman"/>
          <w:szCs w:val="24"/>
        </w:rPr>
        <w:t>Commission Staff</w:t>
      </w:r>
      <w:r w:rsidR="0039362A" w:rsidRPr="00D11A78">
        <w:rPr>
          <w:rFonts w:cs="Times New Roman"/>
          <w:szCs w:val="24"/>
        </w:rPr>
        <w:t xml:space="preserve"> regarding historical interconnection costs did not warrant a bifurcated interconnection allowance based on voltage level.</w:t>
      </w:r>
      <w:r w:rsidR="00882EAD" w:rsidRPr="00D11A78">
        <w:rPr>
          <w:rStyle w:val="FootnoteReference"/>
          <w:rFonts w:cs="Times New Roman"/>
          <w:szCs w:val="24"/>
        </w:rPr>
        <w:footnoteReference w:id="3"/>
      </w:r>
      <w:r w:rsidR="00B75373" w:rsidRPr="00D11A78">
        <w:rPr>
          <w:rFonts w:cs="Times New Roman"/>
          <w:szCs w:val="24"/>
        </w:rPr>
        <w:t xml:space="preserve"> In the historical data, </w:t>
      </w:r>
      <w:r w:rsidR="00D333B1" w:rsidRPr="00D11A78">
        <w:rPr>
          <w:rFonts w:cs="Times New Roman"/>
          <w:szCs w:val="24"/>
        </w:rPr>
        <w:t xml:space="preserve">there were several recent </w:t>
      </w:r>
      <w:r w:rsidR="00B75373" w:rsidRPr="00D11A78">
        <w:rPr>
          <w:rFonts w:cs="Times New Roman"/>
          <w:szCs w:val="24"/>
        </w:rPr>
        <w:t xml:space="preserve">interconnections </w:t>
      </w:r>
      <w:r w:rsidR="00D333B1" w:rsidRPr="00D11A78">
        <w:rPr>
          <w:rFonts w:cs="Times New Roman"/>
          <w:szCs w:val="24"/>
        </w:rPr>
        <w:t>of dispatchable, natural gas-fueled</w:t>
      </w:r>
      <w:r w:rsidR="00B75373" w:rsidRPr="00D11A78">
        <w:rPr>
          <w:rFonts w:cs="Times New Roman"/>
          <w:szCs w:val="24"/>
        </w:rPr>
        <w:t xml:space="preserve"> </w:t>
      </w:r>
      <w:r w:rsidR="00D15D72" w:rsidRPr="00D11A78">
        <w:rPr>
          <w:rFonts w:cs="Times New Roman"/>
          <w:szCs w:val="24"/>
        </w:rPr>
        <w:t xml:space="preserve">resources </w:t>
      </w:r>
      <w:r w:rsidR="00D333B1" w:rsidRPr="00D11A78">
        <w:rPr>
          <w:rFonts w:cs="Times New Roman"/>
          <w:szCs w:val="24"/>
        </w:rPr>
        <w:t>that</w:t>
      </w:r>
      <w:r w:rsidR="00D15D72" w:rsidRPr="00D11A78">
        <w:rPr>
          <w:rFonts w:cs="Times New Roman"/>
          <w:szCs w:val="24"/>
        </w:rPr>
        <w:t xml:space="preserve"> would have exceeded the </w:t>
      </w:r>
      <w:r w:rsidR="00026AEF" w:rsidRPr="00D11A78">
        <w:rPr>
          <w:rFonts w:cs="Times New Roman"/>
          <w:szCs w:val="24"/>
        </w:rPr>
        <w:t xml:space="preserve">$12,000,000 </w:t>
      </w:r>
      <w:r w:rsidR="00D15D72" w:rsidRPr="00D11A78">
        <w:rPr>
          <w:rFonts w:cs="Times New Roman"/>
          <w:szCs w:val="24"/>
        </w:rPr>
        <w:t>proposed allowance for 138 kV</w:t>
      </w:r>
      <w:r w:rsidR="00D333B1" w:rsidRPr="00D11A78">
        <w:rPr>
          <w:rFonts w:cs="Times New Roman"/>
          <w:szCs w:val="24"/>
        </w:rPr>
        <w:t xml:space="preserve"> </w:t>
      </w:r>
      <w:r w:rsidR="008C4268" w:rsidRPr="00D11A78">
        <w:rPr>
          <w:rFonts w:cs="Times New Roman"/>
          <w:szCs w:val="24"/>
        </w:rPr>
        <w:t xml:space="preserve">interconnections </w:t>
      </w:r>
      <w:r w:rsidR="00072077" w:rsidRPr="00D11A78">
        <w:rPr>
          <w:rFonts w:cs="Times New Roman"/>
          <w:szCs w:val="24"/>
        </w:rPr>
        <w:t xml:space="preserve">(but still been far below the proposed $22,500,000 allowance for </w:t>
      </w:r>
      <w:r w:rsidR="008C4268" w:rsidRPr="00D11A78">
        <w:rPr>
          <w:rFonts w:cs="Times New Roman"/>
          <w:szCs w:val="24"/>
        </w:rPr>
        <w:t>interconnections at higher voltages</w:t>
      </w:r>
      <w:r w:rsidR="00C67AB8" w:rsidRPr="00D11A78">
        <w:rPr>
          <w:rStyle w:val="FootnoteReference"/>
          <w:rFonts w:cs="Times New Roman"/>
          <w:szCs w:val="24"/>
        </w:rPr>
        <w:footnoteReference w:id="4"/>
      </w:r>
      <w:r w:rsidR="00072077" w:rsidRPr="00D11A78">
        <w:rPr>
          <w:rFonts w:cs="Times New Roman"/>
          <w:szCs w:val="24"/>
        </w:rPr>
        <w:t xml:space="preserve">) </w:t>
      </w:r>
      <w:r w:rsidR="00D333B1" w:rsidRPr="00D11A78">
        <w:rPr>
          <w:rFonts w:cs="Times New Roman"/>
          <w:szCs w:val="24"/>
        </w:rPr>
        <w:t>even though they required a mile</w:t>
      </w:r>
      <w:r w:rsidR="000815BA" w:rsidRPr="00D11A78">
        <w:rPr>
          <w:rFonts w:cs="Times New Roman"/>
          <w:szCs w:val="24"/>
        </w:rPr>
        <w:t xml:space="preserve"> or less</w:t>
      </w:r>
      <w:r w:rsidR="00D333B1" w:rsidRPr="00D11A78">
        <w:rPr>
          <w:rFonts w:cs="Times New Roman"/>
          <w:szCs w:val="24"/>
        </w:rPr>
        <w:t xml:space="preserve"> of </w:t>
      </w:r>
      <w:r w:rsidR="003B565F" w:rsidRPr="00D11A78">
        <w:rPr>
          <w:rFonts w:cs="Times New Roman"/>
          <w:szCs w:val="24"/>
        </w:rPr>
        <w:t>transmission buildout</w:t>
      </w:r>
      <w:r w:rsidR="004753DF" w:rsidRPr="00D11A78">
        <w:rPr>
          <w:rFonts w:cs="Times New Roman"/>
          <w:szCs w:val="24"/>
        </w:rPr>
        <w:t xml:space="preserve">, indicating that amount is not </w:t>
      </w:r>
      <w:r w:rsidR="002A19FD" w:rsidRPr="00D11A78">
        <w:rPr>
          <w:rFonts w:cs="Times New Roman"/>
          <w:szCs w:val="24"/>
        </w:rPr>
        <w:t xml:space="preserve">always </w:t>
      </w:r>
      <w:r w:rsidR="004753DF" w:rsidRPr="00D11A78">
        <w:rPr>
          <w:rFonts w:cs="Times New Roman"/>
          <w:szCs w:val="24"/>
        </w:rPr>
        <w:t>sufficient to cover interconnections that are prudent in their siting and efficient in their interconnection plan.</w:t>
      </w:r>
      <w:r w:rsidR="0039362A" w:rsidRPr="00D11A78">
        <w:rPr>
          <w:rFonts w:cs="Times New Roman"/>
          <w:szCs w:val="24"/>
        </w:rPr>
        <w:t xml:space="preserve"> The substantially higher interconnection allowance of $22,500,000 for transmission voltage above 138 kV </w:t>
      </w:r>
      <w:r w:rsidR="00D333B1" w:rsidRPr="00D11A78">
        <w:rPr>
          <w:rFonts w:cs="Times New Roman"/>
          <w:szCs w:val="24"/>
        </w:rPr>
        <w:t xml:space="preserve">thus could </w:t>
      </w:r>
      <w:r w:rsidR="0039362A" w:rsidRPr="00D11A78">
        <w:rPr>
          <w:rFonts w:cs="Times New Roman"/>
          <w:szCs w:val="24"/>
        </w:rPr>
        <w:t>create a perverse incentive for interconnecting entities to opt for this higher level, regardless of whether that is needed for their resource</w:t>
      </w:r>
      <w:r w:rsidR="00D333B1" w:rsidRPr="00D11A78">
        <w:rPr>
          <w:rFonts w:cs="Times New Roman"/>
          <w:szCs w:val="24"/>
        </w:rPr>
        <w:t xml:space="preserve"> and even if the higher voltage would cost relatively more than a lower voltage interconnection</w:t>
      </w:r>
      <w:r w:rsidR="0039362A" w:rsidRPr="00D11A78">
        <w:rPr>
          <w:rFonts w:cs="Times New Roman"/>
          <w:szCs w:val="24"/>
        </w:rPr>
        <w:t>, to ensure the project receives the higher interconnection allowance.</w:t>
      </w:r>
    </w:p>
    <w:p w14:paraId="708BE60B" w14:textId="77BC226B" w:rsidR="006064D9" w:rsidRPr="00D11A78" w:rsidRDefault="0039362A" w:rsidP="00CC045D">
      <w:pPr>
        <w:spacing w:line="480" w:lineRule="auto"/>
        <w:ind w:firstLine="360"/>
        <w:rPr>
          <w:rFonts w:cs="Times New Roman"/>
          <w:szCs w:val="24"/>
        </w:rPr>
      </w:pPr>
      <w:r w:rsidRPr="00D11A78">
        <w:rPr>
          <w:rFonts w:cs="Times New Roman"/>
          <w:szCs w:val="24"/>
        </w:rPr>
        <w:t xml:space="preserve">A </w:t>
      </w:r>
      <w:r w:rsidR="006064D9" w:rsidRPr="00D11A78">
        <w:rPr>
          <w:rFonts w:cs="Times New Roman"/>
          <w:szCs w:val="24"/>
        </w:rPr>
        <w:t>more efficient, transparent</w:t>
      </w:r>
      <w:r w:rsidR="00D11A78">
        <w:rPr>
          <w:rFonts w:cs="Times New Roman"/>
          <w:szCs w:val="24"/>
        </w:rPr>
        <w:t>,</w:t>
      </w:r>
      <w:r w:rsidR="006064D9" w:rsidRPr="00D11A78">
        <w:rPr>
          <w:rFonts w:cs="Times New Roman"/>
          <w:szCs w:val="24"/>
        </w:rPr>
        <w:t xml:space="preserve"> and simple method would be to </w:t>
      </w:r>
      <w:bookmarkStart w:id="0" w:name="_Hlk155251650"/>
      <w:r w:rsidR="006064D9" w:rsidRPr="00D11A78">
        <w:rPr>
          <w:rFonts w:cs="Times New Roman"/>
          <w:szCs w:val="24"/>
        </w:rPr>
        <w:t xml:space="preserve">set one interconnection allowance at an amount between the proposed lower voltage allowance and the proposed higher </w:t>
      </w:r>
      <w:r w:rsidR="006064D9" w:rsidRPr="00D11A78">
        <w:rPr>
          <w:rFonts w:cs="Times New Roman"/>
          <w:szCs w:val="24"/>
        </w:rPr>
        <w:lastRenderedPageBreak/>
        <w:t>one. For example,</w:t>
      </w:r>
      <w:r w:rsidR="003F5936" w:rsidRPr="00D11A78">
        <w:rPr>
          <w:rFonts w:cs="Times New Roman"/>
          <w:szCs w:val="24"/>
        </w:rPr>
        <w:t xml:space="preserve"> based on the historical data,</w:t>
      </w:r>
      <w:r w:rsidR="006064D9" w:rsidRPr="00D11A78">
        <w:rPr>
          <w:rFonts w:cs="Times New Roman"/>
          <w:szCs w:val="24"/>
        </w:rPr>
        <w:t xml:space="preserve"> an interconnection allowance of $18,000,000</w:t>
      </w:r>
      <w:r w:rsidR="003F5936" w:rsidRPr="00D11A78">
        <w:rPr>
          <w:rFonts w:cs="Times New Roman"/>
          <w:szCs w:val="24"/>
        </w:rPr>
        <w:t xml:space="preserve"> (with future adjustments for inflation, as proposed in the </w:t>
      </w:r>
      <w:r w:rsidR="007B0611" w:rsidRPr="00D11A78">
        <w:rPr>
          <w:rFonts w:cs="Times New Roman"/>
          <w:szCs w:val="24"/>
        </w:rPr>
        <w:t xml:space="preserve">published </w:t>
      </w:r>
      <w:r w:rsidR="003F5936" w:rsidRPr="00D11A78">
        <w:rPr>
          <w:rFonts w:cs="Times New Roman"/>
          <w:szCs w:val="24"/>
        </w:rPr>
        <w:t>rule)</w:t>
      </w:r>
      <w:bookmarkEnd w:id="0"/>
      <w:r w:rsidR="006064D9" w:rsidRPr="00D11A78">
        <w:rPr>
          <w:rFonts w:cs="Times New Roman"/>
          <w:szCs w:val="24"/>
        </w:rPr>
        <w:t xml:space="preserve"> would provide an incentive to interconnect at the transmission voltage most appropriate for the interconnecting resource, encourage efficient siting, and would provide a fair and understood interconnection allowance to all resources regardless of the TDU area or voltage level. Consumers will not be asked to pay for interconnections that are at a higher than necessary voltage level; and resources can work with transmission providers to determine </w:t>
      </w:r>
      <w:r w:rsidR="00BF4F12" w:rsidRPr="00D11A78">
        <w:rPr>
          <w:rFonts w:cs="Times New Roman"/>
          <w:szCs w:val="24"/>
        </w:rPr>
        <w:t xml:space="preserve">which interconnection option best delivers power effectively and efficiently to the grid </w:t>
      </w:r>
      <w:r w:rsidR="006064D9" w:rsidRPr="00D11A78">
        <w:rPr>
          <w:rFonts w:cs="Times New Roman"/>
          <w:szCs w:val="24"/>
        </w:rPr>
        <w:t>without attempt</w:t>
      </w:r>
      <w:r w:rsidR="00BF4F12" w:rsidRPr="00D11A78">
        <w:rPr>
          <w:rFonts w:cs="Times New Roman"/>
          <w:szCs w:val="24"/>
        </w:rPr>
        <w:t>ing</w:t>
      </w:r>
      <w:r w:rsidR="006064D9" w:rsidRPr="00D11A78">
        <w:rPr>
          <w:rFonts w:cs="Times New Roman"/>
          <w:szCs w:val="24"/>
        </w:rPr>
        <w:t xml:space="preserve"> to </w:t>
      </w:r>
      <w:r w:rsidR="002A19FD" w:rsidRPr="00D11A78">
        <w:rPr>
          <w:rFonts w:cs="Times New Roman"/>
          <w:szCs w:val="24"/>
        </w:rPr>
        <w:t xml:space="preserve">arbitrage a </w:t>
      </w:r>
      <w:r w:rsidR="006064D9" w:rsidRPr="00D11A78">
        <w:rPr>
          <w:rFonts w:cs="Times New Roman"/>
          <w:szCs w:val="24"/>
        </w:rPr>
        <w:t>maxim</w:t>
      </w:r>
      <w:r w:rsidR="002A19FD" w:rsidRPr="00D11A78">
        <w:rPr>
          <w:rFonts w:cs="Times New Roman"/>
          <w:szCs w:val="24"/>
        </w:rPr>
        <w:t>um</w:t>
      </w:r>
      <w:r w:rsidR="006064D9" w:rsidRPr="00D11A78">
        <w:rPr>
          <w:rFonts w:cs="Times New Roman"/>
          <w:szCs w:val="24"/>
        </w:rPr>
        <w:t xml:space="preserve"> allowance amount. The proposed increases or decreases that follow in subsection (f) could remain as proposed and be applicable to the single interconnection allowance. </w:t>
      </w:r>
    </w:p>
    <w:p w14:paraId="291BDABE" w14:textId="25A476BA" w:rsidR="00BF4F12" w:rsidRPr="00717DCD" w:rsidRDefault="00BF4F12" w:rsidP="00E2185F">
      <w:pPr>
        <w:spacing w:line="480" w:lineRule="auto"/>
        <w:ind w:firstLine="360"/>
        <w:jc w:val="center"/>
        <w:rPr>
          <w:rFonts w:cs="Times New Roman"/>
          <w:b/>
          <w:bCs/>
          <w:szCs w:val="24"/>
        </w:rPr>
      </w:pPr>
      <w:r w:rsidRPr="00717DCD">
        <w:rPr>
          <w:rFonts w:cs="Times New Roman"/>
          <w:b/>
          <w:bCs/>
          <w:szCs w:val="24"/>
        </w:rPr>
        <w:t>CLARITY NEEDED ON SGIA AMENDMENTS</w:t>
      </w:r>
      <w:r w:rsidR="007C34FC" w:rsidRPr="00717DCD">
        <w:rPr>
          <w:rFonts w:cs="Times New Roman"/>
          <w:b/>
          <w:bCs/>
          <w:szCs w:val="24"/>
        </w:rPr>
        <w:t xml:space="preserve"> AND UPGRADES</w:t>
      </w:r>
    </w:p>
    <w:p w14:paraId="6DDACC9A" w14:textId="773A4F56" w:rsidR="00DD7BB2" w:rsidRPr="00717DCD" w:rsidRDefault="001E41CA" w:rsidP="00DD7BB2">
      <w:pPr>
        <w:spacing w:line="480" w:lineRule="auto"/>
        <w:ind w:firstLine="360"/>
        <w:rPr>
          <w:rFonts w:cs="Times New Roman"/>
          <w:szCs w:val="24"/>
        </w:rPr>
      </w:pPr>
      <w:r w:rsidRPr="00717DCD">
        <w:rPr>
          <w:rFonts w:cs="Times New Roman"/>
          <w:szCs w:val="24"/>
        </w:rPr>
        <w:t>First,</w:t>
      </w:r>
      <w:r w:rsidR="00DD7BB2" w:rsidRPr="00717DCD">
        <w:rPr>
          <w:rFonts w:cs="Times New Roman"/>
          <w:szCs w:val="24"/>
        </w:rPr>
        <w:t xml:space="preserve"> it is not always clear when an SGIA amendment is needed compared to a new SGIA, particularly for expansions at existing plant sites, and this ambiguity could make</w:t>
      </w:r>
      <w:r w:rsidR="007E18B5" w:rsidRPr="00717DCD">
        <w:rPr>
          <w:rFonts w:cs="Times New Roman"/>
          <w:szCs w:val="24"/>
        </w:rPr>
        <w:t xml:space="preserve"> it difficult to determine which circumstances trigger the initial</w:t>
      </w:r>
      <w:r w:rsidR="00DD7BB2" w:rsidRPr="00717DCD">
        <w:rPr>
          <w:rFonts w:cs="Times New Roman"/>
          <w:szCs w:val="24"/>
        </w:rPr>
        <w:t xml:space="preserve"> application of the allowance</w:t>
      </w:r>
      <w:r w:rsidR="007E18B5" w:rsidRPr="00717DCD">
        <w:rPr>
          <w:rFonts w:cs="Times New Roman"/>
          <w:szCs w:val="24"/>
        </w:rPr>
        <w:t xml:space="preserve"> </w:t>
      </w:r>
      <w:r w:rsidR="00F23381" w:rsidRPr="00717DCD">
        <w:rPr>
          <w:rFonts w:cs="Times New Roman"/>
          <w:szCs w:val="24"/>
        </w:rPr>
        <w:t>following December 31, 2025</w:t>
      </w:r>
      <w:r w:rsidR="00DD7BB2" w:rsidRPr="00717DCD">
        <w:rPr>
          <w:rFonts w:cs="Times New Roman"/>
          <w:szCs w:val="24"/>
        </w:rPr>
        <w:t xml:space="preserve">. For example, a generator that opts to build a new unit at the site of a current resource will be interconnecting a new resource onto the </w:t>
      </w:r>
      <w:proofErr w:type="gramStart"/>
      <w:r w:rsidR="00DD7BB2" w:rsidRPr="00717DCD">
        <w:rPr>
          <w:rFonts w:cs="Times New Roman"/>
          <w:szCs w:val="24"/>
        </w:rPr>
        <w:t>grid, but</w:t>
      </w:r>
      <w:proofErr w:type="gramEnd"/>
      <w:r w:rsidR="00DD7BB2" w:rsidRPr="00717DCD">
        <w:rPr>
          <w:rFonts w:cs="Times New Roman"/>
          <w:szCs w:val="24"/>
        </w:rPr>
        <w:t xml:space="preserve"> depending on the agreement between the applicable transmission service provider (</w:t>
      </w:r>
      <w:r w:rsidR="00B31CEB">
        <w:rPr>
          <w:rFonts w:cs="Times New Roman"/>
          <w:szCs w:val="24"/>
        </w:rPr>
        <w:t>“</w:t>
      </w:r>
      <w:r w:rsidR="00DD7BB2" w:rsidRPr="00717DCD">
        <w:rPr>
          <w:rFonts w:cs="Times New Roman"/>
          <w:szCs w:val="24"/>
        </w:rPr>
        <w:t>TSP</w:t>
      </w:r>
      <w:r w:rsidR="00B31CEB">
        <w:rPr>
          <w:rFonts w:cs="Times New Roman"/>
          <w:szCs w:val="24"/>
        </w:rPr>
        <w:t>”</w:t>
      </w:r>
      <w:r w:rsidR="00DD7BB2" w:rsidRPr="00717DCD">
        <w:rPr>
          <w:rFonts w:cs="Times New Roman"/>
          <w:szCs w:val="24"/>
        </w:rPr>
        <w:t xml:space="preserve">) and generator, the generator potentially could execute a new SGIA with the TSP for that new unit or alternatively amend the current SGIA for the existing plant at the site. </w:t>
      </w:r>
      <w:r w:rsidR="00F86EC3" w:rsidRPr="00717DCD">
        <w:rPr>
          <w:rFonts w:cs="Times New Roman"/>
          <w:szCs w:val="24"/>
        </w:rPr>
        <w:t>I</w:t>
      </w:r>
      <w:r w:rsidR="00DD7BB2" w:rsidRPr="00717DCD">
        <w:rPr>
          <w:rFonts w:cs="Times New Roman"/>
          <w:szCs w:val="24"/>
        </w:rPr>
        <w:t xml:space="preserve">f the original SGIA was executed before December 31, 2025, but the amendment was executed after December 31, 2025, it is not clear whether the allowance would apply to that circumstance, or if the new unit at the existing plant site would be grandfathered based on the original SGIA execution date. </w:t>
      </w:r>
      <w:r w:rsidR="00BA3905" w:rsidRPr="00717DCD">
        <w:rPr>
          <w:rFonts w:cs="Times New Roman"/>
          <w:szCs w:val="24"/>
        </w:rPr>
        <w:t>For simplicity</w:t>
      </w:r>
      <w:r w:rsidR="006656E0">
        <w:rPr>
          <w:rFonts w:cs="Times New Roman"/>
          <w:szCs w:val="24"/>
        </w:rPr>
        <w:t xml:space="preserve"> and to create a clea</w:t>
      </w:r>
      <w:r w:rsidR="00892892">
        <w:rPr>
          <w:rFonts w:cs="Times New Roman"/>
          <w:szCs w:val="24"/>
        </w:rPr>
        <w:t>r</w:t>
      </w:r>
      <w:r w:rsidR="006656E0">
        <w:rPr>
          <w:rFonts w:cs="Times New Roman"/>
          <w:szCs w:val="24"/>
        </w:rPr>
        <w:t xml:space="preserve"> start point for the </w:t>
      </w:r>
      <w:r w:rsidR="00892892">
        <w:rPr>
          <w:rFonts w:cs="Times New Roman"/>
          <w:szCs w:val="24"/>
        </w:rPr>
        <w:t>application of the allowance requirements</w:t>
      </w:r>
      <w:r w:rsidR="00BA3905" w:rsidRPr="00717DCD">
        <w:rPr>
          <w:rFonts w:cs="Times New Roman"/>
          <w:szCs w:val="24"/>
        </w:rPr>
        <w:t xml:space="preserve">, </w:t>
      </w:r>
      <w:r w:rsidR="00DD7BB2" w:rsidRPr="00717DCD">
        <w:rPr>
          <w:rFonts w:cs="Times New Roman"/>
          <w:szCs w:val="24"/>
        </w:rPr>
        <w:t xml:space="preserve">TCPA recommends that the proposed rule be revised </w:t>
      </w:r>
      <w:r w:rsidR="00DD7BB2" w:rsidRPr="00717DCD">
        <w:rPr>
          <w:rFonts w:cs="Times New Roman"/>
          <w:szCs w:val="24"/>
        </w:rPr>
        <w:lastRenderedPageBreak/>
        <w:t xml:space="preserve">to clarify that the December 31, </w:t>
      </w:r>
      <w:proofErr w:type="gramStart"/>
      <w:r w:rsidR="00DD7BB2" w:rsidRPr="00717DCD">
        <w:rPr>
          <w:rFonts w:cs="Times New Roman"/>
          <w:szCs w:val="24"/>
        </w:rPr>
        <w:t>2025</w:t>
      </w:r>
      <w:proofErr w:type="gramEnd"/>
      <w:r w:rsidR="00DD7BB2" w:rsidRPr="00717DCD">
        <w:rPr>
          <w:rFonts w:cs="Times New Roman"/>
          <w:szCs w:val="24"/>
        </w:rPr>
        <w:t xml:space="preserve"> starting point applies only to new SGIAs that are executed after that date (and not to amendments to existing SGIAs that were executed before December 31, 2025).  </w:t>
      </w:r>
    </w:p>
    <w:p w14:paraId="564AAB2A" w14:textId="2BA6591B" w:rsidR="00B94755" w:rsidRPr="00717DCD" w:rsidRDefault="00F07BE7" w:rsidP="00B94755">
      <w:pPr>
        <w:spacing w:line="480" w:lineRule="auto"/>
        <w:ind w:firstLine="360"/>
        <w:rPr>
          <w:rFonts w:cs="Times New Roman"/>
          <w:szCs w:val="24"/>
        </w:rPr>
      </w:pPr>
      <w:r w:rsidRPr="00717DCD">
        <w:rPr>
          <w:rFonts w:cs="Times New Roman"/>
          <w:szCs w:val="24"/>
        </w:rPr>
        <w:t>Second, t</w:t>
      </w:r>
      <w:r w:rsidR="00FD11B6" w:rsidRPr="00717DCD">
        <w:rPr>
          <w:rFonts w:cs="Times New Roman"/>
          <w:szCs w:val="24"/>
        </w:rPr>
        <w:t>he provisions regarding costs incurred for upgrades or new facilities based on modifications</w:t>
      </w:r>
      <w:r w:rsidR="00CA4F7E" w:rsidRPr="00717DCD">
        <w:rPr>
          <w:rFonts w:cs="Times New Roman"/>
          <w:szCs w:val="24"/>
        </w:rPr>
        <w:t xml:space="preserve"> within a 10-year period following interconnection</w:t>
      </w:r>
      <w:r w:rsidR="00FD11B6" w:rsidRPr="00717DCD">
        <w:rPr>
          <w:rFonts w:cs="Times New Roman"/>
          <w:szCs w:val="24"/>
        </w:rPr>
        <w:t xml:space="preserve"> appear to place the responsibility for tracking that data with the transmission providers and to require them to maintain such information for the ten calendar years following energization for the initial interconnecting resource. TCPA defers to the transmission providers to opine on the feasibility of such an undertaking. </w:t>
      </w:r>
    </w:p>
    <w:p w14:paraId="761937B8" w14:textId="47D78DED" w:rsidR="00475B15" w:rsidRPr="00717DCD" w:rsidRDefault="00FD11B6" w:rsidP="00B94755">
      <w:pPr>
        <w:spacing w:line="480" w:lineRule="auto"/>
        <w:ind w:firstLine="360"/>
        <w:rPr>
          <w:rFonts w:cs="Times New Roman"/>
          <w:szCs w:val="24"/>
        </w:rPr>
      </w:pPr>
      <w:r w:rsidRPr="00717DCD">
        <w:rPr>
          <w:rFonts w:cs="Times New Roman"/>
          <w:szCs w:val="24"/>
        </w:rPr>
        <w:t>However,</w:t>
      </w:r>
      <w:r w:rsidR="00423875" w:rsidRPr="00717DCD">
        <w:rPr>
          <w:rFonts w:cs="Times New Roman"/>
          <w:szCs w:val="24"/>
        </w:rPr>
        <w:t xml:space="preserve"> the</w:t>
      </w:r>
      <w:r w:rsidRPr="00717DCD">
        <w:rPr>
          <w:rFonts w:cs="Times New Roman"/>
          <w:szCs w:val="24"/>
        </w:rPr>
        <w:t xml:space="preserve"> </w:t>
      </w:r>
      <w:r w:rsidR="003B3F91" w:rsidRPr="00717DCD">
        <w:rPr>
          <w:rFonts w:cs="Times New Roman"/>
          <w:szCs w:val="24"/>
        </w:rPr>
        <w:t xml:space="preserve">statute does not require this provision, and </w:t>
      </w:r>
      <w:r w:rsidRPr="00717DCD">
        <w:rPr>
          <w:rFonts w:cs="Times New Roman"/>
          <w:szCs w:val="24"/>
        </w:rPr>
        <w:t>it may be a less cumbersome and cleaner alternative to</w:t>
      </w:r>
      <w:r w:rsidR="007B557C" w:rsidRPr="00717DCD">
        <w:rPr>
          <w:rFonts w:cs="Times New Roman"/>
          <w:szCs w:val="24"/>
        </w:rPr>
        <w:t xml:space="preserve"> simply</w:t>
      </w:r>
      <w:r w:rsidRPr="00717DCD">
        <w:rPr>
          <w:rFonts w:cs="Times New Roman"/>
          <w:szCs w:val="24"/>
        </w:rPr>
        <w:t xml:space="preserve"> remove the provisions contained in 16 TAC </w:t>
      </w:r>
      <w:r w:rsidRPr="00D11A78">
        <w:rPr>
          <w:rFonts w:cs="Times New Roman"/>
          <w:szCs w:val="24"/>
        </w:rPr>
        <w:t xml:space="preserve">§25.195 (f)(3)(E) </w:t>
      </w:r>
      <w:r w:rsidR="003B3F91" w:rsidRPr="00D11A78">
        <w:rPr>
          <w:rFonts w:cs="Times New Roman"/>
          <w:szCs w:val="24"/>
        </w:rPr>
        <w:t>altogether</w:t>
      </w:r>
      <w:r w:rsidR="00710E02" w:rsidRPr="00717DCD">
        <w:rPr>
          <w:rFonts w:cs="Times New Roman"/>
          <w:szCs w:val="24"/>
        </w:rPr>
        <w:t>.</w:t>
      </w:r>
      <w:r w:rsidR="00A903E4" w:rsidRPr="00717DCD">
        <w:rPr>
          <w:rFonts w:cs="Times New Roman"/>
          <w:szCs w:val="24"/>
        </w:rPr>
        <w:t xml:space="preserve"> If the Commission decides to retain this provision, TCPA recommends that the rule clarify that</w:t>
      </w:r>
      <w:r w:rsidR="0098006E" w:rsidRPr="00717DCD">
        <w:rPr>
          <w:rFonts w:cs="Times New Roman"/>
          <w:szCs w:val="24"/>
        </w:rPr>
        <w:t xml:space="preserve"> the allowance cap does not apply to upgrades required to satisfy</w:t>
      </w:r>
      <w:r w:rsidR="000458AB" w:rsidRPr="00717DCD">
        <w:rPr>
          <w:rFonts w:cs="Times New Roman"/>
          <w:szCs w:val="24"/>
        </w:rPr>
        <w:t xml:space="preserve"> </w:t>
      </w:r>
      <w:r w:rsidR="00A46899" w:rsidRPr="00717DCD">
        <w:rPr>
          <w:rFonts w:cs="Times New Roman"/>
          <w:szCs w:val="24"/>
        </w:rPr>
        <w:t>the Minimum Deliverability Criteria in ERCOT Planning Guide Section 4.1.1.7</w:t>
      </w:r>
      <w:r w:rsidR="00B94755" w:rsidRPr="00717DCD">
        <w:rPr>
          <w:rFonts w:cs="Times New Roman"/>
          <w:szCs w:val="24"/>
        </w:rPr>
        <w:t xml:space="preserve">. That relatively new Planning Guide section </w:t>
      </w:r>
      <w:r w:rsidR="00360425" w:rsidRPr="00717DCD">
        <w:rPr>
          <w:rFonts w:cs="Times New Roman"/>
          <w:szCs w:val="24"/>
        </w:rPr>
        <w:t xml:space="preserve">requires that ERCOT and each TSP ensure </w:t>
      </w:r>
      <w:r w:rsidR="00C8137D" w:rsidRPr="00717DCD">
        <w:rPr>
          <w:rFonts w:cs="Times New Roman"/>
          <w:szCs w:val="24"/>
        </w:rPr>
        <w:t xml:space="preserve">that </w:t>
      </w:r>
      <w:r w:rsidR="00360425" w:rsidRPr="00717DCD">
        <w:rPr>
          <w:rFonts w:cs="Times New Roman"/>
          <w:szCs w:val="24"/>
        </w:rPr>
        <w:t xml:space="preserve">specified resources </w:t>
      </w:r>
      <w:r w:rsidR="007834DC" w:rsidRPr="00717DCD">
        <w:rPr>
          <w:rFonts w:cs="Times New Roman"/>
          <w:szCs w:val="24"/>
        </w:rPr>
        <w:t xml:space="preserve">achieve deliverability </w:t>
      </w:r>
      <w:r w:rsidR="00360425" w:rsidRPr="00717DCD">
        <w:rPr>
          <w:rFonts w:cs="Times New Roman"/>
          <w:szCs w:val="24"/>
        </w:rPr>
        <w:t>to serve peak system load</w:t>
      </w:r>
      <w:r w:rsidR="00C8137D" w:rsidRPr="00717DCD">
        <w:rPr>
          <w:rFonts w:cs="Times New Roman"/>
          <w:szCs w:val="24"/>
        </w:rPr>
        <w:t xml:space="preserve"> while meeting </w:t>
      </w:r>
      <w:r w:rsidR="00710E02" w:rsidRPr="00717DCD">
        <w:rPr>
          <w:rFonts w:cs="Times New Roman"/>
          <w:szCs w:val="24"/>
        </w:rPr>
        <w:t xml:space="preserve">certain </w:t>
      </w:r>
      <w:r w:rsidR="0077137B" w:rsidRPr="00717DCD">
        <w:rPr>
          <w:rFonts w:cs="Times New Roman"/>
          <w:szCs w:val="24"/>
        </w:rPr>
        <w:t>r</w:t>
      </w:r>
      <w:r w:rsidR="00C8137D" w:rsidRPr="00717DCD">
        <w:rPr>
          <w:rFonts w:cs="Times New Roman"/>
          <w:szCs w:val="24"/>
        </w:rPr>
        <w:t>eliability criteria</w:t>
      </w:r>
      <w:r w:rsidR="00BF4F12" w:rsidRPr="00717DCD">
        <w:rPr>
          <w:rFonts w:cs="Times New Roman"/>
          <w:szCs w:val="24"/>
        </w:rPr>
        <w:t xml:space="preserve">. </w:t>
      </w:r>
      <w:r w:rsidR="0098006E" w:rsidRPr="00717DCD">
        <w:rPr>
          <w:rFonts w:cs="Times New Roman"/>
          <w:szCs w:val="24"/>
        </w:rPr>
        <w:t xml:space="preserve">Generators should not be required to pay for transmission upgrades that are required to satisfy ERCOT’s Minimum Deliverability Criteria requirement, as opposed to </w:t>
      </w:r>
      <w:r w:rsidR="00D11A78" w:rsidRPr="00717DCD">
        <w:rPr>
          <w:rFonts w:cs="Times New Roman"/>
          <w:szCs w:val="24"/>
        </w:rPr>
        <w:t xml:space="preserve">being necessitated by changes made by the generator to its resource. </w:t>
      </w:r>
      <w:r w:rsidR="00BF4F12" w:rsidRPr="00717DCD">
        <w:rPr>
          <w:rFonts w:cs="Times New Roman"/>
          <w:szCs w:val="24"/>
        </w:rPr>
        <w:t xml:space="preserve"> </w:t>
      </w:r>
    </w:p>
    <w:p w14:paraId="08272466" w14:textId="6771D8AC" w:rsidR="0040373A" w:rsidRPr="00D11A78" w:rsidRDefault="0040373A" w:rsidP="00BF4F12">
      <w:pPr>
        <w:spacing w:line="480" w:lineRule="auto"/>
        <w:ind w:firstLine="360"/>
        <w:rPr>
          <w:rFonts w:cs="Times New Roman"/>
          <w:szCs w:val="24"/>
        </w:rPr>
      </w:pPr>
      <w:r w:rsidRPr="00D11A78">
        <w:rPr>
          <w:rFonts w:cs="Times New Roman"/>
          <w:szCs w:val="24"/>
        </w:rPr>
        <w:tab/>
        <w:t xml:space="preserve">Below </w:t>
      </w:r>
      <w:r w:rsidR="00601919" w:rsidRPr="00D11A78">
        <w:rPr>
          <w:rFonts w:cs="Times New Roman"/>
          <w:szCs w:val="24"/>
        </w:rPr>
        <w:t>are</w:t>
      </w:r>
      <w:r w:rsidRPr="00D11A78">
        <w:rPr>
          <w:rFonts w:cs="Times New Roman"/>
          <w:szCs w:val="24"/>
        </w:rPr>
        <w:t xml:space="preserve"> proposed edits</w:t>
      </w:r>
      <w:r w:rsidR="00601919" w:rsidRPr="00D11A78">
        <w:rPr>
          <w:rFonts w:cs="Times New Roman"/>
          <w:szCs w:val="24"/>
        </w:rPr>
        <w:t xml:space="preserve">, </w:t>
      </w:r>
      <w:r w:rsidR="00272042" w:rsidRPr="00D11A78">
        <w:rPr>
          <w:rFonts w:cs="Times New Roman"/>
          <w:szCs w:val="24"/>
        </w:rPr>
        <w:t>in red font for clear identification,</w:t>
      </w:r>
      <w:r w:rsidRPr="00D11A78">
        <w:rPr>
          <w:rFonts w:cs="Times New Roman"/>
          <w:szCs w:val="24"/>
        </w:rPr>
        <w:t xml:space="preserve"> to the </w:t>
      </w:r>
      <w:proofErr w:type="spellStart"/>
      <w:r w:rsidRPr="00D11A78">
        <w:rPr>
          <w:rFonts w:cs="Times New Roman"/>
          <w:szCs w:val="24"/>
        </w:rPr>
        <w:t>PfP</w:t>
      </w:r>
      <w:proofErr w:type="spellEnd"/>
      <w:r w:rsidRPr="00D11A78">
        <w:rPr>
          <w:rFonts w:cs="Times New Roman"/>
          <w:szCs w:val="24"/>
        </w:rPr>
        <w:t xml:space="preserve"> for the sections discussed above</w:t>
      </w:r>
      <w:r w:rsidR="007B557C" w:rsidRPr="00D11A78">
        <w:rPr>
          <w:rFonts w:cs="Times New Roman"/>
          <w:szCs w:val="24"/>
        </w:rPr>
        <w:t xml:space="preserve"> (noting that the redlines to subsection (f)(3)(E) are in the alternative to striking)</w:t>
      </w:r>
      <w:r w:rsidRPr="00D11A78">
        <w:rPr>
          <w:rFonts w:cs="Times New Roman"/>
          <w:szCs w:val="24"/>
        </w:rPr>
        <w:t>:</w:t>
      </w:r>
    </w:p>
    <w:p w14:paraId="4FFF495E" w14:textId="77777777" w:rsidR="0040373A" w:rsidRPr="00D11A78" w:rsidRDefault="0040373A" w:rsidP="0040373A">
      <w:pPr>
        <w:spacing w:line="480" w:lineRule="auto"/>
        <w:ind w:left="720" w:hanging="720"/>
        <w:rPr>
          <w:rFonts w:eastAsia="Times New Roman" w:cs="Times New Roman"/>
          <w:szCs w:val="24"/>
          <w:u w:val="single"/>
        </w:rPr>
      </w:pPr>
      <w:r w:rsidRPr="00D11A78">
        <w:rPr>
          <w:rFonts w:eastAsia="Times New Roman" w:cs="Times New Roman"/>
          <w:szCs w:val="24"/>
          <w:u w:val="single"/>
        </w:rPr>
        <w:t>(f)</w:t>
      </w:r>
      <w:r w:rsidRPr="00D11A78">
        <w:rPr>
          <w:rFonts w:eastAsia="Times New Roman" w:cs="Times New Roman"/>
          <w:szCs w:val="24"/>
          <w:u w:val="single"/>
        </w:rPr>
        <w:tab/>
      </w:r>
      <w:r w:rsidRPr="00D11A78">
        <w:rPr>
          <w:rFonts w:eastAsia="Times New Roman" w:cs="Times New Roman"/>
          <w:b/>
          <w:bCs/>
          <w:szCs w:val="24"/>
          <w:u w:val="single"/>
        </w:rPr>
        <w:t>Cost responsibilities to interconnect generation resources at transmission voltage.</w:t>
      </w:r>
      <w:r w:rsidRPr="00D11A78">
        <w:rPr>
          <w:rFonts w:eastAsia="Times New Roman" w:cs="Times New Roman"/>
          <w:szCs w:val="24"/>
          <w:u w:val="single"/>
        </w:rPr>
        <w:t xml:space="preserve">  </w:t>
      </w:r>
    </w:p>
    <w:p w14:paraId="3326DB72" w14:textId="7B5477DC" w:rsidR="0040373A" w:rsidRPr="00D11A78" w:rsidRDefault="0040373A" w:rsidP="00812449">
      <w:pPr>
        <w:spacing w:line="480" w:lineRule="auto"/>
        <w:ind w:left="1440" w:hanging="720"/>
        <w:rPr>
          <w:rFonts w:eastAsia="Times New Roman" w:cs="Times New Roman"/>
          <w:szCs w:val="24"/>
          <w:u w:val="single"/>
        </w:rPr>
      </w:pPr>
      <w:r w:rsidRPr="00D11A78">
        <w:rPr>
          <w:rFonts w:eastAsia="Times New Roman" w:cs="Times New Roman"/>
          <w:szCs w:val="24"/>
          <w:u w:val="single"/>
        </w:rPr>
        <w:lastRenderedPageBreak/>
        <w:t>(1)</w:t>
      </w:r>
      <w:r w:rsidR="00812449" w:rsidRPr="00D11A78">
        <w:rPr>
          <w:rFonts w:eastAsia="Times New Roman" w:cs="Times New Roman"/>
          <w:szCs w:val="24"/>
          <w:u w:val="single"/>
        </w:rPr>
        <w:t xml:space="preserve"> – (2) (no changes)</w:t>
      </w:r>
      <w:r w:rsidRPr="00D11A78">
        <w:rPr>
          <w:rFonts w:eastAsia="Times New Roman" w:cs="Times New Roman"/>
          <w:szCs w:val="24"/>
          <w:u w:val="single"/>
        </w:rPr>
        <w:tab/>
        <w:t xml:space="preserve"> </w:t>
      </w:r>
    </w:p>
    <w:p w14:paraId="74BD6D04" w14:textId="2D7CA07E" w:rsidR="0040373A" w:rsidRPr="00D11A78" w:rsidRDefault="0040373A" w:rsidP="0040373A">
      <w:pPr>
        <w:spacing w:line="480" w:lineRule="auto"/>
        <w:ind w:left="1440" w:hanging="720"/>
        <w:rPr>
          <w:rFonts w:eastAsia="Times New Roman" w:cs="Times New Roman"/>
          <w:szCs w:val="24"/>
          <w:u w:val="single"/>
        </w:rPr>
      </w:pPr>
      <w:r w:rsidRPr="00D11A78">
        <w:rPr>
          <w:rFonts w:eastAsia="Times New Roman" w:cs="Times New Roman"/>
          <w:szCs w:val="24"/>
          <w:u w:val="single"/>
        </w:rPr>
        <w:t>(3)</w:t>
      </w:r>
      <w:r w:rsidRPr="00D11A78">
        <w:rPr>
          <w:rFonts w:eastAsia="Times New Roman" w:cs="Times New Roman"/>
          <w:szCs w:val="24"/>
          <w:u w:val="single"/>
        </w:rPr>
        <w:tab/>
        <w:t>If the SGIA</w:t>
      </w:r>
      <w:r w:rsidR="00F50DD3" w:rsidRPr="00D11A78">
        <w:rPr>
          <w:rFonts w:eastAsia="Times New Roman" w:cs="Times New Roman"/>
          <w:szCs w:val="24"/>
          <w:u w:val="single"/>
        </w:rPr>
        <w:t xml:space="preserve"> </w:t>
      </w:r>
      <w:r w:rsidR="00270842" w:rsidRPr="00717DCD">
        <w:rPr>
          <w:rFonts w:eastAsia="Times New Roman" w:cs="Times New Roman"/>
          <w:color w:val="FF0000"/>
          <w:szCs w:val="24"/>
          <w:u w:val="single"/>
        </w:rPr>
        <w:t>(</w:t>
      </w:r>
      <w:r w:rsidR="00F72EA7" w:rsidRPr="00717DCD">
        <w:rPr>
          <w:rFonts w:eastAsia="Times New Roman" w:cs="Times New Roman"/>
          <w:color w:val="FF0000"/>
          <w:szCs w:val="24"/>
          <w:u w:val="single"/>
        </w:rPr>
        <w:t>excluding</w:t>
      </w:r>
      <w:r w:rsidR="00F50DD3" w:rsidRPr="00717DCD">
        <w:rPr>
          <w:rFonts w:eastAsia="Times New Roman" w:cs="Times New Roman"/>
          <w:color w:val="FF0000"/>
          <w:szCs w:val="24"/>
          <w:u w:val="single"/>
        </w:rPr>
        <w:t xml:space="preserve"> an amendment to an existing SGIA</w:t>
      </w:r>
      <w:r w:rsidR="00270842" w:rsidRPr="00717DCD">
        <w:rPr>
          <w:rFonts w:eastAsia="Times New Roman" w:cs="Times New Roman"/>
          <w:color w:val="FF0000"/>
          <w:szCs w:val="24"/>
          <w:u w:val="single"/>
        </w:rPr>
        <w:t>)</w:t>
      </w:r>
      <w:r w:rsidRPr="00717DCD">
        <w:rPr>
          <w:rFonts w:eastAsia="Times New Roman" w:cs="Times New Roman"/>
          <w:color w:val="FF0000"/>
          <w:szCs w:val="24"/>
          <w:u w:val="single"/>
        </w:rPr>
        <w:t xml:space="preserve"> </w:t>
      </w:r>
      <w:r w:rsidRPr="00D11A78">
        <w:rPr>
          <w:rFonts w:eastAsia="Times New Roman" w:cs="Times New Roman"/>
          <w:szCs w:val="24"/>
          <w:u w:val="single"/>
        </w:rPr>
        <w:t>between a generation resource and TSP is executed after December 31, 2025, then the interconnecting generation resource is responsible for all costs of installing interconnection facilities that are incurred by the TSP that exceed the allowance established in accordance with this paragraph. The TSP is responsible for the costs of installing any transmission system upgrades deemed necessary by the TSP and ERCOT that are made concurrently with the installation of the interconnection facilities.</w:t>
      </w:r>
    </w:p>
    <w:p w14:paraId="220C3308" w14:textId="77777777" w:rsidR="0040373A" w:rsidRPr="00D11A78" w:rsidRDefault="0040373A" w:rsidP="0040373A">
      <w:pPr>
        <w:spacing w:line="480" w:lineRule="auto"/>
        <w:ind w:left="2160" w:hanging="720"/>
        <w:rPr>
          <w:rFonts w:eastAsia="Times New Roman" w:cs="Times New Roman"/>
          <w:szCs w:val="24"/>
          <w:u w:val="single"/>
        </w:rPr>
      </w:pPr>
      <w:r w:rsidRPr="00D11A78">
        <w:rPr>
          <w:rFonts w:eastAsia="Times New Roman" w:cs="Times New Roman"/>
          <w:szCs w:val="24"/>
          <w:u w:val="single"/>
        </w:rPr>
        <w:t>(A)</w:t>
      </w:r>
      <w:r w:rsidRPr="00D11A78">
        <w:rPr>
          <w:rFonts w:eastAsia="Times New Roman" w:cs="Times New Roman"/>
          <w:szCs w:val="24"/>
          <w:u w:val="single"/>
        </w:rPr>
        <w:tab/>
        <w:t>The allowance will be calculated by the commission as follows:</w:t>
      </w:r>
    </w:p>
    <w:p w14:paraId="490E880E" w14:textId="6E98BEAE" w:rsidR="0040373A" w:rsidRPr="00D11A78" w:rsidRDefault="0040373A" w:rsidP="0040373A">
      <w:pPr>
        <w:spacing w:line="480" w:lineRule="auto"/>
        <w:ind w:left="2880" w:hanging="720"/>
        <w:rPr>
          <w:rFonts w:eastAsia="Times New Roman" w:cs="Times New Roman"/>
          <w:strike/>
          <w:color w:val="FF0000"/>
          <w:szCs w:val="24"/>
          <w:u w:val="single"/>
        </w:rPr>
      </w:pPr>
      <w:r w:rsidRPr="00D11A78">
        <w:rPr>
          <w:rFonts w:eastAsia="Times New Roman" w:cs="Times New Roman"/>
          <w:szCs w:val="24"/>
          <w:u w:val="single"/>
        </w:rPr>
        <w:t>(</w:t>
      </w:r>
      <w:proofErr w:type="spellStart"/>
      <w:r w:rsidRPr="00D11A78">
        <w:rPr>
          <w:rFonts w:eastAsia="Times New Roman" w:cs="Times New Roman"/>
          <w:szCs w:val="24"/>
          <w:u w:val="single"/>
        </w:rPr>
        <w:t>i</w:t>
      </w:r>
      <w:proofErr w:type="spellEnd"/>
      <w:r w:rsidRPr="00D11A78">
        <w:rPr>
          <w:rFonts w:eastAsia="Times New Roman" w:cs="Times New Roman"/>
          <w:szCs w:val="24"/>
          <w:u w:val="single"/>
        </w:rPr>
        <w:t>)</w:t>
      </w:r>
      <w:r w:rsidRPr="00D11A78">
        <w:rPr>
          <w:rFonts w:eastAsia="Times New Roman" w:cs="Times New Roman"/>
          <w:szCs w:val="24"/>
          <w:u w:val="single"/>
        </w:rPr>
        <w:tab/>
        <w:t>For a generation resource interconnecting</w:t>
      </w:r>
      <w:r w:rsidRPr="00717DCD">
        <w:rPr>
          <w:rFonts w:eastAsia="Times New Roman" w:cs="Times New Roman"/>
          <w:szCs w:val="24"/>
          <w:u w:val="single"/>
        </w:rPr>
        <w:t xml:space="preserve"> at </w:t>
      </w:r>
      <w:r w:rsidRPr="00D11A78">
        <w:rPr>
          <w:rFonts w:eastAsia="Times New Roman" w:cs="Times New Roman"/>
          <w:strike/>
          <w:color w:val="FF0000"/>
          <w:szCs w:val="24"/>
          <w:u w:val="single"/>
        </w:rPr>
        <w:t>a</w:t>
      </w:r>
      <w:r w:rsidRPr="00717DCD">
        <w:rPr>
          <w:rFonts w:eastAsia="Times New Roman" w:cs="Times New Roman"/>
          <w:color w:val="FF0000"/>
          <w:szCs w:val="24"/>
          <w:u w:val="single"/>
        </w:rPr>
        <w:t xml:space="preserve"> </w:t>
      </w:r>
      <w:r w:rsidRPr="00717DCD">
        <w:rPr>
          <w:rFonts w:eastAsia="Times New Roman" w:cs="Times New Roman"/>
          <w:szCs w:val="24"/>
          <w:u w:val="single"/>
        </w:rPr>
        <w:t xml:space="preserve">transmission voltage </w:t>
      </w:r>
      <w:r w:rsidRPr="00D11A78">
        <w:rPr>
          <w:rFonts w:eastAsia="Times New Roman" w:cs="Times New Roman"/>
          <w:strike/>
          <w:color w:val="FF0000"/>
          <w:szCs w:val="24"/>
          <w:u w:val="single"/>
        </w:rPr>
        <w:t>of 138 kV or less</w:t>
      </w:r>
      <w:r w:rsidRPr="00717DCD">
        <w:rPr>
          <w:rFonts w:eastAsia="Times New Roman" w:cs="Times New Roman"/>
          <w:szCs w:val="24"/>
          <w:u w:val="single"/>
        </w:rPr>
        <w:t xml:space="preserve">, </w:t>
      </w:r>
      <w:r w:rsidRPr="00D11A78">
        <w:rPr>
          <w:rFonts w:eastAsia="Times New Roman" w:cs="Times New Roman"/>
          <w:szCs w:val="24"/>
          <w:u w:val="single"/>
        </w:rPr>
        <w:t>the allowance beginning on January 1, 2026, is based on the 2023 amount of $1</w:t>
      </w:r>
      <w:r w:rsidR="008F5C3A" w:rsidRPr="00D11A78">
        <w:rPr>
          <w:rFonts w:eastAsia="Times New Roman" w:cs="Times New Roman"/>
          <w:color w:val="FF0000"/>
          <w:szCs w:val="24"/>
          <w:u w:val="single"/>
        </w:rPr>
        <w:t>8</w:t>
      </w:r>
      <w:r w:rsidRPr="00D11A78">
        <w:rPr>
          <w:rFonts w:eastAsia="Times New Roman" w:cs="Times New Roman"/>
          <w:strike/>
          <w:color w:val="FF0000"/>
          <w:szCs w:val="24"/>
          <w:u w:val="single"/>
        </w:rPr>
        <w:t>2</w:t>
      </w:r>
      <w:r w:rsidRPr="00D11A78">
        <w:rPr>
          <w:rFonts w:eastAsia="Times New Roman" w:cs="Times New Roman"/>
          <w:szCs w:val="24"/>
          <w:u w:val="single"/>
        </w:rPr>
        <w:t xml:space="preserve">,000,000 adjusted for subsequent years consistent with clause (ii) of this subparagraph. </w:t>
      </w:r>
      <w:r w:rsidRPr="00D11A78">
        <w:rPr>
          <w:rFonts w:eastAsia="Times New Roman" w:cs="Times New Roman"/>
          <w:strike/>
          <w:color w:val="FF0000"/>
          <w:szCs w:val="24"/>
          <w:u w:val="single"/>
        </w:rPr>
        <w:t>For a generation resource interconnecting at a transmission voltage higher than 138kV, the allowance beginning on January 1, 2026, is based on the 2023 amount of $22,500,000 adjusted for subsequent years consistent with clause (ii) of this subparagraph.</w:t>
      </w:r>
    </w:p>
    <w:p w14:paraId="4D866C3C" w14:textId="77777777" w:rsidR="0040373A" w:rsidRPr="00D11A78" w:rsidRDefault="0040373A" w:rsidP="0040373A">
      <w:pPr>
        <w:spacing w:line="480" w:lineRule="auto"/>
        <w:ind w:left="2880" w:hanging="720"/>
        <w:rPr>
          <w:rFonts w:eastAsia="Times New Roman" w:cs="Times New Roman"/>
          <w:szCs w:val="24"/>
          <w:u w:val="single"/>
        </w:rPr>
      </w:pPr>
      <w:r w:rsidRPr="00D11A78">
        <w:rPr>
          <w:rFonts w:eastAsia="Times New Roman" w:cs="Times New Roman"/>
          <w:szCs w:val="24"/>
          <w:u w:val="single"/>
        </w:rPr>
        <w:t>(ii)</w:t>
      </w:r>
      <w:r w:rsidRPr="00D11A78">
        <w:rPr>
          <w:rFonts w:eastAsia="Times New Roman" w:cs="Times New Roman"/>
          <w:szCs w:val="24"/>
          <w:u w:val="single"/>
        </w:rPr>
        <w:tab/>
        <w:t>Beginning on January 1, 2025, the commission will increase or decrease the allowance prescribed by clause (</w:t>
      </w:r>
      <w:proofErr w:type="spellStart"/>
      <w:r w:rsidRPr="00D11A78">
        <w:rPr>
          <w:rFonts w:eastAsia="Times New Roman" w:cs="Times New Roman"/>
          <w:szCs w:val="24"/>
          <w:u w:val="single"/>
        </w:rPr>
        <w:t>i</w:t>
      </w:r>
      <w:proofErr w:type="spellEnd"/>
      <w:r w:rsidRPr="00D11A78">
        <w:rPr>
          <w:rFonts w:eastAsia="Times New Roman" w:cs="Times New Roman"/>
          <w:szCs w:val="24"/>
          <w:u w:val="single"/>
        </w:rPr>
        <w:t>) of this subparagraph annually on or before January 1 of each calendar year. Annually, no later than September 1, 2024, the commission will publish the new value</w:t>
      </w:r>
      <w:r w:rsidRPr="00D11A78">
        <w:rPr>
          <w:rFonts w:eastAsia="Times New Roman" w:cs="Times New Roman"/>
          <w:strike/>
          <w:color w:val="FF0000"/>
          <w:szCs w:val="24"/>
          <w:u w:val="single"/>
        </w:rPr>
        <w:t>s</w:t>
      </w:r>
      <w:r w:rsidRPr="00D11A78">
        <w:rPr>
          <w:rFonts w:eastAsia="Times New Roman" w:cs="Times New Roman"/>
          <w:szCs w:val="24"/>
          <w:u w:val="single"/>
        </w:rPr>
        <w:t xml:space="preserve"> of the allowance to be used in the subsequent calendar year. </w:t>
      </w:r>
    </w:p>
    <w:p w14:paraId="38F309E5" w14:textId="77777777" w:rsidR="0040373A" w:rsidRPr="00D11A78" w:rsidRDefault="0040373A" w:rsidP="0040373A">
      <w:pPr>
        <w:spacing w:line="480" w:lineRule="auto"/>
        <w:ind w:left="3600" w:hanging="720"/>
        <w:rPr>
          <w:rFonts w:eastAsia="Times New Roman" w:cs="Times New Roman"/>
          <w:szCs w:val="24"/>
          <w:u w:val="single"/>
        </w:rPr>
      </w:pPr>
      <w:r w:rsidRPr="00D11A78">
        <w:rPr>
          <w:rFonts w:eastAsia="Times New Roman" w:cs="Times New Roman"/>
          <w:szCs w:val="24"/>
          <w:u w:val="single"/>
        </w:rPr>
        <w:lastRenderedPageBreak/>
        <w:t>(I)</w:t>
      </w:r>
      <w:r w:rsidRPr="00D11A78">
        <w:rPr>
          <w:rFonts w:eastAsia="Times New Roman" w:cs="Times New Roman"/>
          <w:szCs w:val="24"/>
          <w:u w:val="single"/>
        </w:rPr>
        <w:tab/>
        <w:t>The annual adjustment will be proportional to the change from the corresponding 2023 value reflected in the National Income and Product Accounts (NIPA) Seasonally Adjusted Price Index for Private Fixed Investment-Nonresidential Structures for Power and Communication published by the United States Department of Commerce, Bureau of Economic Analysis.</w:t>
      </w:r>
    </w:p>
    <w:p w14:paraId="5ECF76B3" w14:textId="77777777" w:rsidR="0040373A" w:rsidRPr="00D11A78" w:rsidRDefault="0040373A" w:rsidP="0040373A">
      <w:pPr>
        <w:spacing w:line="480" w:lineRule="auto"/>
        <w:ind w:left="3600" w:hanging="720"/>
        <w:rPr>
          <w:rFonts w:eastAsia="Times New Roman" w:cs="Times New Roman"/>
          <w:szCs w:val="24"/>
          <w:u w:val="single"/>
        </w:rPr>
      </w:pPr>
      <w:r w:rsidRPr="00D11A78">
        <w:rPr>
          <w:rFonts w:eastAsia="Times New Roman" w:cs="Times New Roman"/>
          <w:szCs w:val="24"/>
          <w:u w:val="single"/>
        </w:rPr>
        <w:t>(II)</w:t>
      </w:r>
      <w:r w:rsidRPr="00D11A78">
        <w:rPr>
          <w:rFonts w:eastAsia="Times New Roman" w:cs="Times New Roman"/>
          <w:szCs w:val="24"/>
          <w:u w:val="single"/>
        </w:rPr>
        <w:tab/>
        <w:t>The executive director may designate a substitute index to be used as a reference for adjustments under this clause if the index referenced by subclause (I) of this clause becomes unavailable.</w:t>
      </w:r>
    </w:p>
    <w:p w14:paraId="58098911" w14:textId="6BAE7828" w:rsidR="0040373A" w:rsidRPr="00D11A78" w:rsidRDefault="0040373A" w:rsidP="0040373A">
      <w:pPr>
        <w:spacing w:line="480" w:lineRule="auto"/>
        <w:ind w:left="2160" w:hanging="720"/>
        <w:rPr>
          <w:rFonts w:eastAsia="Times New Roman" w:cs="Times New Roman"/>
          <w:szCs w:val="24"/>
          <w:u w:val="single"/>
        </w:rPr>
      </w:pPr>
      <w:r w:rsidRPr="00D11A78">
        <w:rPr>
          <w:rFonts w:eastAsia="Times New Roman" w:cs="Times New Roman"/>
          <w:szCs w:val="24"/>
          <w:u w:val="single"/>
        </w:rPr>
        <w:t>(B)</w:t>
      </w:r>
      <w:r w:rsidRPr="00D11A78">
        <w:rPr>
          <w:rFonts w:eastAsia="Times New Roman" w:cs="Times New Roman"/>
          <w:szCs w:val="24"/>
          <w:u w:val="single"/>
        </w:rPr>
        <w:tab/>
        <w:t>A generation resource that seeks to interconnect an energy storage resource is only eligible to receive the allowance described under this subsection and not additional allowances provided to interconnect load, such as may be provided under a tariff.</w:t>
      </w:r>
    </w:p>
    <w:p w14:paraId="00DC3B6E" w14:textId="77777777" w:rsidR="0040373A" w:rsidRPr="00D11A78" w:rsidRDefault="0040373A" w:rsidP="0040373A">
      <w:pPr>
        <w:spacing w:line="480" w:lineRule="auto"/>
        <w:ind w:left="2160" w:hanging="720"/>
        <w:rPr>
          <w:rFonts w:eastAsia="Times New Roman" w:cs="Times New Roman"/>
          <w:szCs w:val="24"/>
          <w:u w:val="single"/>
        </w:rPr>
      </w:pPr>
      <w:r w:rsidRPr="00D11A78">
        <w:rPr>
          <w:rFonts w:eastAsia="Times New Roman" w:cs="Times New Roman"/>
          <w:szCs w:val="24"/>
          <w:u w:val="single"/>
        </w:rPr>
        <w:t>(C)</w:t>
      </w:r>
      <w:r w:rsidRPr="00D11A78">
        <w:rPr>
          <w:rFonts w:eastAsia="Times New Roman" w:cs="Times New Roman"/>
          <w:szCs w:val="24"/>
          <w:u w:val="single"/>
        </w:rPr>
        <w:tab/>
        <w:t xml:space="preserve">The amount of the allowance that a generation resource is provided to complete the interconnection is the amount that was in effect on the date the notice to proceed was issued by the generation resource to the TSP in accordance with the executed SGIA. A TSP’s costs to construct, design, and upgrade interconnection facilities that exceed the allowance must be directly billed to and collected from the generation resource that caused the costs to be incurred by the TSP. The TSP may collect such costs as a </w:t>
      </w:r>
      <w:r w:rsidRPr="00D11A78">
        <w:rPr>
          <w:rFonts w:eastAsia="Times New Roman" w:cs="Times New Roman"/>
          <w:szCs w:val="24"/>
          <w:u w:val="single"/>
        </w:rPr>
        <w:lastRenderedPageBreak/>
        <w:t xml:space="preserve">contribution in aid to construction prior to procuring, designing, and constructing the interconnection facilities. </w:t>
      </w:r>
    </w:p>
    <w:p w14:paraId="1BE08DCE" w14:textId="77777777" w:rsidR="0040373A" w:rsidRPr="00D11A78" w:rsidRDefault="0040373A" w:rsidP="0040373A">
      <w:pPr>
        <w:spacing w:line="480" w:lineRule="auto"/>
        <w:ind w:left="2160" w:hanging="720"/>
        <w:rPr>
          <w:rFonts w:eastAsia="Times New Roman" w:cs="Times New Roman"/>
          <w:szCs w:val="24"/>
          <w:u w:val="single"/>
        </w:rPr>
      </w:pPr>
      <w:r w:rsidRPr="00D11A78">
        <w:rPr>
          <w:rFonts w:eastAsia="Times New Roman" w:cs="Times New Roman"/>
          <w:szCs w:val="24"/>
          <w:u w:val="single"/>
        </w:rPr>
        <w:t>(D)</w:t>
      </w:r>
      <w:r w:rsidRPr="00D11A78">
        <w:rPr>
          <w:rFonts w:eastAsia="Times New Roman" w:cs="Times New Roman"/>
          <w:szCs w:val="24"/>
          <w:u w:val="single"/>
        </w:rPr>
        <w:tab/>
        <w:t>Notwithstanding any payments made by a generation resource under this section, an interconnecting TSP retains ownership and control of its transmission facilities.</w:t>
      </w:r>
    </w:p>
    <w:p w14:paraId="37FA32E0" w14:textId="7CD02ECC" w:rsidR="005B2BDF" w:rsidRPr="00717DCD" w:rsidRDefault="005B2BDF" w:rsidP="0040373A">
      <w:pPr>
        <w:spacing w:line="480" w:lineRule="auto"/>
        <w:ind w:left="2160" w:hanging="720"/>
        <w:rPr>
          <w:rFonts w:eastAsia="Times New Roman" w:cs="Times New Roman"/>
          <w:color w:val="FF0000"/>
          <w:szCs w:val="24"/>
          <w:u w:val="single"/>
        </w:rPr>
      </w:pPr>
      <w:r w:rsidRPr="00717DCD">
        <w:rPr>
          <w:rFonts w:eastAsia="Times New Roman" w:cs="Times New Roman"/>
          <w:color w:val="FF0000"/>
          <w:szCs w:val="24"/>
          <w:u w:val="single"/>
        </w:rPr>
        <w:t>[strike subpart (E) or in the alternative, modify as follows]</w:t>
      </w:r>
    </w:p>
    <w:p w14:paraId="10ACDD13" w14:textId="0892180A" w:rsidR="0040373A" w:rsidRPr="00717DCD" w:rsidRDefault="0040373A" w:rsidP="0040373A">
      <w:pPr>
        <w:spacing w:line="480" w:lineRule="auto"/>
        <w:ind w:left="2160" w:hanging="720"/>
        <w:rPr>
          <w:rFonts w:eastAsia="Times New Roman" w:cs="Times New Roman"/>
          <w:color w:val="000000" w:themeColor="text1"/>
          <w:szCs w:val="24"/>
          <w:u w:val="single"/>
        </w:rPr>
      </w:pPr>
      <w:r w:rsidRPr="00717DCD">
        <w:rPr>
          <w:rFonts w:eastAsia="Times New Roman" w:cs="Times New Roman"/>
          <w:color w:val="000000" w:themeColor="text1"/>
          <w:szCs w:val="24"/>
          <w:u w:val="single"/>
        </w:rPr>
        <w:t>(E)</w:t>
      </w:r>
      <w:r w:rsidRPr="00717DCD">
        <w:rPr>
          <w:rFonts w:eastAsia="Times New Roman" w:cs="Times New Roman"/>
          <w:color w:val="000000" w:themeColor="text1"/>
          <w:szCs w:val="24"/>
          <w:u w:val="single"/>
        </w:rPr>
        <w:tab/>
        <w:t>The responsibility of costs incurred by a TSP for new or upgraded interconnection facilities due to modifications made by a generation resource</w:t>
      </w:r>
      <w:r w:rsidR="00985840" w:rsidRPr="00D11A78">
        <w:rPr>
          <w:rFonts w:eastAsia="Times New Roman" w:cs="Times New Roman"/>
          <w:color w:val="000000" w:themeColor="text1"/>
          <w:szCs w:val="24"/>
          <w:u w:val="single"/>
        </w:rPr>
        <w:t xml:space="preserve"> </w:t>
      </w:r>
      <w:r w:rsidRPr="00717DCD">
        <w:rPr>
          <w:rFonts w:eastAsia="Times New Roman" w:cs="Times New Roman"/>
          <w:color w:val="000000" w:themeColor="text1"/>
          <w:szCs w:val="24"/>
          <w:u w:val="single"/>
        </w:rPr>
        <w:t>will be borne in accordance with this subparagraph</w:t>
      </w:r>
      <w:r w:rsidR="009F097D" w:rsidRPr="00717DCD">
        <w:rPr>
          <w:rFonts w:eastAsia="Times New Roman" w:cs="Times New Roman"/>
          <w:color w:val="FF0000"/>
          <w:szCs w:val="24"/>
          <w:u w:val="single"/>
        </w:rPr>
        <w:t xml:space="preserve">; </w:t>
      </w:r>
      <w:r w:rsidR="000D53D6">
        <w:rPr>
          <w:rFonts w:eastAsia="Times New Roman" w:cs="Times New Roman"/>
          <w:color w:val="FF0000"/>
          <w:szCs w:val="24"/>
          <w:u w:val="single"/>
        </w:rPr>
        <w:t xml:space="preserve">costs for </w:t>
      </w:r>
      <w:r w:rsidR="009F097D" w:rsidRPr="00717DCD">
        <w:rPr>
          <w:rFonts w:eastAsia="Times New Roman" w:cs="Times New Roman"/>
          <w:color w:val="FF0000"/>
          <w:szCs w:val="24"/>
          <w:u w:val="single"/>
        </w:rPr>
        <w:t>any new or upgraded facilities required to comply with ERCOT Planning Guide requirements (and not incurred due to modifications made by a generation resource) will be borne by the TSP</w:t>
      </w:r>
      <w:r w:rsidRPr="00717DCD">
        <w:rPr>
          <w:rFonts w:eastAsia="Times New Roman" w:cs="Times New Roman"/>
          <w:color w:val="000000" w:themeColor="text1"/>
          <w:szCs w:val="24"/>
          <w:u w:val="single"/>
        </w:rPr>
        <w:t>.</w:t>
      </w:r>
    </w:p>
    <w:p w14:paraId="52A9DA96" w14:textId="77777777" w:rsidR="0040373A" w:rsidRPr="00717DCD" w:rsidRDefault="0040373A" w:rsidP="0040373A">
      <w:pPr>
        <w:spacing w:line="480" w:lineRule="auto"/>
        <w:ind w:left="2880" w:hanging="720"/>
        <w:rPr>
          <w:rFonts w:eastAsia="Times New Roman" w:cs="Times New Roman"/>
          <w:color w:val="000000" w:themeColor="text1"/>
          <w:szCs w:val="24"/>
          <w:u w:val="single"/>
        </w:rPr>
      </w:pPr>
      <w:r w:rsidRPr="00717DCD">
        <w:rPr>
          <w:rFonts w:eastAsia="Times New Roman" w:cs="Times New Roman"/>
          <w:color w:val="000000" w:themeColor="text1"/>
          <w:szCs w:val="24"/>
          <w:u w:val="single"/>
        </w:rPr>
        <w:t>(</w:t>
      </w:r>
      <w:proofErr w:type="spellStart"/>
      <w:r w:rsidRPr="00717DCD">
        <w:rPr>
          <w:rFonts w:eastAsia="Times New Roman" w:cs="Times New Roman"/>
          <w:color w:val="000000" w:themeColor="text1"/>
          <w:szCs w:val="24"/>
          <w:u w:val="single"/>
        </w:rPr>
        <w:t>i</w:t>
      </w:r>
      <w:proofErr w:type="spellEnd"/>
      <w:r w:rsidRPr="00717DCD">
        <w:rPr>
          <w:rFonts w:eastAsia="Times New Roman" w:cs="Times New Roman"/>
          <w:color w:val="000000" w:themeColor="text1"/>
          <w:szCs w:val="24"/>
          <w:u w:val="single"/>
        </w:rPr>
        <w:t>)</w:t>
      </w:r>
      <w:r w:rsidRPr="00717DCD">
        <w:rPr>
          <w:rFonts w:eastAsia="Times New Roman" w:cs="Times New Roman"/>
          <w:color w:val="000000" w:themeColor="text1"/>
          <w:szCs w:val="24"/>
          <w:u w:val="single"/>
        </w:rPr>
        <w:tab/>
        <w:t>For the ten calendar years following the date of energization for the initial interconnection of the generation resource:</w:t>
      </w:r>
    </w:p>
    <w:p w14:paraId="593382EC" w14:textId="77777777" w:rsidR="0040373A" w:rsidRPr="00717DCD" w:rsidRDefault="0040373A" w:rsidP="0040373A">
      <w:pPr>
        <w:spacing w:line="480" w:lineRule="auto"/>
        <w:ind w:left="3600" w:hanging="720"/>
        <w:rPr>
          <w:rFonts w:eastAsia="Times New Roman" w:cs="Times New Roman"/>
          <w:color w:val="000000" w:themeColor="text1"/>
          <w:szCs w:val="24"/>
          <w:u w:val="single"/>
        </w:rPr>
      </w:pPr>
      <w:r w:rsidRPr="00717DCD">
        <w:rPr>
          <w:rFonts w:eastAsia="Times New Roman" w:cs="Times New Roman"/>
          <w:color w:val="000000" w:themeColor="text1"/>
          <w:szCs w:val="24"/>
          <w:u w:val="single"/>
        </w:rPr>
        <w:t>(I)</w:t>
      </w:r>
      <w:r w:rsidRPr="00717DCD">
        <w:rPr>
          <w:rFonts w:eastAsia="Times New Roman" w:cs="Times New Roman"/>
          <w:color w:val="000000" w:themeColor="text1"/>
          <w:szCs w:val="24"/>
          <w:u w:val="single"/>
        </w:rPr>
        <w:tab/>
        <w:t>To the extent that the costs of the interconnection facilities exceed the remainder of the allowance calculated under paragraph (f)(3) of this section, the current owner of the interconnected generation resource is responsible for the interconnection costs incurred by the TSP, where:</w:t>
      </w:r>
    </w:p>
    <w:p w14:paraId="28327266" w14:textId="77777777" w:rsidR="0040373A" w:rsidRPr="00717DCD" w:rsidRDefault="0040373A" w:rsidP="0040373A">
      <w:pPr>
        <w:spacing w:line="480" w:lineRule="auto"/>
        <w:ind w:left="4320" w:hanging="720"/>
        <w:rPr>
          <w:rFonts w:eastAsia="Times New Roman" w:cs="Times New Roman"/>
          <w:color w:val="000000" w:themeColor="text1"/>
          <w:szCs w:val="24"/>
          <w:u w:val="single"/>
        </w:rPr>
      </w:pPr>
      <w:r w:rsidRPr="00717DCD">
        <w:rPr>
          <w:rFonts w:eastAsia="Times New Roman" w:cs="Times New Roman"/>
          <w:color w:val="000000" w:themeColor="text1"/>
          <w:szCs w:val="24"/>
          <w:u w:val="single"/>
        </w:rPr>
        <w:t>(-a-)</w:t>
      </w:r>
      <w:r w:rsidRPr="00717DCD">
        <w:rPr>
          <w:rFonts w:eastAsia="Times New Roman" w:cs="Times New Roman"/>
          <w:color w:val="000000" w:themeColor="text1"/>
          <w:szCs w:val="24"/>
          <w:u w:val="single"/>
        </w:rPr>
        <w:tab/>
        <w:t xml:space="preserve">the allowance is the amount that was in effect on the date the notice to proceed with the initial </w:t>
      </w:r>
      <w:r w:rsidRPr="00717DCD">
        <w:rPr>
          <w:rFonts w:eastAsia="Times New Roman" w:cs="Times New Roman"/>
          <w:color w:val="000000" w:themeColor="text1"/>
          <w:szCs w:val="24"/>
          <w:u w:val="single"/>
        </w:rPr>
        <w:lastRenderedPageBreak/>
        <w:t xml:space="preserve">interconnection was issued in accordance with the executed SGIA; and  </w:t>
      </w:r>
    </w:p>
    <w:p w14:paraId="325B84A7" w14:textId="77777777" w:rsidR="0040373A" w:rsidRPr="00717DCD" w:rsidRDefault="0040373A" w:rsidP="0040373A">
      <w:pPr>
        <w:spacing w:line="480" w:lineRule="auto"/>
        <w:ind w:left="4320" w:hanging="720"/>
        <w:rPr>
          <w:rFonts w:eastAsia="Times New Roman" w:cs="Times New Roman"/>
          <w:color w:val="000000" w:themeColor="text1"/>
          <w:szCs w:val="24"/>
          <w:u w:val="single"/>
        </w:rPr>
      </w:pPr>
      <w:r w:rsidRPr="00717DCD">
        <w:rPr>
          <w:rFonts w:eastAsia="Times New Roman" w:cs="Times New Roman"/>
          <w:color w:val="000000" w:themeColor="text1"/>
          <w:szCs w:val="24"/>
          <w:u w:val="single"/>
        </w:rPr>
        <w:t>(-b-)</w:t>
      </w:r>
      <w:r w:rsidRPr="00717DCD">
        <w:rPr>
          <w:rFonts w:eastAsia="Times New Roman" w:cs="Times New Roman"/>
          <w:color w:val="000000" w:themeColor="text1"/>
          <w:szCs w:val="24"/>
          <w:u w:val="single"/>
        </w:rPr>
        <w:tab/>
        <w:t>the remainder is the difference between the allowance described under subclause (I) of this clause and the actual costs that a TSP incurred to construct, design, and upgrade interconnection facilities to initially interconnect the generation resource.</w:t>
      </w:r>
    </w:p>
    <w:p w14:paraId="7BFCCD16" w14:textId="77777777" w:rsidR="0040373A" w:rsidRPr="00717DCD" w:rsidRDefault="0040373A" w:rsidP="0040373A">
      <w:pPr>
        <w:spacing w:line="480" w:lineRule="auto"/>
        <w:ind w:left="3600" w:hanging="720"/>
        <w:rPr>
          <w:rFonts w:eastAsia="Times New Roman" w:cs="Times New Roman"/>
          <w:color w:val="000000" w:themeColor="text1"/>
          <w:szCs w:val="24"/>
          <w:u w:val="single"/>
        </w:rPr>
      </w:pPr>
      <w:r w:rsidRPr="00717DCD">
        <w:rPr>
          <w:rFonts w:eastAsia="Times New Roman" w:cs="Times New Roman"/>
          <w:color w:val="000000" w:themeColor="text1"/>
          <w:szCs w:val="24"/>
          <w:u w:val="single"/>
        </w:rPr>
        <w:t>(II)</w:t>
      </w:r>
      <w:r w:rsidRPr="00717DCD">
        <w:rPr>
          <w:rFonts w:eastAsia="Times New Roman" w:cs="Times New Roman"/>
          <w:color w:val="000000" w:themeColor="text1"/>
          <w:szCs w:val="24"/>
          <w:u w:val="single"/>
        </w:rPr>
        <w:tab/>
        <w:t>The current owner of an interconnected generation resource is determined in accordance with the most recently executed SGIA for that generation resource.</w:t>
      </w:r>
    </w:p>
    <w:p w14:paraId="2C54BDB4" w14:textId="77777777" w:rsidR="0040373A" w:rsidRPr="00717DCD" w:rsidRDefault="0040373A" w:rsidP="0040373A">
      <w:pPr>
        <w:spacing w:line="480" w:lineRule="auto"/>
        <w:ind w:left="2880" w:hanging="720"/>
        <w:rPr>
          <w:rFonts w:eastAsia="Times New Roman" w:cs="Times New Roman"/>
          <w:color w:val="000000" w:themeColor="text1"/>
          <w:szCs w:val="24"/>
          <w:u w:val="single"/>
        </w:rPr>
      </w:pPr>
      <w:r w:rsidRPr="00717DCD">
        <w:rPr>
          <w:rFonts w:eastAsia="Times New Roman" w:cs="Times New Roman"/>
          <w:color w:val="000000" w:themeColor="text1"/>
          <w:szCs w:val="24"/>
          <w:u w:val="single"/>
        </w:rPr>
        <w:t>(ii)</w:t>
      </w:r>
      <w:r w:rsidRPr="00717DCD">
        <w:rPr>
          <w:rFonts w:eastAsia="Times New Roman" w:cs="Times New Roman"/>
          <w:color w:val="000000" w:themeColor="text1"/>
          <w:szCs w:val="24"/>
          <w:u w:val="single"/>
        </w:rPr>
        <w:tab/>
        <w:t>After ten calendar years from the date of energization for the initial interconnection of the generation resource, the TSP is responsible for the costs of new or upgraded interconnection facilities.</w:t>
      </w:r>
    </w:p>
    <w:p w14:paraId="10B78D2D" w14:textId="47C2B17C" w:rsidR="00E2185F" w:rsidRPr="00717DCD" w:rsidRDefault="0088097B" w:rsidP="00E2185F">
      <w:pPr>
        <w:spacing w:line="480" w:lineRule="auto"/>
        <w:ind w:firstLine="360"/>
        <w:jc w:val="center"/>
        <w:rPr>
          <w:rFonts w:cs="Times New Roman"/>
          <w:b/>
          <w:bCs/>
          <w:szCs w:val="24"/>
        </w:rPr>
      </w:pPr>
      <w:r w:rsidRPr="00717DCD">
        <w:rPr>
          <w:rFonts w:cs="Times New Roman"/>
          <w:b/>
          <w:bCs/>
          <w:szCs w:val="24"/>
        </w:rPr>
        <w:t>REPORTING OF INTERCONNECTION COSTS</w:t>
      </w:r>
    </w:p>
    <w:p w14:paraId="436F2586" w14:textId="010ABB78" w:rsidR="0088097B" w:rsidRPr="00D11A78" w:rsidRDefault="00601919" w:rsidP="00717DCD">
      <w:pPr>
        <w:spacing w:line="480" w:lineRule="auto"/>
        <w:ind w:firstLine="720"/>
        <w:rPr>
          <w:rFonts w:cs="Times New Roman"/>
          <w:szCs w:val="24"/>
        </w:rPr>
      </w:pPr>
      <w:r w:rsidRPr="00717DCD">
        <w:rPr>
          <w:rFonts w:cs="Times New Roman"/>
          <w:szCs w:val="24"/>
        </w:rPr>
        <w:t xml:space="preserve">TCPA applauds the inclusion of </w:t>
      </w:r>
      <w:r w:rsidR="00272042" w:rsidRPr="00717DCD">
        <w:rPr>
          <w:rFonts w:cs="Times New Roman"/>
          <w:szCs w:val="24"/>
        </w:rPr>
        <w:t xml:space="preserve">16 TAC </w:t>
      </w:r>
      <w:r w:rsidR="00272042" w:rsidRPr="00D11A78">
        <w:rPr>
          <w:rFonts w:cs="Times New Roman"/>
          <w:szCs w:val="24"/>
        </w:rPr>
        <w:t>§25.195(</w:t>
      </w:r>
      <w:proofErr w:type="spellStart"/>
      <w:r w:rsidR="00BA4957" w:rsidRPr="00D11A78">
        <w:rPr>
          <w:rFonts w:cs="Times New Roman"/>
          <w:szCs w:val="24"/>
        </w:rPr>
        <w:t>i</w:t>
      </w:r>
      <w:proofErr w:type="spellEnd"/>
      <w:r w:rsidR="00BA4957" w:rsidRPr="00D11A78">
        <w:rPr>
          <w:rFonts w:cs="Times New Roman"/>
          <w:szCs w:val="24"/>
        </w:rPr>
        <w:t xml:space="preserve">) in the </w:t>
      </w:r>
      <w:proofErr w:type="spellStart"/>
      <w:r w:rsidR="00BA4957" w:rsidRPr="00D11A78">
        <w:rPr>
          <w:rFonts w:cs="Times New Roman"/>
          <w:szCs w:val="24"/>
        </w:rPr>
        <w:t>PfP</w:t>
      </w:r>
      <w:proofErr w:type="spellEnd"/>
      <w:r w:rsidR="00BA4957" w:rsidRPr="00D11A78">
        <w:rPr>
          <w:rFonts w:cs="Times New Roman"/>
          <w:szCs w:val="24"/>
        </w:rPr>
        <w:t xml:space="preserve"> and suggests expanding the provision to require the </w:t>
      </w:r>
      <w:r w:rsidR="00C96BFB" w:rsidRPr="00D11A78">
        <w:rPr>
          <w:rFonts w:cs="Times New Roman"/>
          <w:szCs w:val="24"/>
        </w:rPr>
        <w:t xml:space="preserve">inclusion of interconnection cost data </w:t>
      </w:r>
      <w:r w:rsidR="00C70980">
        <w:rPr>
          <w:rFonts w:cs="Times New Roman"/>
          <w:szCs w:val="24"/>
        </w:rPr>
        <w:t>in</w:t>
      </w:r>
      <w:r w:rsidR="00C96BFB" w:rsidRPr="00D11A78">
        <w:rPr>
          <w:rFonts w:cs="Times New Roman"/>
          <w:szCs w:val="24"/>
        </w:rPr>
        <w:t xml:space="preserve"> </w:t>
      </w:r>
      <w:r w:rsidR="00991657" w:rsidRPr="00D11A78">
        <w:rPr>
          <w:rFonts w:cs="Times New Roman"/>
          <w:szCs w:val="24"/>
        </w:rPr>
        <w:t xml:space="preserve">ERCOT’s </w:t>
      </w:r>
      <w:r w:rsidR="00C96BFB" w:rsidRPr="00D11A78">
        <w:rPr>
          <w:rFonts w:cs="Times New Roman"/>
          <w:szCs w:val="24"/>
        </w:rPr>
        <w:t xml:space="preserve">monthly </w:t>
      </w:r>
      <w:r w:rsidR="00D1703B" w:rsidRPr="00D11A78">
        <w:rPr>
          <w:rFonts w:cs="Times New Roman"/>
          <w:szCs w:val="24"/>
        </w:rPr>
        <w:t>Generator Interconnection Status (</w:t>
      </w:r>
      <w:r w:rsidR="00AC0FE3">
        <w:rPr>
          <w:rFonts w:cs="Times New Roman"/>
          <w:szCs w:val="24"/>
        </w:rPr>
        <w:t>“</w:t>
      </w:r>
      <w:r w:rsidR="00D1703B" w:rsidRPr="00D11A78">
        <w:rPr>
          <w:rFonts w:cs="Times New Roman"/>
          <w:szCs w:val="24"/>
        </w:rPr>
        <w:t>GIS</w:t>
      </w:r>
      <w:r w:rsidR="00AC0FE3">
        <w:rPr>
          <w:rFonts w:cs="Times New Roman"/>
          <w:szCs w:val="24"/>
        </w:rPr>
        <w:t>”</w:t>
      </w:r>
      <w:r w:rsidR="00D1703B" w:rsidRPr="00D11A78">
        <w:rPr>
          <w:rFonts w:cs="Times New Roman"/>
          <w:szCs w:val="24"/>
        </w:rPr>
        <w:t xml:space="preserve">) </w:t>
      </w:r>
      <w:r w:rsidR="00991657" w:rsidRPr="00D11A78">
        <w:rPr>
          <w:rFonts w:cs="Times New Roman"/>
          <w:szCs w:val="24"/>
        </w:rPr>
        <w:t>r</w:t>
      </w:r>
      <w:r w:rsidR="00D1703B" w:rsidRPr="00D11A78">
        <w:rPr>
          <w:rFonts w:cs="Times New Roman"/>
          <w:szCs w:val="24"/>
        </w:rPr>
        <w:t>eport</w:t>
      </w:r>
      <w:r w:rsidR="0044736D" w:rsidRPr="00D11A78">
        <w:rPr>
          <w:rFonts w:cs="Times New Roman"/>
          <w:szCs w:val="24"/>
        </w:rPr>
        <w:t xml:space="preserve">. The Commission is required to review the </w:t>
      </w:r>
      <w:r w:rsidR="00A15936" w:rsidRPr="00D11A78">
        <w:rPr>
          <w:rFonts w:cs="Times New Roman"/>
          <w:szCs w:val="24"/>
        </w:rPr>
        <w:t xml:space="preserve">interconnection </w:t>
      </w:r>
      <w:r w:rsidR="0044736D" w:rsidRPr="00D11A78">
        <w:rPr>
          <w:rFonts w:cs="Times New Roman"/>
          <w:szCs w:val="24"/>
        </w:rPr>
        <w:t>allowance</w:t>
      </w:r>
      <w:r w:rsidR="00E46BBF" w:rsidRPr="00D11A78">
        <w:rPr>
          <w:rFonts w:cs="Times New Roman"/>
          <w:szCs w:val="24"/>
        </w:rPr>
        <w:t xml:space="preserve"> at least once every five (5) years and </w:t>
      </w:r>
      <w:r w:rsidR="00113ABA" w:rsidRPr="00D11A78">
        <w:rPr>
          <w:rFonts w:cs="Times New Roman"/>
          <w:szCs w:val="24"/>
        </w:rPr>
        <w:t xml:space="preserve">may </w:t>
      </w:r>
      <w:r w:rsidR="00E46BBF" w:rsidRPr="00D11A78">
        <w:rPr>
          <w:rFonts w:cs="Times New Roman"/>
          <w:szCs w:val="24"/>
        </w:rPr>
        <w:t xml:space="preserve">make adjustments </w:t>
      </w:r>
      <w:r w:rsidR="00B1439A" w:rsidRPr="00D11A78">
        <w:rPr>
          <w:rFonts w:cs="Times New Roman"/>
          <w:szCs w:val="24"/>
        </w:rPr>
        <w:t>to account for inflation or supply chain issues.</w:t>
      </w:r>
      <w:r w:rsidR="00B1439A" w:rsidRPr="00D11A78">
        <w:rPr>
          <w:rStyle w:val="FootnoteReference"/>
          <w:rFonts w:cs="Times New Roman"/>
          <w:szCs w:val="24"/>
        </w:rPr>
        <w:footnoteReference w:id="5"/>
      </w:r>
      <w:r w:rsidR="008274A1" w:rsidRPr="00D11A78">
        <w:rPr>
          <w:rFonts w:cs="Times New Roman"/>
          <w:szCs w:val="24"/>
        </w:rPr>
        <w:t xml:space="preserve"> By adding the cost information to the monthly GIS report, </w:t>
      </w:r>
      <w:r w:rsidR="00AD08EC" w:rsidRPr="00D11A78">
        <w:rPr>
          <w:rFonts w:cs="Times New Roman"/>
          <w:szCs w:val="24"/>
        </w:rPr>
        <w:t>Commission Staff will be able to</w:t>
      </w:r>
      <w:r w:rsidR="00B21C42" w:rsidRPr="00D11A78">
        <w:rPr>
          <w:rFonts w:cs="Times New Roman"/>
          <w:szCs w:val="24"/>
        </w:rPr>
        <w:t xml:space="preserve"> </w:t>
      </w:r>
      <w:r w:rsidR="00F20535" w:rsidRPr="00D11A78">
        <w:rPr>
          <w:rFonts w:cs="Times New Roman"/>
          <w:szCs w:val="24"/>
        </w:rPr>
        <w:t>monitor</w:t>
      </w:r>
      <w:r w:rsidR="00AD08EC" w:rsidRPr="00D11A78">
        <w:rPr>
          <w:rFonts w:cs="Times New Roman"/>
          <w:szCs w:val="24"/>
        </w:rPr>
        <w:t xml:space="preserve"> </w:t>
      </w:r>
      <w:r w:rsidR="00364F74" w:rsidRPr="00D11A78">
        <w:rPr>
          <w:rFonts w:cs="Times New Roman"/>
          <w:szCs w:val="24"/>
        </w:rPr>
        <w:t xml:space="preserve">projected and actual </w:t>
      </w:r>
      <w:r w:rsidR="00AD08EC" w:rsidRPr="00D11A78">
        <w:rPr>
          <w:rFonts w:cs="Times New Roman"/>
          <w:szCs w:val="24"/>
        </w:rPr>
        <w:t xml:space="preserve">interconnection costs, easily identify outliers, </w:t>
      </w:r>
      <w:r w:rsidR="000B019A" w:rsidRPr="00D11A78">
        <w:rPr>
          <w:rFonts w:cs="Times New Roman"/>
          <w:szCs w:val="24"/>
        </w:rPr>
        <w:t xml:space="preserve">and may </w:t>
      </w:r>
      <w:r w:rsidR="000B019A" w:rsidRPr="00D11A78">
        <w:rPr>
          <w:rFonts w:cs="Times New Roman"/>
          <w:szCs w:val="24"/>
        </w:rPr>
        <w:lastRenderedPageBreak/>
        <w:t xml:space="preserve">open a rulemaking sooner than the five-year requirement should the data provide trends indicating review is warranted sooner. </w:t>
      </w:r>
      <w:r w:rsidR="00443D48" w:rsidRPr="00D11A78">
        <w:rPr>
          <w:rFonts w:cs="Times New Roman"/>
          <w:szCs w:val="24"/>
        </w:rPr>
        <w:t>While the proposed language in subsection (</w:t>
      </w:r>
      <w:proofErr w:type="spellStart"/>
      <w:r w:rsidR="00443D48" w:rsidRPr="00D11A78">
        <w:rPr>
          <w:rFonts w:cs="Times New Roman"/>
          <w:szCs w:val="24"/>
        </w:rPr>
        <w:t>i</w:t>
      </w:r>
      <w:proofErr w:type="spellEnd"/>
      <w:r w:rsidR="00443D48" w:rsidRPr="00D11A78">
        <w:rPr>
          <w:rFonts w:cs="Times New Roman"/>
          <w:szCs w:val="24"/>
        </w:rPr>
        <w:t xml:space="preserve">) appears to contemplate a new report, TCPA recommends utilizing the existing GIS and adding the </w:t>
      </w:r>
      <w:r w:rsidR="006928F9" w:rsidRPr="00D11A78">
        <w:rPr>
          <w:rFonts w:cs="Times New Roman"/>
          <w:szCs w:val="24"/>
        </w:rPr>
        <w:t xml:space="preserve">required data to that report. </w:t>
      </w:r>
    </w:p>
    <w:p w14:paraId="717D3A4F" w14:textId="1392BFA1" w:rsidR="00EE05ED" w:rsidRPr="00D11A78" w:rsidRDefault="00E74A78" w:rsidP="0088097B">
      <w:pPr>
        <w:spacing w:line="480" w:lineRule="auto"/>
        <w:ind w:firstLine="360"/>
        <w:rPr>
          <w:rFonts w:cs="Times New Roman"/>
          <w:szCs w:val="24"/>
        </w:rPr>
      </w:pPr>
      <w:r w:rsidRPr="00D11A78">
        <w:rPr>
          <w:rFonts w:cs="Times New Roman"/>
          <w:szCs w:val="24"/>
        </w:rPr>
        <w:tab/>
        <w:t>Below is a proposed edit, in red font for easy identification, to subsection (</w:t>
      </w:r>
      <w:proofErr w:type="spellStart"/>
      <w:r w:rsidRPr="00D11A78">
        <w:rPr>
          <w:rFonts w:cs="Times New Roman"/>
          <w:szCs w:val="24"/>
        </w:rPr>
        <w:t>i</w:t>
      </w:r>
      <w:proofErr w:type="spellEnd"/>
      <w:r w:rsidRPr="00D11A78">
        <w:rPr>
          <w:rFonts w:cs="Times New Roman"/>
          <w:szCs w:val="24"/>
        </w:rPr>
        <w:t>) as discussed above:</w:t>
      </w:r>
    </w:p>
    <w:p w14:paraId="36D4602E" w14:textId="0A9BD855" w:rsidR="00E74A78" w:rsidRPr="00D11A78" w:rsidRDefault="00E74A78" w:rsidP="00E74A78">
      <w:pPr>
        <w:spacing w:line="480" w:lineRule="auto"/>
        <w:ind w:left="720" w:hanging="720"/>
        <w:rPr>
          <w:rFonts w:eastAsia="Times New Roman" w:cs="Times New Roman"/>
          <w:szCs w:val="24"/>
          <w:u w:val="single"/>
        </w:rPr>
      </w:pPr>
      <w:r w:rsidRPr="00D11A78">
        <w:rPr>
          <w:rFonts w:eastAsia="Times New Roman" w:cs="Times New Roman"/>
          <w:szCs w:val="24"/>
          <w:u w:val="single"/>
        </w:rPr>
        <w:t>(</w:t>
      </w:r>
      <w:proofErr w:type="spellStart"/>
      <w:r w:rsidRPr="00D11A78">
        <w:rPr>
          <w:rFonts w:eastAsia="Times New Roman" w:cs="Times New Roman"/>
          <w:szCs w:val="24"/>
          <w:u w:val="single"/>
        </w:rPr>
        <w:t>i</w:t>
      </w:r>
      <w:proofErr w:type="spellEnd"/>
      <w:r w:rsidRPr="00D11A78">
        <w:rPr>
          <w:rFonts w:eastAsia="Times New Roman" w:cs="Times New Roman"/>
          <w:szCs w:val="24"/>
          <w:u w:val="single"/>
        </w:rPr>
        <w:t>)</w:t>
      </w:r>
      <w:r w:rsidRPr="00D11A78">
        <w:rPr>
          <w:rFonts w:eastAsia="Times New Roman" w:cs="Times New Roman"/>
          <w:szCs w:val="24"/>
          <w:u w:val="single"/>
        </w:rPr>
        <w:tab/>
        <w:t xml:space="preserve">ERCOT must, in consultation with commission staff, develop protocols to </w:t>
      </w:r>
      <w:r w:rsidRPr="00D11A78">
        <w:rPr>
          <w:rFonts w:eastAsia="Times New Roman" w:cs="Times New Roman"/>
          <w:strike/>
          <w:color w:val="FF0000"/>
          <w:szCs w:val="24"/>
          <w:u w:val="single"/>
        </w:rPr>
        <w:t>regularly publish a</w:t>
      </w:r>
      <w:r w:rsidRPr="00D11A78">
        <w:rPr>
          <w:rFonts w:eastAsia="Times New Roman" w:cs="Times New Roman"/>
          <w:color w:val="FF0000"/>
          <w:szCs w:val="24"/>
          <w:u w:val="single"/>
        </w:rPr>
        <w:t xml:space="preserve"> include in the monthly Generator Interconnection Status </w:t>
      </w:r>
      <w:r w:rsidRPr="00D11A78">
        <w:rPr>
          <w:rFonts w:eastAsia="Times New Roman" w:cs="Times New Roman"/>
          <w:szCs w:val="24"/>
          <w:u w:val="single"/>
        </w:rPr>
        <w:t xml:space="preserve">report </w:t>
      </w:r>
      <w:r w:rsidRPr="00D11A78">
        <w:rPr>
          <w:rFonts w:eastAsia="Times New Roman" w:cs="Times New Roman"/>
          <w:strike/>
          <w:color w:val="FF0000"/>
          <w:szCs w:val="24"/>
          <w:u w:val="single"/>
        </w:rPr>
        <w:t>that includes</w:t>
      </w:r>
      <w:r w:rsidRPr="00D11A78">
        <w:rPr>
          <w:rFonts w:eastAsia="Times New Roman" w:cs="Times New Roman"/>
          <w:szCs w:val="24"/>
          <w:u w:val="single"/>
        </w:rPr>
        <w:t xml:space="preserve"> the </w:t>
      </w:r>
      <w:r w:rsidR="004E3674" w:rsidRPr="00D11A78">
        <w:rPr>
          <w:rFonts w:eastAsia="Times New Roman" w:cs="Times New Roman"/>
          <w:color w:val="FF0000"/>
          <w:szCs w:val="24"/>
          <w:u w:val="single"/>
        </w:rPr>
        <w:t xml:space="preserve">projected and actual </w:t>
      </w:r>
      <w:r w:rsidRPr="00D11A78">
        <w:rPr>
          <w:rFonts w:eastAsia="Times New Roman" w:cs="Times New Roman"/>
          <w:szCs w:val="24"/>
          <w:u w:val="single"/>
        </w:rPr>
        <w:t xml:space="preserve">generation interconnection costs for each generation resource interconnection. </w:t>
      </w:r>
    </w:p>
    <w:p w14:paraId="133EDFCA" w14:textId="6ADFE836" w:rsidR="000F0489" w:rsidRPr="00717DCD" w:rsidRDefault="000F0489" w:rsidP="000F0489">
      <w:pPr>
        <w:spacing w:line="480" w:lineRule="auto"/>
        <w:ind w:firstLine="360"/>
        <w:jc w:val="center"/>
        <w:rPr>
          <w:rFonts w:cs="Times New Roman"/>
          <w:b/>
          <w:bCs/>
          <w:szCs w:val="24"/>
        </w:rPr>
      </w:pPr>
      <w:r w:rsidRPr="00717DCD">
        <w:rPr>
          <w:rFonts w:cs="Times New Roman"/>
          <w:b/>
          <w:bCs/>
          <w:szCs w:val="24"/>
        </w:rPr>
        <w:t>DEFINITION OF GENERATION RESOURCE</w:t>
      </w:r>
    </w:p>
    <w:p w14:paraId="413B485F" w14:textId="2F3FB25A" w:rsidR="000F0489" w:rsidRPr="00D11A78" w:rsidRDefault="000F0489" w:rsidP="00717DCD">
      <w:pPr>
        <w:spacing w:line="480" w:lineRule="auto"/>
        <w:ind w:firstLine="720"/>
        <w:rPr>
          <w:rFonts w:cs="Times New Roman"/>
          <w:szCs w:val="24"/>
        </w:rPr>
      </w:pPr>
      <w:r w:rsidRPr="00717DCD">
        <w:rPr>
          <w:rFonts w:cs="Times New Roman"/>
          <w:szCs w:val="24"/>
        </w:rPr>
        <w:t xml:space="preserve">TCPA notes that the definition of “generation resource” in the proposed rule uses the phrase “sells </w:t>
      </w:r>
      <w:r w:rsidRPr="00717DCD">
        <w:rPr>
          <w:rFonts w:cs="Times New Roman"/>
          <w:i/>
          <w:iCs/>
          <w:szCs w:val="24"/>
        </w:rPr>
        <w:t>generation</w:t>
      </w:r>
      <w:r w:rsidRPr="00717DCD">
        <w:rPr>
          <w:rFonts w:cs="Times New Roman"/>
          <w:szCs w:val="24"/>
        </w:rPr>
        <w:t xml:space="preserve"> at wholesale” (</w:t>
      </w:r>
      <w:r w:rsidRPr="00717DCD">
        <w:rPr>
          <w:rFonts w:cs="Times New Roman"/>
          <w:i/>
          <w:iCs/>
          <w:szCs w:val="24"/>
        </w:rPr>
        <w:t>emphasis added</w:t>
      </w:r>
      <w:r w:rsidRPr="00717DCD">
        <w:rPr>
          <w:rFonts w:cs="Times New Roman"/>
          <w:szCs w:val="24"/>
        </w:rPr>
        <w:t xml:space="preserve">). </w:t>
      </w:r>
      <w:r w:rsidR="007A6094" w:rsidRPr="00717DCD">
        <w:rPr>
          <w:rFonts w:cs="Times New Roman"/>
          <w:szCs w:val="24"/>
        </w:rPr>
        <w:t xml:space="preserve">For consistency with other definitions in PURA and Commission rules that define generators as an entity that sells “electricity” </w:t>
      </w:r>
      <w:r w:rsidR="00364F74" w:rsidRPr="00717DCD">
        <w:rPr>
          <w:rFonts w:cs="Times New Roman"/>
          <w:szCs w:val="24"/>
        </w:rPr>
        <w:t xml:space="preserve">(or alternatively, “power” or “electric energy”) </w:t>
      </w:r>
      <w:r w:rsidR="007A6094" w:rsidRPr="00717DCD">
        <w:rPr>
          <w:rFonts w:cs="Times New Roman"/>
          <w:szCs w:val="24"/>
        </w:rPr>
        <w:t xml:space="preserve">at wholesale, TCPA recommends modifying </w:t>
      </w:r>
      <w:r w:rsidRPr="00D11A78">
        <w:rPr>
          <w:rFonts w:cs="Times New Roman"/>
          <w:szCs w:val="24"/>
        </w:rPr>
        <w:t xml:space="preserve">subsection (b)(1) </w:t>
      </w:r>
      <w:r w:rsidR="007A6094" w:rsidRPr="00D11A78">
        <w:rPr>
          <w:rFonts w:cs="Times New Roman"/>
          <w:szCs w:val="24"/>
        </w:rPr>
        <w:t>as follows</w:t>
      </w:r>
      <w:r w:rsidRPr="00D11A78">
        <w:rPr>
          <w:rFonts w:cs="Times New Roman"/>
          <w:szCs w:val="24"/>
        </w:rPr>
        <w:t>:</w:t>
      </w:r>
    </w:p>
    <w:p w14:paraId="53158597" w14:textId="77777777" w:rsidR="000F0489" w:rsidRPr="00D11A78" w:rsidRDefault="000F0489" w:rsidP="000F0489">
      <w:pPr>
        <w:spacing w:line="480" w:lineRule="auto"/>
        <w:ind w:left="720" w:hanging="720"/>
        <w:rPr>
          <w:rFonts w:eastAsia="Times New Roman" w:cs="Times New Roman"/>
          <w:szCs w:val="24"/>
        </w:rPr>
      </w:pPr>
      <w:r w:rsidRPr="00D11A78">
        <w:rPr>
          <w:rFonts w:eastAsia="Times New Roman" w:cs="Times New Roman"/>
          <w:szCs w:val="24"/>
        </w:rPr>
        <w:t>(b)</w:t>
      </w:r>
      <w:r w:rsidRPr="00D11A78">
        <w:rPr>
          <w:rFonts w:eastAsia="Times New Roman" w:cs="Times New Roman"/>
          <w:szCs w:val="24"/>
        </w:rPr>
        <w:tab/>
      </w:r>
      <w:r w:rsidRPr="00D11A78">
        <w:rPr>
          <w:rFonts w:eastAsia="Times New Roman" w:cs="Times New Roman"/>
          <w:b/>
          <w:bCs/>
          <w:szCs w:val="24"/>
        </w:rPr>
        <w:t xml:space="preserve">Definitions. </w:t>
      </w:r>
      <w:r w:rsidRPr="00D11A78">
        <w:rPr>
          <w:rFonts w:eastAsia="Times New Roman" w:cs="Times New Roman"/>
          <w:szCs w:val="24"/>
        </w:rPr>
        <w:t xml:space="preserve">The following terms have the following meanings unless context indicates otherwise. </w:t>
      </w:r>
    </w:p>
    <w:p w14:paraId="7BB2CB17" w14:textId="3F3F99C6" w:rsidR="000F0489" w:rsidRPr="00D11A78" w:rsidRDefault="000F0489" w:rsidP="000F0489">
      <w:pPr>
        <w:spacing w:line="480" w:lineRule="auto"/>
        <w:ind w:left="1440" w:hanging="720"/>
        <w:rPr>
          <w:rFonts w:eastAsia="Times New Roman" w:cs="Times New Roman"/>
          <w:szCs w:val="24"/>
        </w:rPr>
      </w:pPr>
      <w:r w:rsidRPr="00D11A78">
        <w:rPr>
          <w:rFonts w:eastAsia="Times New Roman" w:cs="Times New Roman"/>
          <w:szCs w:val="24"/>
        </w:rPr>
        <w:t>(1)</w:t>
      </w:r>
      <w:r w:rsidRPr="00D11A78">
        <w:rPr>
          <w:rFonts w:eastAsia="Times New Roman" w:cs="Times New Roman"/>
          <w:szCs w:val="24"/>
        </w:rPr>
        <w:tab/>
      </w:r>
      <w:r w:rsidRPr="00D11A78">
        <w:rPr>
          <w:rFonts w:eastAsia="Times New Roman" w:cs="Times New Roman"/>
          <w:b/>
          <w:bCs/>
          <w:szCs w:val="24"/>
        </w:rPr>
        <w:t>Generation resource</w:t>
      </w:r>
      <w:r w:rsidRPr="00D11A78">
        <w:rPr>
          <w:rFonts w:eastAsia="Times New Roman" w:cs="Times New Roman"/>
          <w:szCs w:val="24"/>
        </w:rPr>
        <w:t xml:space="preserve"> -- a transmission service customer that sells </w:t>
      </w:r>
      <w:r w:rsidRPr="00D11A78">
        <w:rPr>
          <w:rFonts w:eastAsia="Times New Roman" w:cs="Times New Roman"/>
          <w:strike/>
          <w:color w:val="FF0000"/>
          <w:szCs w:val="24"/>
        </w:rPr>
        <w:t>generation</w:t>
      </w:r>
      <w:r w:rsidRPr="00D11A78">
        <w:rPr>
          <w:rFonts w:eastAsia="Times New Roman" w:cs="Times New Roman"/>
          <w:color w:val="FF0000"/>
          <w:szCs w:val="24"/>
        </w:rPr>
        <w:t xml:space="preserve"> </w:t>
      </w:r>
      <w:r w:rsidRPr="00D11A78">
        <w:rPr>
          <w:rFonts w:eastAsia="Times New Roman" w:cs="Times New Roman"/>
          <w:color w:val="FF0000"/>
          <w:szCs w:val="24"/>
          <w:u w:val="single"/>
        </w:rPr>
        <w:t xml:space="preserve">electricity </w:t>
      </w:r>
      <w:r w:rsidRPr="00D11A78">
        <w:rPr>
          <w:rFonts w:eastAsia="Times New Roman" w:cs="Times New Roman"/>
          <w:szCs w:val="24"/>
        </w:rPr>
        <w:t>at wholesale, is interconnected to a TSP’s system at a voltage above 60 kilovolts (kV</w:t>
      </w:r>
      <w:proofErr w:type="gramStart"/>
      <w:r w:rsidRPr="00D11A78">
        <w:rPr>
          <w:rFonts w:eastAsia="Times New Roman" w:cs="Times New Roman"/>
          <w:szCs w:val="24"/>
        </w:rPr>
        <w:t>),</w:t>
      </w:r>
      <w:r w:rsidR="00717DCD">
        <w:rPr>
          <w:rFonts w:eastAsia="Times New Roman" w:cs="Times New Roman"/>
          <w:szCs w:val="24"/>
        </w:rPr>
        <w:t xml:space="preserve"> </w:t>
      </w:r>
      <w:r w:rsidRPr="00D11A78">
        <w:rPr>
          <w:rFonts w:eastAsia="Times New Roman" w:cs="Times New Roman"/>
          <w:szCs w:val="24"/>
        </w:rPr>
        <w:t>and</w:t>
      </w:r>
      <w:proofErr w:type="gramEnd"/>
      <w:r w:rsidRPr="00D11A78">
        <w:rPr>
          <w:rFonts w:eastAsia="Times New Roman" w:cs="Times New Roman"/>
          <w:szCs w:val="24"/>
        </w:rPr>
        <w:t xml:space="preserve"> is required to execute a standard generation interconnection agreement (SGIA) under this section.</w:t>
      </w:r>
    </w:p>
    <w:p w14:paraId="64233288" w14:textId="068A35CC" w:rsidR="00474F4C" w:rsidRPr="00717DCD" w:rsidRDefault="00474F4C" w:rsidP="00E2185F">
      <w:pPr>
        <w:spacing w:line="480" w:lineRule="auto"/>
        <w:ind w:firstLine="360"/>
        <w:jc w:val="center"/>
        <w:rPr>
          <w:rFonts w:cs="Times New Roman"/>
          <w:szCs w:val="24"/>
        </w:rPr>
      </w:pPr>
      <w:r w:rsidRPr="00717DCD">
        <w:rPr>
          <w:rFonts w:cs="Times New Roman"/>
          <w:szCs w:val="24"/>
        </w:rPr>
        <w:lastRenderedPageBreak/>
        <w:t>CONCLUSION</w:t>
      </w:r>
    </w:p>
    <w:p w14:paraId="04497120" w14:textId="6DDAB1E1" w:rsidR="008E7489" w:rsidRPr="00717DCD" w:rsidRDefault="008E7489" w:rsidP="009979AC">
      <w:pPr>
        <w:spacing w:line="480" w:lineRule="auto"/>
        <w:ind w:firstLine="360"/>
        <w:jc w:val="left"/>
        <w:rPr>
          <w:rFonts w:cs="Times New Roman"/>
          <w:szCs w:val="24"/>
        </w:rPr>
      </w:pPr>
      <w:r w:rsidRPr="00717DCD">
        <w:rPr>
          <w:rFonts w:cs="Times New Roman"/>
          <w:szCs w:val="24"/>
        </w:rPr>
        <w:tab/>
        <w:t xml:space="preserve">TCPA appreciates the </w:t>
      </w:r>
      <w:r w:rsidR="00E74A78" w:rsidRPr="00717DCD">
        <w:rPr>
          <w:rFonts w:cs="Times New Roman"/>
          <w:szCs w:val="24"/>
        </w:rPr>
        <w:t xml:space="preserve">work of Commission Staff to reflect the </w:t>
      </w:r>
      <w:r w:rsidR="00FE41D9" w:rsidRPr="00717DCD">
        <w:rPr>
          <w:rFonts w:cs="Times New Roman"/>
          <w:szCs w:val="24"/>
        </w:rPr>
        <w:t xml:space="preserve">input received </w:t>
      </w:r>
      <w:r w:rsidR="00E2185F" w:rsidRPr="00717DCD">
        <w:rPr>
          <w:rFonts w:cs="Times New Roman"/>
          <w:szCs w:val="24"/>
        </w:rPr>
        <w:t xml:space="preserve">from market participants </w:t>
      </w:r>
      <w:r w:rsidR="00FE41D9" w:rsidRPr="00717DCD">
        <w:rPr>
          <w:rFonts w:cs="Times New Roman"/>
          <w:szCs w:val="24"/>
        </w:rPr>
        <w:t>in the Proposal for Publication as well as the opport</w:t>
      </w:r>
      <w:r w:rsidR="00946454" w:rsidRPr="00717DCD">
        <w:rPr>
          <w:rFonts w:cs="Times New Roman"/>
          <w:szCs w:val="24"/>
        </w:rPr>
        <w:t>unity</w:t>
      </w:r>
      <w:r w:rsidR="00BE0492" w:rsidRPr="00717DCD">
        <w:rPr>
          <w:rFonts w:cs="Times New Roman"/>
          <w:szCs w:val="24"/>
        </w:rPr>
        <w:t xml:space="preserve"> to provide comments </w:t>
      </w:r>
      <w:r w:rsidR="009D4587" w:rsidRPr="00717DCD">
        <w:rPr>
          <w:rFonts w:cs="Times New Roman"/>
          <w:szCs w:val="24"/>
        </w:rPr>
        <w:t>to ensure the efficient implementation of the statute</w:t>
      </w:r>
      <w:r w:rsidR="00FB4C1C" w:rsidRPr="00717DCD">
        <w:rPr>
          <w:rFonts w:cs="Times New Roman"/>
          <w:szCs w:val="24"/>
        </w:rPr>
        <w:t>. We look forward to continuing to work with</w:t>
      </w:r>
      <w:r w:rsidR="009979AC" w:rsidRPr="00717DCD">
        <w:rPr>
          <w:rFonts w:cs="Times New Roman"/>
          <w:szCs w:val="24"/>
        </w:rPr>
        <w:t xml:space="preserve"> the Commission</w:t>
      </w:r>
      <w:r w:rsidRPr="00717DCD">
        <w:rPr>
          <w:rFonts w:cs="Times New Roman"/>
          <w:szCs w:val="24"/>
        </w:rPr>
        <w:t xml:space="preserve">, </w:t>
      </w:r>
      <w:proofErr w:type="gramStart"/>
      <w:r w:rsidRPr="00717DCD">
        <w:rPr>
          <w:rFonts w:cs="Times New Roman"/>
          <w:szCs w:val="24"/>
        </w:rPr>
        <w:t>Staff</w:t>
      </w:r>
      <w:proofErr w:type="gramEnd"/>
      <w:r w:rsidRPr="00717DCD">
        <w:rPr>
          <w:rFonts w:cs="Times New Roman"/>
          <w:szCs w:val="24"/>
        </w:rPr>
        <w:t xml:space="preserve"> and other stakeholders throughout this project. </w:t>
      </w:r>
    </w:p>
    <w:p w14:paraId="1A4D2798" w14:textId="77777777" w:rsidR="008E7489" w:rsidRPr="00717DCD" w:rsidRDefault="008E7489" w:rsidP="00B24F5A">
      <w:pPr>
        <w:pStyle w:val="BodyText"/>
        <w:keepNext/>
        <w:keepLines/>
        <w:ind w:left="3330" w:firstLine="720"/>
        <w:rPr>
          <w:szCs w:val="24"/>
        </w:rPr>
      </w:pPr>
    </w:p>
    <w:p w14:paraId="7179C457" w14:textId="26240FD1" w:rsidR="008E7489" w:rsidRPr="00717DCD" w:rsidRDefault="009979AC" w:rsidP="009979AC">
      <w:pPr>
        <w:pStyle w:val="BodyText"/>
        <w:keepNext/>
        <w:keepLines/>
        <w:jc w:val="left"/>
        <w:rPr>
          <w:szCs w:val="24"/>
        </w:rPr>
      </w:pPr>
      <w:r w:rsidRPr="00717DCD">
        <w:rPr>
          <w:szCs w:val="24"/>
        </w:rPr>
        <w:tab/>
        <w:t xml:space="preserve">Dated: </w:t>
      </w:r>
      <w:r w:rsidR="009D4587" w:rsidRPr="00717DCD">
        <w:rPr>
          <w:szCs w:val="24"/>
        </w:rPr>
        <w:t>January 4, 2024</w:t>
      </w:r>
    </w:p>
    <w:p w14:paraId="6F878CCF" w14:textId="633D7CDD" w:rsidR="00B24F5A" w:rsidRPr="00717DCD" w:rsidRDefault="008E7489" w:rsidP="00B24F5A">
      <w:pPr>
        <w:pStyle w:val="BodyText"/>
        <w:keepNext/>
        <w:keepLines/>
        <w:ind w:left="3330" w:firstLine="720"/>
        <w:rPr>
          <w:szCs w:val="24"/>
        </w:rPr>
      </w:pPr>
      <w:r w:rsidRPr="00717DCD">
        <w:rPr>
          <w:szCs w:val="24"/>
        </w:rPr>
        <w:t xml:space="preserve">   </w:t>
      </w:r>
      <w:r w:rsidR="00B24F5A" w:rsidRPr="00717DCD">
        <w:rPr>
          <w:szCs w:val="24"/>
        </w:rPr>
        <w:t>Respectfully submitted,</w:t>
      </w:r>
    </w:p>
    <w:p w14:paraId="3E31E1A0" w14:textId="77777777" w:rsidR="00B24F5A" w:rsidRPr="00717DCD" w:rsidRDefault="00B24F5A" w:rsidP="00B24F5A">
      <w:pPr>
        <w:pStyle w:val="BodyText"/>
        <w:keepNext/>
        <w:keepLines/>
        <w:ind w:left="3330" w:firstLine="720"/>
        <w:rPr>
          <w:szCs w:val="24"/>
        </w:rPr>
      </w:pPr>
    </w:p>
    <w:p w14:paraId="16A7C7B5" w14:textId="08BB8B9A" w:rsidR="008E7489" w:rsidRPr="00D11A78" w:rsidRDefault="008E7489" w:rsidP="008E7489">
      <w:pPr>
        <w:tabs>
          <w:tab w:val="left" w:pos="4320"/>
        </w:tabs>
        <w:ind w:right="-540"/>
        <w:rPr>
          <w:rFonts w:eastAsia="Times New Roman" w:cs="Times New Roman"/>
          <w:szCs w:val="24"/>
        </w:rPr>
      </w:pPr>
      <w:r w:rsidRPr="00D11A78">
        <w:rPr>
          <w:rFonts w:eastAsia="Times New Roman" w:cs="Times New Roman"/>
          <w:szCs w:val="24"/>
        </w:rPr>
        <w:tab/>
      </w:r>
      <w:r w:rsidRPr="00D11A78">
        <w:rPr>
          <w:rFonts w:eastAsia="Times New Roman" w:cs="Times New Roman"/>
          <w:noProof/>
          <w:szCs w:val="24"/>
        </w:rPr>
        <w:drawing>
          <wp:inline distT="0" distB="0" distL="0" distR="0" wp14:anchorId="17F0DEE9" wp14:editId="0EA4605F">
            <wp:extent cx="1925320" cy="5054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1943645" cy="510271"/>
                    </a:xfrm>
                    <a:prstGeom prst="rect">
                      <a:avLst/>
                    </a:prstGeom>
                  </pic:spPr>
                </pic:pic>
              </a:graphicData>
            </a:graphic>
          </wp:inline>
        </w:drawing>
      </w:r>
    </w:p>
    <w:p w14:paraId="3DA537A1" w14:textId="77777777" w:rsidR="008E7489" w:rsidRPr="00D11A78" w:rsidRDefault="008E7489" w:rsidP="002249D8">
      <w:pPr>
        <w:spacing w:after="0" w:line="240" w:lineRule="auto"/>
        <w:outlineLvl w:val="0"/>
        <w:rPr>
          <w:rFonts w:eastAsia="Times New Roman" w:cs="Times New Roman"/>
          <w:szCs w:val="24"/>
        </w:rPr>
      </w:pP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t>Michele Richmond</w:t>
      </w:r>
    </w:p>
    <w:p w14:paraId="06540345" w14:textId="77777777" w:rsidR="008E7489" w:rsidRPr="00D11A78" w:rsidRDefault="008E7489" w:rsidP="002249D8">
      <w:pPr>
        <w:spacing w:after="0" w:line="240" w:lineRule="auto"/>
        <w:outlineLvl w:val="0"/>
        <w:rPr>
          <w:rFonts w:eastAsia="Times New Roman" w:cs="Times New Roman"/>
          <w:szCs w:val="24"/>
        </w:rPr>
      </w:pP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t>Executive Director</w:t>
      </w:r>
    </w:p>
    <w:p w14:paraId="600E1122" w14:textId="77777777" w:rsidR="008E7489" w:rsidRPr="00D11A78" w:rsidRDefault="008E7489" w:rsidP="002249D8">
      <w:pPr>
        <w:spacing w:after="0" w:line="240" w:lineRule="auto"/>
        <w:outlineLvl w:val="0"/>
        <w:rPr>
          <w:rFonts w:eastAsia="Times New Roman" w:cs="Times New Roman"/>
          <w:szCs w:val="24"/>
        </w:rPr>
      </w:pP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t>Texas Competitive Power Advocates (TCPA)</w:t>
      </w:r>
    </w:p>
    <w:p w14:paraId="16B41F7E" w14:textId="77777777" w:rsidR="008E7489" w:rsidRPr="00D11A78" w:rsidRDefault="008E7489" w:rsidP="002249D8">
      <w:pPr>
        <w:spacing w:after="0" w:line="240" w:lineRule="auto"/>
        <w:outlineLvl w:val="0"/>
        <w:rPr>
          <w:rFonts w:eastAsia="Times New Roman" w:cs="Times New Roman"/>
          <w:szCs w:val="24"/>
        </w:rPr>
      </w:pP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t>(512) 653-7447</w:t>
      </w:r>
    </w:p>
    <w:p w14:paraId="43D22956" w14:textId="77C731C9" w:rsidR="00A23EAC" w:rsidRPr="00D11A78" w:rsidRDefault="008E7489" w:rsidP="002249D8">
      <w:pPr>
        <w:spacing w:after="0" w:line="240" w:lineRule="auto"/>
        <w:ind w:firstLine="720"/>
        <w:rPr>
          <w:rStyle w:val="Hyperlink"/>
          <w:rFonts w:eastAsia="Times New Roman" w:cs="Times New Roman"/>
          <w:szCs w:val="24"/>
        </w:rPr>
      </w:pP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hyperlink r:id="rId9" w:history="1">
        <w:r w:rsidRPr="00D11A78">
          <w:rPr>
            <w:rStyle w:val="Hyperlink"/>
            <w:rFonts w:eastAsia="Times New Roman" w:cs="Times New Roman"/>
            <w:szCs w:val="24"/>
          </w:rPr>
          <w:t>michele@competitivepower.org</w:t>
        </w:r>
      </w:hyperlink>
    </w:p>
    <w:p w14:paraId="086C9EF3" w14:textId="77777777" w:rsidR="00AE1B92" w:rsidRPr="00D11A78" w:rsidRDefault="00AE1B92" w:rsidP="002249D8">
      <w:pPr>
        <w:spacing w:after="0" w:line="240" w:lineRule="auto"/>
        <w:ind w:firstLine="720"/>
        <w:rPr>
          <w:rStyle w:val="Hyperlink"/>
          <w:rFonts w:eastAsia="Times New Roman" w:cs="Times New Roman"/>
          <w:szCs w:val="24"/>
        </w:rPr>
      </w:pPr>
    </w:p>
    <w:p w14:paraId="75D019B2" w14:textId="77777777" w:rsidR="00AE1B92" w:rsidRPr="00D11A78" w:rsidRDefault="00AE1B92" w:rsidP="002249D8">
      <w:pPr>
        <w:spacing w:after="0" w:line="240" w:lineRule="auto"/>
        <w:ind w:firstLine="720"/>
        <w:rPr>
          <w:rStyle w:val="Hyperlink"/>
          <w:rFonts w:eastAsia="Times New Roman" w:cs="Times New Roman"/>
          <w:szCs w:val="24"/>
        </w:rPr>
      </w:pPr>
    </w:p>
    <w:p w14:paraId="265FAEBE" w14:textId="77777777" w:rsidR="00AE1B92" w:rsidRPr="00D11A78" w:rsidRDefault="00AE1B92" w:rsidP="002249D8">
      <w:pPr>
        <w:spacing w:after="0" w:line="240" w:lineRule="auto"/>
        <w:ind w:firstLine="720"/>
        <w:rPr>
          <w:rStyle w:val="Hyperlink"/>
          <w:rFonts w:eastAsia="Times New Roman" w:cs="Times New Roman"/>
          <w:szCs w:val="24"/>
        </w:rPr>
      </w:pPr>
    </w:p>
    <w:p w14:paraId="2DF02621" w14:textId="77777777" w:rsidR="00AE1B92" w:rsidRPr="00D11A78" w:rsidRDefault="00AE1B92" w:rsidP="002249D8">
      <w:pPr>
        <w:spacing w:after="0" w:line="240" w:lineRule="auto"/>
        <w:ind w:firstLine="720"/>
        <w:rPr>
          <w:rStyle w:val="Hyperlink"/>
          <w:rFonts w:eastAsia="Times New Roman" w:cs="Times New Roman"/>
          <w:szCs w:val="24"/>
        </w:rPr>
      </w:pPr>
    </w:p>
    <w:p w14:paraId="4892B787" w14:textId="77777777" w:rsidR="00AE1B92" w:rsidRPr="00D11A78" w:rsidRDefault="00AE1B92" w:rsidP="002249D8">
      <w:pPr>
        <w:spacing w:after="0" w:line="240" w:lineRule="auto"/>
        <w:ind w:firstLine="720"/>
        <w:rPr>
          <w:rStyle w:val="Hyperlink"/>
          <w:rFonts w:eastAsia="Times New Roman" w:cs="Times New Roman"/>
          <w:szCs w:val="24"/>
        </w:rPr>
      </w:pPr>
    </w:p>
    <w:p w14:paraId="36CD87E0" w14:textId="77777777" w:rsidR="00AE1B92" w:rsidRPr="00D11A78" w:rsidRDefault="00AE1B92" w:rsidP="002249D8">
      <w:pPr>
        <w:spacing w:after="0" w:line="240" w:lineRule="auto"/>
        <w:ind w:firstLine="720"/>
        <w:rPr>
          <w:rStyle w:val="Hyperlink"/>
          <w:rFonts w:eastAsia="Times New Roman" w:cs="Times New Roman"/>
          <w:szCs w:val="24"/>
        </w:rPr>
      </w:pPr>
    </w:p>
    <w:p w14:paraId="59D2C530" w14:textId="77777777" w:rsidR="00AE1B92" w:rsidRPr="00D11A78" w:rsidRDefault="00AE1B92" w:rsidP="002249D8">
      <w:pPr>
        <w:spacing w:after="0" w:line="240" w:lineRule="auto"/>
        <w:ind w:firstLine="720"/>
        <w:rPr>
          <w:rStyle w:val="Hyperlink"/>
          <w:rFonts w:eastAsia="Times New Roman" w:cs="Times New Roman"/>
          <w:szCs w:val="24"/>
        </w:rPr>
      </w:pPr>
    </w:p>
    <w:p w14:paraId="0B087DC6" w14:textId="4628D277" w:rsidR="00C347CB" w:rsidRDefault="00C347CB">
      <w:pPr>
        <w:spacing w:after="160" w:line="259" w:lineRule="auto"/>
        <w:jc w:val="left"/>
        <w:rPr>
          <w:rStyle w:val="Hyperlink"/>
          <w:rFonts w:eastAsia="Times New Roman" w:cs="Times New Roman"/>
          <w:szCs w:val="24"/>
        </w:rPr>
      </w:pPr>
      <w:r>
        <w:rPr>
          <w:rStyle w:val="Hyperlink"/>
          <w:rFonts w:eastAsia="Times New Roman" w:cs="Times New Roman"/>
          <w:szCs w:val="24"/>
        </w:rPr>
        <w:br w:type="page"/>
      </w:r>
    </w:p>
    <w:p w14:paraId="0DEB6397" w14:textId="77777777" w:rsidR="00C347CB" w:rsidRPr="00717DCD" w:rsidRDefault="00C347CB" w:rsidP="00C347CB">
      <w:pPr>
        <w:pStyle w:val="Title"/>
        <w:rPr>
          <w:b/>
          <w:szCs w:val="24"/>
        </w:rPr>
      </w:pPr>
      <w:r w:rsidRPr="00717DCD">
        <w:rPr>
          <w:b/>
          <w:szCs w:val="24"/>
        </w:rPr>
        <w:lastRenderedPageBreak/>
        <w:t>PUC PROJECT NO. 55566</w:t>
      </w:r>
    </w:p>
    <w:p w14:paraId="1A5851C7" w14:textId="77777777" w:rsidR="00C347CB" w:rsidRPr="00717DCD" w:rsidRDefault="00C347CB" w:rsidP="00C347CB">
      <w:pPr>
        <w:pStyle w:val="Title"/>
        <w:rPr>
          <w:b/>
          <w:szCs w:val="24"/>
        </w:rPr>
      </w:pPr>
    </w:p>
    <w:tbl>
      <w:tblPr>
        <w:tblW w:w="9375" w:type="dxa"/>
        <w:tblLook w:val="04A0" w:firstRow="1" w:lastRow="0" w:firstColumn="1" w:lastColumn="0" w:noHBand="0" w:noVBand="1"/>
      </w:tblPr>
      <w:tblGrid>
        <w:gridCol w:w="4247"/>
        <w:gridCol w:w="989"/>
        <w:gridCol w:w="4139"/>
      </w:tblGrid>
      <w:tr w:rsidR="00C347CB" w:rsidRPr="00D11A78" w14:paraId="4131ADC4" w14:textId="77777777" w:rsidTr="00A22A9E">
        <w:trPr>
          <w:trHeight w:val="722"/>
        </w:trPr>
        <w:tc>
          <w:tcPr>
            <w:tcW w:w="4247" w:type="dxa"/>
            <w:shd w:val="clear" w:color="auto" w:fill="auto"/>
          </w:tcPr>
          <w:p w14:paraId="4946026E" w14:textId="77777777" w:rsidR="00C347CB" w:rsidRPr="00717DCD" w:rsidRDefault="00C347CB" w:rsidP="00A22A9E">
            <w:pPr>
              <w:pStyle w:val="Title"/>
              <w:jc w:val="left"/>
              <w:rPr>
                <w:b/>
                <w:szCs w:val="24"/>
              </w:rPr>
            </w:pPr>
            <w:r w:rsidRPr="00717DCD">
              <w:rPr>
                <w:b/>
                <w:szCs w:val="24"/>
              </w:rPr>
              <w:t>GENERATION INTERCONNECTION</w:t>
            </w:r>
          </w:p>
          <w:p w14:paraId="1DD80636" w14:textId="77777777" w:rsidR="00C347CB" w:rsidRPr="00717DCD" w:rsidRDefault="00C347CB" w:rsidP="00A22A9E">
            <w:pPr>
              <w:pStyle w:val="Title"/>
              <w:jc w:val="left"/>
              <w:rPr>
                <w:b/>
                <w:szCs w:val="24"/>
              </w:rPr>
            </w:pPr>
            <w:r w:rsidRPr="00717DCD">
              <w:rPr>
                <w:b/>
                <w:szCs w:val="24"/>
              </w:rPr>
              <w:t>ALLOWANCE</w:t>
            </w:r>
          </w:p>
        </w:tc>
        <w:tc>
          <w:tcPr>
            <w:tcW w:w="989" w:type="dxa"/>
            <w:shd w:val="clear" w:color="auto" w:fill="auto"/>
          </w:tcPr>
          <w:p w14:paraId="03730DB4" w14:textId="77777777" w:rsidR="00C347CB" w:rsidRPr="00717DCD" w:rsidRDefault="00C347CB" w:rsidP="00A22A9E">
            <w:pPr>
              <w:pStyle w:val="Title"/>
              <w:rPr>
                <w:b/>
                <w:szCs w:val="24"/>
              </w:rPr>
            </w:pPr>
            <w:r w:rsidRPr="00717DCD">
              <w:rPr>
                <w:b/>
                <w:szCs w:val="24"/>
              </w:rPr>
              <w:t>§</w:t>
            </w:r>
          </w:p>
          <w:p w14:paraId="6FE15BD3" w14:textId="77777777" w:rsidR="00C347CB" w:rsidRPr="00717DCD" w:rsidRDefault="00C347CB" w:rsidP="00A22A9E">
            <w:pPr>
              <w:pStyle w:val="Title"/>
              <w:rPr>
                <w:b/>
                <w:szCs w:val="24"/>
              </w:rPr>
            </w:pPr>
            <w:r w:rsidRPr="00717DCD">
              <w:rPr>
                <w:b/>
                <w:szCs w:val="24"/>
              </w:rPr>
              <w:t>§</w:t>
            </w:r>
          </w:p>
        </w:tc>
        <w:tc>
          <w:tcPr>
            <w:tcW w:w="4139" w:type="dxa"/>
            <w:shd w:val="clear" w:color="auto" w:fill="auto"/>
          </w:tcPr>
          <w:p w14:paraId="338C98A7" w14:textId="77777777" w:rsidR="00C347CB" w:rsidRPr="00717DCD" w:rsidRDefault="00C347CB" w:rsidP="00A22A9E">
            <w:pPr>
              <w:pStyle w:val="Title"/>
              <w:rPr>
                <w:b/>
                <w:szCs w:val="24"/>
              </w:rPr>
            </w:pPr>
            <w:r w:rsidRPr="00717DCD">
              <w:rPr>
                <w:b/>
                <w:szCs w:val="24"/>
              </w:rPr>
              <w:t>PUBLIC UTILITY COMMISSION</w:t>
            </w:r>
          </w:p>
          <w:p w14:paraId="33C900D5" w14:textId="77777777" w:rsidR="00C347CB" w:rsidRPr="00717DCD" w:rsidRDefault="00C347CB" w:rsidP="00A22A9E">
            <w:pPr>
              <w:pStyle w:val="Title"/>
              <w:rPr>
                <w:b/>
                <w:szCs w:val="24"/>
              </w:rPr>
            </w:pPr>
            <w:r w:rsidRPr="00717DCD">
              <w:rPr>
                <w:b/>
                <w:szCs w:val="24"/>
              </w:rPr>
              <w:t>OF TEXAS</w:t>
            </w:r>
          </w:p>
        </w:tc>
      </w:tr>
    </w:tbl>
    <w:p w14:paraId="29E40F7F" w14:textId="77777777" w:rsidR="00C347CB" w:rsidRPr="00717DCD" w:rsidRDefault="00C347CB" w:rsidP="00C347CB">
      <w:pPr>
        <w:pStyle w:val="Caption"/>
        <w:ind w:right="-270"/>
        <w:jc w:val="both"/>
        <w:rPr>
          <w:szCs w:val="24"/>
        </w:rPr>
      </w:pPr>
    </w:p>
    <w:p w14:paraId="4559E8FD" w14:textId="77777777" w:rsidR="00AE1B92" w:rsidRPr="00D11A78" w:rsidRDefault="00AE1B92" w:rsidP="002249D8">
      <w:pPr>
        <w:spacing w:after="0" w:line="240" w:lineRule="auto"/>
        <w:ind w:firstLine="720"/>
        <w:rPr>
          <w:rStyle w:val="Hyperlink"/>
          <w:rFonts w:eastAsia="Times New Roman" w:cs="Times New Roman"/>
          <w:szCs w:val="24"/>
        </w:rPr>
      </w:pPr>
    </w:p>
    <w:p w14:paraId="7D50016A" w14:textId="5A77C922" w:rsidR="00AE1B92" w:rsidRPr="00D11A78" w:rsidRDefault="00AE1B92" w:rsidP="00AE1B92">
      <w:pPr>
        <w:spacing w:after="0" w:line="240" w:lineRule="auto"/>
        <w:ind w:firstLine="720"/>
        <w:jc w:val="center"/>
        <w:rPr>
          <w:rStyle w:val="Hyperlink"/>
          <w:rFonts w:eastAsia="Times New Roman" w:cs="Times New Roman"/>
          <w:color w:val="auto"/>
          <w:szCs w:val="24"/>
        </w:rPr>
      </w:pPr>
      <w:r w:rsidRPr="00D11A78">
        <w:rPr>
          <w:rStyle w:val="Hyperlink"/>
          <w:rFonts w:eastAsia="Times New Roman" w:cs="Times New Roman"/>
          <w:color w:val="auto"/>
          <w:szCs w:val="24"/>
        </w:rPr>
        <w:t>EXECUTIVE SUMMARY OF TCPA COMMENTS</w:t>
      </w:r>
    </w:p>
    <w:p w14:paraId="064C4822" w14:textId="77777777" w:rsidR="00AE1B92" w:rsidRPr="00D548B1" w:rsidRDefault="00AE1B92" w:rsidP="00D548B1">
      <w:pPr>
        <w:spacing w:after="0" w:line="240" w:lineRule="auto"/>
        <w:ind w:firstLine="720"/>
        <w:rPr>
          <w:rStyle w:val="Hyperlink"/>
          <w:rFonts w:eastAsia="Times New Roman" w:cs="Times New Roman"/>
          <w:color w:val="auto"/>
          <w:szCs w:val="24"/>
          <w:u w:val="none"/>
        </w:rPr>
      </w:pPr>
    </w:p>
    <w:p w14:paraId="1AFEAC15" w14:textId="18A81787" w:rsidR="00D86541" w:rsidRPr="00D548B1" w:rsidRDefault="00D86541" w:rsidP="00D548B1">
      <w:pPr>
        <w:pStyle w:val="ListParagraph"/>
        <w:numPr>
          <w:ilvl w:val="0"/>
          <w:numId w:val="32"/>
        </w:numPr>
        <w:spacing w:after="0" w:line="240" w:lineRule="auto"/>
        <w:rPr>
          <w:rFonts w:eastAsia="Times New Roman" w:cs="Times New Roman"/>
          <w:szCs w:val="24"/>
        </w:rPr>
      </w:pPr>
      <w:r w:rsidRPr="00D548B1">
        <w:rPr>
          <w:rFonts w:eastAsia="Times New Roman" w:cs="Times New Roman"/>
          <w:szCs w:val="24"/>
        </w:rPr>
        <w:t>Set one interconnection allowance for all interconnection voltages of $18,000,000 (with future adjustments for inflation, as proposed in the published rule).</w:t>
      </w:r>
    </w:p>
    <w:p w14:paraId="2FE19F4B" w14:textId="77777777" w:rsidR="00D86541" w:rsidRPr="00D548B1" w:rsidRDefault="00D86541" w:rsidP="00D548B1">
      <w:pPr>
        <w:pStyle w:val="ListParagraph"/>
        <w:spacing w:after="0" w:line="240" w:lineRule="auto"/>
        <w:ind w:left="1440"/>
        <w:rPr>
          <w:rFonts w:eastAsia="Times New Roman" w:cs="Times New Roman"/>
          <w:szCs w:val="24"/>
        </w:rPr>
      </w:pPr>
    </w:p>
    <w:p w14:paraId="324613E9" w14:textId="4AD386A7" w:rsidR="00D86541" w:rsidRPr="00D548B1" w:rsidRDefault="00D86541" w:rsidP="00D548B1">
      <w:pPr>
        <w:pStyle w:val="ListParagraph"/>
        <w:numPr>
          <w:ilvl w:val="0"/>
          <w:numId w:val="32"/>
        </w:numPr>
        <w:spacing w:after="0" w:line="240" w:lineRule="auto"/>
        <w:rPr>
          <w:rFonts w:eastAsia="Times New Roman" w:cs="Times New Roman"/>
          <w:szCs w:val="24"/>
        </w:rPr>
      </w:pPr>
      <w:r w:rsidRPr="00D548B1">
        <w:rPr>
          <w:rFonts w:eastAsia="Times New Roman" w:cs="Times New Roman"/>
          <w:szCs w:val="24"/>
        </w:rPr>
        <w:t xml:space="preserve">Clarify that the December 31, </w:t>
      </w:r>
      <w:proofErr w:type="gramStart"/>
      <w:r w:rsidRPr="00D548B1">
        <w:rPr>
          <w:rFonts w:eastAsia="Times New Roman" w:cs="Times New Roman"/>
          <w:szCs w:val="24"/>
        </w:rPr>
        <w:t>2025</w:t>
      </w:r>
      <w:proofErr w:type="gramEnd"/>
      <w:r w:rsidRPr="00D548B1">
        <w:rPr>
          <w:rFonts w:eastAsia="Times New Roman" w:cs="Times New Roman"/>
          <w:szCs w:val="24"/>
        </w:rPr>
        <w:t xml:space="preserve"> starting point applies only to new SGIAs that are executed after that date (and not to amendments to existing SGIAs that were executed before December 31, 2025)</w:t>
      </w:r>
    </w:p>
    <w:p w14:paraId="34DF61D3" w14:textId="77777777" w:rsidR="00D86541" w:rsidRPr="00D548B1" w:rsidRDefault="00D86541" w:rsidP="00D548B1">
      <w:pPr>
        <w:pStyle w:val="ListParagraph"/>
        <w:rPr>
          <w:rStyle w:val="Hyperlink"/>
          <w:rFonts w:eastAsia="Times New Roman" w:cs="Times New Roman"/>
          <w:color w:val="auto"/>
          <w:szCs w:val="24"/>
          <w:u w:val="none"/>
        </w:rPr>
      </w:pPr>
    </w:p>
    <w:p w14:paraId="3865CFBD" w14:textId="4BE72949" w:rsidR="00D86541" w:rsidRPr="00D548B1" w:rsidRDefault="00D86541" w:rsidP="00D548B1">
      <w:pPr>
        <w:pStyle w:val="ListParagraph"/>
        <w:numPr>
          <w:ilvl w:val="0"/>
          <w:numId w:val="32"/>
        </w:numPr>
        <w:spacing w:after="0" w:line="240" w:lineRule="auto"/>
        <w:rPr>
          <w:rFonts w:eastAsia="Times New Roman" w:cs="Times New Roman"/>
          <w:szCs w:val="24"/>
        </w:rPr>
      </w:pPr>
      <w:r w:rsidRPr="00D548B1">
        <w:rPr>
          <w:rFonts w:eastAsia="Times New Roman" w:cs="Times New Roman"/>
          <w:szCs w:val="24"/>
        </w:rPr>
        <w:t>Remove the 10-year post-interconnection provisions contained in 16 TAC §25.195 (f)(3)(E) altogether, or if the Commission retains that provision, clarify that the allowance cap does not apply to costs for facility upgrades required to comply with ERCOT Planning Guide requirements.</w:t>
      </w:r>
    </w:p>
    <w:p w14:paraId="76918B39" w14:textId="77777777" w:rsidR="00D86541" w:rsidRPr="00D548B1" w:rsidRDefault="00D86541" w:rsidP="00D548B1">
      <w:pPr>
        <w:pStyle w:val="ListParagraph"/>
        <w:rPr>
          <w:rStyle w:val="Hyperlink"/>
          <w:rFonts w:eastAsia="Times New Roman" w:cs="Times New Roman"/>
          <w:color w:val="auto"/>
          <w:szCs w:val="24"/>
          <w:u w:val="none"/>
        </w:rPr>
      </w:pPr>
    </w:p>
    <w:p w14:paraId="786284E7" w14:textId="7C4C0605" w:rsidR="00D86541" w:rsidRPr="00D548B1" w:rsidRDefault="00D86541" w:rsidP="00D548B1">
      <w:pPr>
        <w:pStyle w:val="ListParagraph"/>
        <w:numPr>
          <w:ilvl w:val="0"/>
          <w:numId w:val="32"/>
        </w:numPr>
        <w:spacing w:after="0" w:line="240" w:lineRule="auto"/>
        <w:rPr>
          <w:rStyle w:val="Hyperlink"/>
          <w:rFonts w:eastAsia="Times New Roman" w:cs="Times New Roman"/>
          <w:color w:val="auto"/>
          <w:szCs w:val="24"/>
          <w:u w:val="none"/>
        </w:rPr>
      </w:pPr>
      <w:r w:rsidRPr="00D548B1">
        <w:rPr>
          <w:rStyle w:val="Hyperlink"/>
          <w:rFonts w:eastAsia="Times New Roman" w:cs="Times New Roman"/>
          <w:color w:val="auto"/>
          <w:szCs w:val="24"/>
          <w:u w:val="none"/>
        </w:rPr>
        <w:t>Utilize the existing Generation Interconnection Status (</w:t>
      </w:r>
      <w:r w:rsidR="00563D64" w:rsidRPr="00D548B1">
        <w:rPr>
          <w:rStyle w:val="Hyperlink"/>
          <w:rFonts w:eastAsia="Times New Roman" w:cs="Times New Roman"/>
          <w:color w:val="auto"/>
          <w:szCs w:val="24"/>
          <w:u w:val="none"/>
        </w:rPr>
        <w:t>“</w:t>
      </w:r>
      <w:r w:rsidRPr="00D548B1">
        <w:rPr>
          <w:rStyle w:val="Hyperlink"/>
          <w:rFonts w:eastAsia="Times New Roman" w:cs="Times New Roman"/>
          <w:color w:val="auto"/>
          <w:szCs w:val="24"/>
          <w:u w:val="none"/>
        </w:rPr>
        <w:t>GIS</w:t>
      </w:r>
      <w:r w:rsidR="00563D64" w:rsidRPr="00D548B1">
        <w:rPr>
          <w:rStyle w:val="Hyperlink"/>
          <w:rFonts w:eastAsia="Times New Roman" w:cs="Times New Roman"/>
          <w:color w:val="auto"/>
          <w:szCs w:val="24"/>
          <w:u w:val="none"/>
        </w:rPr>
        <w:t>”</w:t>
      </w:r>
      <w:r w:rsidRPr="00D548B1">
        <w:rPr>
          <w:rStyle w:val="Hyperlink"/>
          <w:rFonts w:eastAsia="Times New Roman" w:cs="Times New Roman"/>
          <w:color w:val="auto"/>
          <w:szCs w:val="24"/>
          <w:u w:val="none"/>
        </w:rPr>
        <w:t>) report for publishing projected and actual interconnection costs.</w:t>
      </w:r>
    </w:p>
    <w:p w14:paraId="250F1C14" w14:textId="77777777" w:rsidR="00D86541" w:rsidRPr="00D548B1" w:rsidRDefault="00D86541" w:rsidP="00D548B1">
      <w:pPr>
        <w:pStyle w:val="ListParagraph"/>
        <w:rPr>
          <w:rStyle w:val="Hyperlink"/>
          <w:rFonts w:eastAsia="Times New Roman" w:cs="Times New Roman"/>
          <w:color w:val="auto"/>
          <w:szCs w:val="24"/>
          <w:u w:val="none"/>
        </w:rPr>
      </w:pPr>
    </w:p>
    <w:p w14:paraId="64838841" w14:textId="1E5E5395" w:rsidR="00D86541" w:rsidRPr="00C347CB" w:rsidRDefault="00D86541" w:rsidP="00D548B1">
      <w:pPr>
        <w:pStyle w:val="ListParagraph"/>
        <w:numPr>
          <w:ilvl w:val="0"/>
          <w:numId w:val="32"/>
        </w:numPr>
        <w:spacing w:after="0" w:line="240" w:lineRule="auto"/>
        <w:rPr>
          <w:rStyle w:val="Hyperlink"/>
          <w:rFonts w:eastAsia="Times New Roman" w:cs="Times New Roman"/>
          <w:color w:val="auto"/>
          <w:szCs w:val="24"/>
          <w:u w:val="none"/>
        </w:rPr>
      </w:pPr>
      <w:r w:rsidRPr="00C347CB">
        <w:rPr>
          <w:rStyle w:val="Hyperlink"/>
          <w:rFonts w:eastAsia="Times New Roman" w:cs="Times New Roman"/>
          <w:color w:val="auto"/>
          <w:szCs w:val="24"/>
          <w:u w:val="none"/>
        </w:rPr>
        <w:t>Define “generation resource” consistently with other statutory and Commission rule provisions as an entity that sells “electricity” (rather than “generation”</w:t>
      </w:r>
      <w:proofErr w:type="gramStart"/>
      <w:r w:rsidRPr="00C347CB">
        <w:rPr>
          <w:rStyle w:val="Hyperlink"/>
          <w:rFonts w:eastAsia="Times New Roman" w:cs="Times New Roman"/>
          <w:color w:val="auto"/>
          <w:szCs w:val="24"/>
          <w:u w:val="none"/>
        </w:rPr>
        <w:t>) at</w:t>
      </w:r>
      <w:proofErr w:type="gramEnd"/>
      <w:r w:rsidRPr="00C347CB">
        <w:rPr>
          <w:rStyle w:val="Hyperlink"/>
          <w:rFonts w:eastAsia="Times New Roman" w:cs="Times New Roman"/>
          <w:color w:val="auto"/>
          <w:szCs w:val="24"/>
          <w:u w:val="none"/>
        </w:rPr>
        <w:t xml:space="preserve"> wholesale.</w:t>
      </w:r>
    </w:p>
    <w:sectPr w:rsidR="00D86541" w:rsidRPr="00C347CB" w:rsidSect="00EF16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EBDC" w14:textId="77777777" w:rsidR="008C0509" w:rsidRDefault="008C0509" w:rsidP="0042771D">
      <w:pPr>
        <w:spacing w:after="0" w:line="240" w:lineRule="auto"/>
      </w:pPr>
      <w:r>
        <w:separator/>
      </w:r>
    </w:p>
  </w:endnote>
  <w:endnote w:type="continuationSeparator" w:id="0">
    <w:p w14:paraId="07EC3C53" w14:textId="77777777" w:rsidR="008C0509" w:rsidRDefault="008C0509" w:rsidP="0042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31ED" w14:textId="77777777" w:rsidR="00DE39FD" w:rsidRDefault="00DE3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6768"/>
      <w:docPartObj>
        <w:docPartGallery w:val="Page Numbers (Bottom of Page)"/>
        <w:docPartUnique/>
      </w:docPartObj>
    </w:sdtPr>
    <w:sdtEndPr>
      <w:rPr>
        <w:noProof/>
      </w:rPr>
    </w:sdtEndPr>
    <w:sdtContent>
      <w:p w14:paraId="4AEF83AE" w14:textId="3C35C418" w:rsidR="000D4A46" w:rsidRDefault="000D4A46">
        <w:pPr>
          <w:pStyle w:val="Footer"/>
          <w:jc w:val="right"/>
        </w:pPr>
        <w:r>
          <w:fldChar w:fldCharType="begin"/>
        </w:r>
        <w:r>
          <w:instrText xml:space="preserve"> PAGE   \* MERGEFORMAT </w:instrText>
        </w:r>
        <w:r>
          <w:fldChar w:fldCharType="separate"/>
        </w:r>
        <w:r w:rsidR="00560269">
          <w:rPr>
            <w:noProof/>
          </w:rPr>
          <w:t>1</w:t>
        </w:r>
        <w:r>
          <w:rPr>
            <w:noProof/>
          </w:rPr>
          <w:fldChar w:fldCharType="end"/>
        </w:r>
      </w:p>
    </w:sdtContent>
  </w:sdt>
  <w:p w14:paraId="619B8001" w14:textId="77777777" w:rsidR="000D4A46" w:rsidRDefault="000D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77A0" w14:textId="77777777" w:rsidR="00DE39FD" w:rsidRDefault="00DE3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8E8A" w14:textId="77777777" w:rsidR="008C0509" w:rsidRDefault="008C0509" w:rsidP="0042771D">
      <w:pPr>
        <w:spacing w:after="0" w:line="240" w:lineRule="auto"/>
      </w:pPr>
      <w:r>
        <w:separator/>
      </w:r>
    </w:p>
  </w:footnote>
  <w:footnote w:type="continuationSeparator" w:id="0">
    <w:p w14:paraId="057E1F3C" w14:textId="77777777" w:rsidR="008C0509" w:rsidRDefault="008C0509" w:rsidP="0042771D">
      <w:pPr>
        <w:spacing w:after="0" w:line="240" w:lineRule="auto"/>
      </w:pPr>
      <w:r>
        <w:continuationSeparator/>
      </w:r>
    </w:p>
  </w:footnote>
  <w:footnote w:id="1">
    <w:p w14:paraId="309A9CE7" w14:textId="4ED89582" w:rsidR="00552F98" w:rsidRPr="00855095" w:rsidRDefault="00552F98" w:rsidP="00552F98">
      <w:pPr>
        <w:pStyle w:val="FootnoteText"/>
        <w:ind w:firstLine="720"/>
        <w:rPr>
          <w:rFonts w:cs="Times New Roman"/>
        </w:rPr>
      </w:pPr>
      <w:r w:rsidRPr="00855095">
        <w:rPr>
          <w:rStyle w:val="FootnoteReference"/>
        </w:rPr>
        <w:footnoteRef/>
      </w:r>
      <w:r w:rsidRPr="00855095">
        <w:rPr>
          <w:rFonts w:cs="Times New Roman"/>
        </w:rPr>
        <w:t xml:space="preserve"> TCPA is a trade association representing power generation companies and wholesale power marketers with investments in Texas and the Electric Reliability Council of Texas (</w:t>
      </w:r>
      <w:r w:rsidR="00A3696C">
        <w:rPr>
          <w:rFonts w:cs="Times New Roman"/>
        </w:rPr>
        <w:t>“</w:t>
      </w:r>
      <w:r w:rsidRPr="00855095">
        <w:rPr>
          <w:rFonts w:cs="Times New Roman"/>
        </w:rPr>
        <w:t>ERCOT</w:t>
      </w:r>
      <w:r w:rsidR="00A3696C">
        <w:rPr>
          <w:rFonts w:cs="Times New Roman"/>
        </w:rPr>
        <w:t>”</w:t>
      </w:r>
      <w:r w:rsidRPr="00855095">
        <w:rPr>
          <w:rFonts w:cs="Times New Roman"/>
        </w:rPr>
        <w:t xml:space="preserve">) wholesale electric market. TCPA members and 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participating in this filing </w:t>
      </w:r>
      <w:r>
        <w:rPr>
          <w:rFonts w:cs="Times New Roman"/>
        </w:rPr>
        <w:t>own more than 55,000 MW of</w:t>
      </w:r>
      <w:r w:rsidRPr="00855095">
        <w:rPr>
          <w:rFonts w:cs="Times New Roman"/>
        </w:rPr>
        <w:t xml:space="preserve"> generating capacity in ERCOT, representing billions of dollars of investment in the state, and employing thousands of Texans. </w:t>
      </w:r>
      <w:r w:rsidRPr="0011418A">
        <w:rPr>
          <w:rFonts w:cs="Times New Roman"/>
        </w:rPr>
        <w:t xml:space="preserve">TCPA member companies participating in these comments </w:t>
      </w:r>
      <w:proofErr w:type="gramStart"/>
      <w:r w:rsidRPr="0011418A">
        <w:rPr>
          <w:rFonts w:cs="Times New Roman"/>
        </w:rPr>
        <w:t>include:</w:t>
      </w:r>
      <w:proofErr w:type="gramEnd"/>
      <w:r w:rsidRPr="0011418A">
        <w:rPr>
          <w:rFonts w:cs="Times New Roman"/>
        </w:rPr>
        <w:t xml:space="preserve"> Calpine, </w:t>
      </w:r>
      <w:proofErr w:type="spellStart"/>
      <w:r w:rsidRPr="0011418A">
        <w:rPr>
          <w:rFonts w:cs="Times New Roman"/>
        </w:rPr>
        <w:t>Cogentrix</w:t>
      </w:r>
      <w:proofErr w:type="spellEnd"/>
      <w:r w:rsidRPr="0011418A">
        <w:rPr>
          <w:rFonts w:cs="Times New Roman"/>
        </w:rPr>
        <w:t xml:space="preserve">, Constellation (formerly Exelon), EDF Trading North America, </w:t>
      </w:r>
      <w:r>
        <w:rPr>
          <w:rFonts w:cs="Times New Roman"/>
        </w:rPr>
        <w:t>Hull Street Energy</w:t>
      </w:r>
      <w:r w:rsidRPr="0011418A">
        <w:rPr>
          <w:rFonts w:cs="Times New Roman"/>
        </w:rPr>
        <w:t>,</w:t>
      </w:r>
      <w:r>
        <w:rPr>
          <w:rFonts w:cs="Times New Roman"/>
        </w:rPr>
        <w:t xml:space="preserve"> LS Power,</w:t>
      </w:r>
      <w:r w:rsidRPr="0011418A">
        <w:rPr>
          <w:rFonts w:cs="Times New Roman"/>
        </w:rPr>
        <w:t xml:space="preserve"> </w:t>
      </w:r>
      <w:r w:rsidR="002510A0">
        <w:rPr>
          <w:rFonts w:cs="Times New Roman"/>
        </w:rPr>
        <w:t>Luminant</w:t>
      </w:r>
      <w:r w:rsidR="00717DCD">
        <w:rPr>
          <w:rFonts w:cs="Times New Roman"/>
        </w:rPr>
        <w:t xml:space="preserve"> (a.k.a. Vistra)</w:t>
      </w:r>
      <w:r w:rsidR="002510A0">
        <w:rPr>
          <w:rFonts w:cs="Times New Roman"/>
        </w:rPr>
        <w:t xml:space="preserve">, </w:t>
      </w:r>
      <w:r>
        <w:rPr>
          <w:rFonts w:cs="Times New Roman"/>
        </w:rPr>
        <w:t>NRG, Rockland Capital</w:t>
      </w:r>
      <w:r w:rsidRPr="0011418A">
        <w:rPr>
          <w:rFonts w:cs="Times New Roman"/>
        </w:rPr>
        <w:t xml:space="preserve">, </w:t>
      </w:r>
      <w:r>
        <w:rPr>
          <w:rFonts w:cs="Times New Roman"/>
        </w:rPr>
        <w:t xml:space="preserve">Shell Energy North America, </w:t>
      </w:r>
      <w:r w:rsidRPr="0011418A">
        <w:rPr>
          <w:rFonts w:cs="Times New Roman"/>
        </w:rPr>
        <w:t xml:space="preserve">Talen Energy, Tenaska, </w:t>
      </w:r>
      <w:r w:rsidR="002510A0">
        <w:rPr>
          <w:rFonts w:cs="Times New Roman"/>
        </w:rPr>
        <w:t xml:space="preserve">and </w:t>
      </w:r>
      <w:proofErr w:type="spellStart"/>
      <w:r w:rsidRPr="0011418A">
        <w:rPr>
          <w:rFonts w:cs="Times New Roman"/>
        </w:rPr>
        <w:t>TexGen</w:t>
      </w:r>
      <w:proofErr w:type="spellEnd"/>
      <w:r w:rsidRPr="0011418A">
        <w:rPr>
          <w:rFonts w:cs="Times New Roman"/>
        </w:rPr>
        <w:t xml:space="preserve"> Power</w:t>
      </w:r>
      <w:r w:rsidR="003A5428">
        <w:rPr>
          <w:rFonts w:cs="Times New Roman"/>
        </w:rPr>
        <w:t>.</w:t>
      </w:r>
      <w:r w:rsidRPr="0011418A">
        <w:rPr>
          <w:rFonts w:cs="Times New Roman"/>
        </w:rPr>
        <w:t xml:space="preserve"> </w:t>
      </w:r>
      <w:proofErr w:type="spellStart"/>
      <w:r w:rsidRPr="0011418A">
        <w:rPr>
          <w:rFonts w:cs="Times New Roman"/>
        </w:rPr>
        <w:t>WattBridge</w:t>
      </w:r>
      <w:proofErr w:type="spellEnd"/>
      <w:r w:rsidR="00382911">
        <w:rPr>
          <w:rFonts w:cs="Times New Roman"/>
        </w:rPr>
        <w:t xml:space="preserve"> is filing separate comments</w:t>
      </w:r>
      <w:r w:rsidRPr="0011418A">
        <w:rPr>
          <w:rFonts w:cs="Times New Roman"/>
        </w:rPr>
        <w:t>.</w:t>
      </w:r>
      <w:r>
        <w:rPr>
          <w:rFonts w:cs="Times New Roman"/>
        </w:rPr>
        <w:t xml:space="preserve"> </w:t>
      </w:r>
    </w:p>
  </w:footnote>
  <w:footnote w:id="2">
    <w:p w14:paraId="678C1AEC" w14:textId="772807A3" w:rsidR="00CF77F6" w:rsidRDefault="00CF77F6" w:rsidP="00CF77F6">
      <w:pPr>
        <w:pStyle w:val="FootnoteText"/>
      </w:pPr>
      <w:r>
        <w:rPr>
          <w:rStyle w:val="FootnoteReference"/>
        </w:rPr>
        <w:footnoteRef/>
      </w:r>
      <w:r>
        <w:t xml:space="preserve"> </w:t>
      </w:r>
      <w:r w:rsidR="000B5111">
        <w:rPr>
          <w:i/>
          <w:iCs/>
        </w:rPr>
        <w:t>E.g.</w:t>
      </w:r>
      <w:r w:rsidR="000B5111">
        <w:t xml:space="preserve">, </w:t>
      </w:r>
      <w:r w:rsidR="00DC6BA2">
        <w:rPr>
          <w:i/>
          <w:iCs/>
        </w:rPr>
        <w:t>Generation Interconnection Allowance</w:t>
      </w:r>
      <w:r w:rsidR="00DC6BA2">
        <w:t>,</w:t>
      </w:r>
      <w:r w:rsidR="00DC6BA2">
        <w:rPr>
          <w:i/>
          <w:iCs/>
        </w:rPr>
        <w:t xml:space="preserve"> </w:t>
      </w:r>
      <w:hyperlink r:id="rId1" w:history="1">
        <w:r w:rsidR="00E40EDE">
          <w:rPr>
            <w:rStyle w:val="Hyperlink"/>
          </w:rPr>
          <w:t>Project</w:t>
        </w:r>
      </w:hyperlink>
      <w:r w:rsidR="00E40EDE">
        <w:rPr>
          <w:rStyle w:val="Hyperlink"/>
        </w:rPr>
        <w:t xml:space="preserve"> No. 55566,</w:t>
      </w:r>
      <w:r w:rsidR="00DC6BA2">
        <w:rPr>
          <w:rStyle w:val="Hyperlink"/>
        </w:rPr>
        <w:t xml:space="preserve"> LCRA Transmission Services Corporation’s Response to Questions for Comment at </w:t>
      </w:r>
      <w:r w:rsidR="00DC1155">
        <w:rPr>
          <w:rStyle w:val="Hyperlink"/>
        </w:rPr>
        <w:t>3</w:t>
      </w:r>
      <w:r w:rsidR="00DC6BA2">
        <w:rPr>
          <w:rStyle w:val="Hyperlink"/>
        </w:rPr>
        <w:t xml:space="preserve"> (</w:t>
      </w:r>
      <w:r w:rsidR="00175286">
        <w:rPr>
          <w:rStyle w:val="Hyperlink"/>
        </w:rPr>
        <w:t>Oct. 13, 2023)</w:t>
      </w:r>
      <w:r>
        <w:t>;</w:t>
      </w:r>
      <w:r w:rsidR="002E44F0">
        <w:t xml:space="preserve"> Project No. 55566, Comments of CenterPoint Energy Houston Electric, LLC</w:t>
      </w:r>
      <w:r w:rsidR="000B5111">
        <w:t xml:space="preserve"> at </w:t>
      </w:r>
      <w:r w:rsidR="00EF241D">
        <w:t xml:space="preserve">5 </w:t>
      </w:r>
      <w:r w:rsidR="000B5111">
        <w:t>(Oct. 13, 2023).</w:t>
      </w:r>
    </w:p>
  </w:footnote>
  <w:footnote w:id="3">
    <w:p w14:paraId="619C836E" w14:textId="73E177DE" w:rsidR="00882EAD" w:rsidRDefault="00882EAD">
      <w:pPr>
        <w:pStyle w:val="FootnoteText"/>
      </w:pPr>
      <w:r>
        <w:rPr>
          <w:rStyle w:val="FootnoteReference"/>
        </w:rPr>
        <w:footnoteRef/>
      </w:r>
      <w:r>
        <w:t xml:space="preserve"> Project No. 55566, </w:t>
      </w:r>
      <w:r w:rsidR="006D5F01">
        <w:t>Memo from Staff and accompanying Excel spreadsheet with historical interconnection costs from TSPs (Nov. 2, 2023).</w:t>
      </w:r>
    </w:p>
  </w:footnote>
  <w:footnote w:id="4">
    <w:p w14:paraId="15BA7440" w14:textId="278B9D8B" w:rsidR="00C67AB8" w:rsidRDefault="00C67AB8">
      <w:pPr>
        <w:pStyle w:val="FootnoteText"/>
      </w:pPr>
      <w:r>
        <w:rPr>
          <w:rStyle w:val="FootnoteReference"/>
        </w:rPr>
        <w:footnoteRef/>
      </w:r>
      <w:r>
        <w:t xml:space="preserve"> The </w:t>
      </w:r>
      <w:r w:rsidR="00FD133D">
        <w:t xml:space="preserve">costs uplifted to </w:t>
      </w:r>
      <w:r w:rsidR="00713EF8">
        <w:t>transmission cost of service (</w:t>
      </w:r>
      <w:r w:rsidR="00AE1622">
        <w:t>“</w:t>
      </w:r>
      <w:r w:rsidR="00713EF8">
        <w:t>TCOS</w:t>
      </w:r>
      <w:r w:rsidR="00AE1622">
        <w:t>”</w:t>
      </w:r>
      <w:r w:rsidR="00713EF8">
        <w:t xml:space="preserve">) for these </w:t>
      </w:r>
      <w:r w:rsidR="00FD133D">
        <w:t xml:space="preserve">facilities (all in CenterPoint’s service territory) ranged from </w:t>
      </w:r>
      <w:r w:rsidR="00713EF8">
        <w:t>$13.2 million to $16.4 million</w:t>
      </w:r>
      <w:r w:rsidR="006F2902">
        <w:t>, and the miles of transmission buildout ranged from 0.2 miles to 1 mile.</w:t>
      </w:r>
    </w:p>
  </w:footnote>
  <w:footnote w:id="5">
    <w:p w14:paraId="5A419DD5" w14:textId="6556D35A" w:rsidR="00B1439A" w:rsidRDefault="00B1439A">
      <w:pPr>
        <w:pStyle w:val="FootnoteText"/>
      </w:pPr>
      <w:r>
        <w:rPr>
          <w:rStyle w:val="FootnoteReference"/>
        </w:rPr>
        <w:footnoteRef/>
      </w:r>
      <w:r>
        <w:t xml:space="preserve"> </w:t>
      </w:r>
      <w:r w:rsidR="00355D72">
        <w:t xml:space="preserve">Utilities Code, §35.004 </w:t>
      </w:r>
      <w:r w:rsidR="00E4644A">
        <w:t>(d-3)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C9F6" w14:textId="77777777" w:rsidR="00DE39FD" w:rsidRDefault="00DE3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4E26" w14:textId="796A8AE2" w:rsidR="00DE39FD" w:rsidRDefault="00DE3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F959" w14:textId="77777777" w:rsidR="00DE39FD" w:rsidRDefault="00DE3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840"/>
    <w:multiLevelType w:val="hybridMultilevel"/>
    <w:tmpl w:val="FC82BE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7317"/>
    <w:multiLevelType w:val="hybridMultilevel"/>
    <w:tmpl w:val="626AFF66"/>
    <w:lvl w:ilvl="0" w:tplc="AD82FC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E14FA"/>
    <w:multiLevelType w:val="hybridMultilevel"/>
    <w:tmpl w:val="0C22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93F74"/>
    <w:multiLevelType w:val="hybridMultilevel"/>
    <w:tmpl w:val="2C5A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32F75"/>
    <w:multiLevelType w:val="hybridMultilevel"/>
    <w:tmpl w:val="9F4A7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0C0A14"/>
    <w:multiLevelType w:val="hybridMultilevel"/>
    <w:tmpl w:val="9D0C814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311FA8"/>
    <w:multiLevelType w:val="hybridMultilevel"/>
    <w:tmpl w:val="6890D0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030F9B"/>
    <w:multiLevelType w:val="hybridMultilevel"/>
    <w:tmpl w:val="F8822D0C"/>
    <w:lvl w:ilvl="0" w:tplc="36A824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D1D3E"/>
    <w:multiLevelType w:val="hybridMultilevel"/>
    <w:tmpl w:val="15A0EB6A"/>
    <w:lvl w:ilvl="0" w:tplc="01F8EA62">
      <w:start w:val="1"/>
      <w:numFmt w:val="bullet"/>
      <w:lvlText w:val="•"/>
      <w:lvlJc w:val="left"/>
      <w:pPr>
        <w:tabs>
          <w:tab w:val="num" w:pos="720"/>
        </w:tabs>
        <w:ind w:left="720" w:hanging="360"/>
      </w:pPr>
      <w:rPr>
        <w:rFonts w:ascii="Arial" w:hAnsi="Arial" w:hint="default"/>
      </w:rPr>
    </w:lvl>
    <w:lvl w:ilvl="1" w:tplc="3214AE98">
      <w:numFmt w:val="bullet"/>
      <w:lvlText w:val="–"/>
      <w:lvlJc w:val="left"/>
      <w:pPr>
        <w:tabs>
          <w:tab w:val="num" w:pos="1440"/>
        </w:tabs>
        <w:ind w:left="1440" w:hanging="360"/>
      </w:pPr>
      <w:rPr>
        <w:rFonts w:ascii="Arial" w:hAnsi="Arial" w:hint="default"/>
      </w:rPr>
    </w:lvl>
    <w:lvl w:ilvl="2" w:tplc="952649A0" w:tentative="1">
      <w:start w:val="1"/>
      <w:numFmt w:val="bullet"/>
      <w:lvlText w:val="•"/>
      <w:lvlJc w:val="left"/>
      <w:pPr>
        <w:tabs>
          <w:tab w:val="num" w:pos="2160"/>
        </w:tabs>
        <w:ind w:left="2160" w:hanging="360"/>
      </w:pPr>
      <w:rPr>
        <w:rFonts w:ascii="Arial" w:hAnsi="Arial" w:hint="default"/>
      </w:rPr>
    </w:lvl>
    <w:lvl w:ilvl="3" w:tplc="E4AE625E" w:tentative="1">
      <w:start w:val="1"/>
      <w:numFmt w:val="bullet"/>
      <w:lvlText w:val="•"/>
      <w:lvlJc w:val="left"/>
      <w:pPr>
        <w:tabs>
          <w:tab w:val="num" w:pos="2880"/>
        </w:tabs>
        <w:ind w:left="2880" w:hanging="360"/>
      </w:pPr>
      <w:rPr>
        <w:rFonts w:ascii="Arial" w:hAnsi="Arial" w:hint="default"/>
      </w:rPr>
    </w:lvl>
    <w:lvl w:ilvl="4" w:tplc="0BC0437E" w:tentative="1">
      <w:start w:val="1"/>
      <w:numFmt w:val="bullet"/>
      <w:lvlText w:val="•"/>
      <w:lvlJc w:val="left"/>
      <w:pPr>
        <w:tabs>
          <w:tab w:val="num" w:pos="3600"/>
        </w:tabs>
        <w:ind w:left="3600" w:hanging="360"/>
      </w:pPr>
      <w:rPr>
        <w:rFonts w:ascii="Arial" w:hAnsi="Arial" w:hint="default"/>
      </w:rPr>
    </w:lvl>
    <w:lvl w:ilvl="5" w:tplc="B7D85F80" w:tentative="1">
      <w:start w:val="1"/>
      <w:numFmt w:val="bullet"/>
      <w:lvlText w:val="•"/>
      <w:lvlJc w:val="left"/>
      <w:pPr>
        <w:tabs>
          <w:tab w:val="num" w:pos="4320"/>
        </w:tabs>
        <w:ind w:left="4320" w:hanging="360"/>
      </w:pPr>
      <w:rPr>
        <w:rFonts w:ascii="Arial" w:hAnsi="Arial" w:hint="default"/>
      </w:rPr>
    </w:lvl>
    <w:lvl w:ilvl="6" w:tplc="0F6266E2" w:tentative="1">
      <w:start w:val="1"/>
      <w:numFmt w:val="bullet"/>
      <w:lvlText w:val="•"/>
      <w:lvlJc w:val="left"/>
      <w:pPr>
        <w:tabs>
          <w:tab w:val="num" w:pos="5040"/>
        </w:tabs>
        <w:ind w:left="5040" w:hanging="360"/>
      </w:pPr>
      <w:rPr>
        <w:rFonts w:ascii="Arial" w:hAnsi="Arial" w:hint="default"/>
      </w:rPr>
    </w:lvl>
    <w:lvl w:ilvl="7" w:tplc="5DB66918" w:tentative="1">
      <w:start w:val="1"/>
      <w:numFmt w:val="bullet"/>
      <w:lvlText w:val="•"/>
      <w:lvlJc w:val="left"/>
      <w:pPr>
        <w:tabs>
          <w:tab w:val="num" w:pos="5760"/>
        </w:tabs>
        <w:ind w:left="5760" w:hanging="360"/>
      </w:pPr>
      <w:rPr>
        <w:rFonts w:ascii="Arial" w:hAnsi="Arial" w:hint="default"/>
      </w:rPr>
    </w:lvl>
    <w:lvl w:ilvl="8" w:tplc="38D24C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F61B8"/>
    <w:multiLevelType w:val="hybridMultilevel"/>
    <w:tmpl w:val="0E22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B347F7"/>
    <w:multiLevelType w:val="hybridMultilevel"/>
    <w:tmpl w:val="12908388"/>
    <w:lvl w:ilvl="0" w:tplc="CA3E522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60608"/>
    <w:multiLevelType w:val="hybridMultilevel"/>
    <w:tmpl w:val="3DD8D81E"/>
    <w:lvl w:ilvl="0" w:tplc="B056543C">
      <w:start w:val="1"/>
      <w:numFmt w:val="decimal"/>
      <w:lvlText w:val="%1."/>
      <w:lvlJc w:val="left"/>
      <w:pPr>
        <w:ind w:left="1440" w:hanging="360"/>
      </w:pPr>
      <w:rPr>
        <w:rFonts w:hint="default"/>
        <w:b/>
        <w:bCs/>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3C4DEC"/>
    <w:multiLevelType w:val="hybridMultilevel"/>
    <w:tmpl w:val="FE7C7FD4"/>
    <w:lvl w:ilvl="0" w:tplc="6414D2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69503C"/>
    <w:multiLevelType w:val="hybridMultilevel"/>
    <w:tmpl w:val="BEB49316"/>
    <w:lvl w:ilvl="0" w:tplc="31920566">
      <w:start w:val="1"/>
      <w:numFmt w:val="bullet"/>
      <w:lvlText w:val="•"/>
      <w:lvlJc w:val="left"/>
      <w:pPr>
        <w:tabs>
          <w:tab w:val="num" w:pos="720"/>
        </w:tabs>
        <w:ind w:left="720" w:hanging="360"/>
      </w:pPr>
      <w:rPr>
        <w:rFonts w:ascii="Arial" w:hAnsi="Arial" w:hint="default"/>
      </w:rPr>
    </w:lvl>
    <w:lvl w:ilvl="1" w:tplc="8DFEE1EE" w:tentative="1">
      <w:start w:val="1"/>
      <w:numFmt w:val="bullet"/>
      <w:lvlText w:val="•"/>
      <w:lvlJc w:val="left"/>
      <w:pPr>
        <w:tabs>
          <w:tab w:val="num" w:pos="1440"/>
        </w:tabs>
        <w:ind w:left="1440" w:hanging="360"/>
      </w:pPr>
      <w:rPr>
        <w:rFonts w:ascii="Arial" w:hAnsi="Arial" w:hint="default"/>
      </w:rPr>
    </w:lvl>
    <w:lvl w:ilvl="2" w:tplc="E20EBE08" w:tentative="1">
      <w:start w:val="1"/>
      <w:numFmt w:val="bullet"/>
      <w:lvlText w:val="•"/>
      <w:lvlJc w:val="left"/>
      <w:pPr>
        <w:tabs>
          <w:tab w:val="num" w:pos="2160"/>
        </w:tabs>
        <w:ind w:left="2160" w:hanging="360"/>
      </w:pPr>
      <w:rPr>
        <w:rFonts w:ascii="Arial" w:hAnsi="Arial" w:hint="default"/>
      </w:rPr>
    </w:lvl>
    <w:lvl w:ilvl="3" w:tplc="BDEEFED2" w:tentative="1">
      <w:start w:val="1"/>
      <w:numFmt w:val="bullet"/>
      <w:lvlText w:val="•"/>
      <w:lvlJc w:val="left"/>
      <w:pPr>
        <w:tabs>
          <w:tab w:val="num" w:pos="2880"/>
        </w:tabs>
        <w:ind w:left="2880" w:hanging="360"/>
      </w:pPr>
      <w:rPr>
        <w:rFonts w:ascii="Arial" w:hAnsi="Arial" w:hint="default"/>
      </w:rPr>
    </w:lvl>
    <w:lvl w:ilvl="4" w:tplc="6530510E" w:tentative="1">
      <w:start w:val="1"/>
      <w:numFmt w:val="bullet"/>
      <w:lvlText w:val="•"/>
      <w:lvlJc w:val="left"/>
      <w:pPr>
        <w:tabs>
          <w:tab w:val="num" w:pos="3600"/>
        </w:tabs>
        <w:ind w:left="3600" w:hanging="360"/>
      </w:pPr>
      <w:rPr>
        <w:rFonts w:ascii="Arial" w:hAnsi="Arial" w:hint="default"/>
      </w:rPr>
    </w:lvl>
    <w:lvl w:ilvl="5" w:tplc="EFB0D0EC" w:tentative="1">
      <w:start w:val="1"/>
      <w:numFmt w:val="bullet"/>
      <w:lvlText w:val="•"/>
      <w:lvlJc w:val="left"/>
      <w:pPr>
        <w:tabs>
          <w:tab w:val="num" w:pos="4320"/>
        </w:tabs>
        <w:ind w:left="4320" w:hanging="360"/>
      </w:pPr>
      <w:rPr>
        <w:rFonts w:ascii="Arial" w:hAnsi="Arial" w:hint="default"/>
      </w:rPr>
    </w:lvl>
    <w:lvl w:ilvl="6" w:tplc="6818E4E6" w:tentative="1">
      <w:start w:val="1"/>
      <w:numFmt w:val="bullet"/>
      <w:lvlText w:val="•"/>
      <w:lvlJc w:val="left"/>
      <w:pPr>
        <w:tabs>
          <w:tab w:val="num" w:pos="5040"/>
        </w:tabs>
        <w:ind w:left="5040" w:hanging="360"/>
      </w:pPr>
      <w:rPr>
        <w:rFonts w:ascii="Arial" w:hAnsi="Arial" w:hint="default"/>
      </w:rPr>
    </w:lvl>
    <w:lvl w:ilvl="7" w:tplc="0E74D28C" w:tentative="1">
      <w:start w:val="1"/>
      <w:numFmt w:val="bullet"/>
      <w:lvlText w:val="•"/>
      <w:lvlJc w:val="left"/>
      <w:pPr>
        <w:tabs>
          <w:tab w:val="num" w:pos="5760"/>
        </w:tabs>
        <w:ind w:left="5760" w:hanging="360"/>
      </w:pPr>
      <w:rPr>
        <w:rFonts w:ascii="Arial" w:hAnsi="Arial" w:hint="default"/>
      </w:rPr>
    </w:lvl>
    <w:lvl w:ilvl="8" w:tplc="FA3683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055C3D"/>
    <w:multiLevelType w:val="hybridMultilevel"/>
    <w:tmpl w:val="D5BC3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81C25"/>
    <w:multiLevelType w:val="hybridMultilevel"/>
    <w:tmpl w:val="0E82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A3239D"/>
    <w:multiLevelType w:val="hybridMultilevel"/>
    <w:tmpl w:val="909E7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43CB9"/>
    <w:multiLevelType w:val="hybridMultilevel"/>
    <w:tmpl w:val="BDBEAD18"/>
    <w:lvl w:ilvl="0" w:tplc="DEE20C9A">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D2190"/>
    <w:multiLevelType w:val="hybridMultilevel"/>
    <w:tmpl w:val="A554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B779E"/>
    <w:multiLevelType w:val="hybridMultilevel"/>
    <w:tmpl w:val="3A70574E"/>
    <w:lvl w:ilvl="0" w:tplc="313E5E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D0B75"/>
    <w:multiLevelType w:val="hybridMultilevel"/>
    <w:tmpl w:val="70A03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B1539F"/>
    <w:multiLevelType w:val="hybridMultilevel"/>
    <w:tmpl w:val="7C207A4A"/>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22" w15:restartNumberingAfterBreak="0">
    <w:nsid w:val="5F1B4A1E"/>
    <w:multiLevelType w:val="hybridMultilevel"/>
    <w:tmpl w:val="F59ADF52"/>
    <w:lvl w:ilvl="0" w:tplc="36A82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396102"/>
    <w:multiLevelType w:val="hybridMultilevel"/>
    <w:tmpl w:val="98EC34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93CBC"/>
    <w:multiLevelType w:val="hybridMultilevel"/>
    <w:tmpl w:val="5D48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A4449D"/>
    <w:multiLevelType w:val="hybridMultilevel"/>
    <w:tmpl w:val="13CE3DE6"/>
    <w:lvl w:ilvl="0" w:tplc="F4C24D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8030AA"/>
    <w:multiLevelType w:val="hybridMultilevel"/>
    <w:tmpl w:val="4A28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3775B"/>
    <w:multiLevelType w:val="hybridMultilevel"/>
    <w:tmpl w:val="FD5699C6"/>
    <w:lvl w:ilvl="0" w:tplc="A57290A8">
      <w:start w:val="1"/>
      <w:numFmt w:val="decimal"/>
      <w:lvlText w:val="%1)"/>
      <w:lvlJc w:val="left"/>
      <w:pPr>
        <w:ind w:left="1080" w:hanging="360"/>
      </w:pPr>
      <w:rPr>
        <w:rFonts w:ascii="Times New Roman" w:hAnsi="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C3679F"/>
    <w:multiLevelType w:val="hybridMultilevel"/>
    <w:tmpl w:val="ABDC8AC4"/>
    <w:lvl w:ilvl="0" w:tplc="F09E7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06803"/>
    <w:multiLevelType w:val="hybridMultilevel"/>
    <w:tmpl w:val="25A80E54"/>
    <w:lvl w:ilvl="0" w:tplc="04090001">
      <w:start w:val="1"/>
      <w:numFmt w:val="bullet"/>
      <w:lvlText w:val=""/>
      <w:lvlJc w:val="left"/>
      <w:pPr>
        <w:ind w:left="1622" w:hanging="360"/>
      </w:pPr>
      <w:rPr>
        <w:rFonts w:ascii="Symbol" w:hAnsi="Symbol" w:hint="default"/>
      </w:rPr>
    </w:lvl>
    <w:lvl w:ilvl="1" w:tplc="04090003">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0" w15:restartNumberingAfterBreak="0">
    <w:nsid w:val="75EB7DD9"/>
    <w:multiLevelType w:val="hybridMultilevel"/>
    <w:tmpl w:val="543CE608"/>
    <w:lvl w:ilvl="0" w:tplc="4CE44E5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7E0BA9"/>
    <w:multiLevelType w:val="hybridMultilevel"/>
    <w:tmpl w:val="34A883D6"/>
    <w:lvl w:ilvl="0" w:tplc="36A82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5136198">
    <w:abstractNumId w:val="19"/>
  </w:num>
  <w:num w:numId="2" w16cid:durableId="1707291323">
    <w:abstractNumId w:val="1"/>
  </w:num>
  <w:num w:numId="3" w16cid:durableId="1029525312">
    <w:abstractNumId w:val="17"/>
  </w:num>
  <w:num w:numId="4" w16cid:durableId="1634368541">
    <w:abstractNumId w:val="29"/>
  </w:num>
  <w:num w:numId="5" w16cid:durableId="1720862531">
    <w:abstractNumId w:val="3"/>
  </w:num>
  <w:num w:numId="6" w16cid:durableId="521476632">
    <w:abstractNumId w:val="0"/>
  </w:num>
  <w:num w:numId="7" w16cid:durableId="991373274">
    <w:abstractNumId w:val="2"/>
  </w:num>
  <w:num w:numId="8" w16cid:durableId="1799763163">
    <w:abstractNumId w:val="16"/>
  </w:num>
  <w:num w:numId="9" w16cid:durableId="1758865883">
    <w:abstractNumId w:val="27"/>
  </w:num>
  <w:num w:numId="10" w16cid:durableId="1631276577">
    <w:abstractNumId w:val="14"/>
  </w:num>
  <w:num w:numId="11" w16cid:durableId="356583039">
    <w:abstractNumId w:val="23"/>
  </w:num>
  <w:num w:numId="12" w16cid:durableId="702630024">
    <w:abstractNumId w:val="7"/>
  </w:num>
  <w:num w:numId="13" w16cid:durableId="167671657">
    <w:abstractNumId w:val="26"/>
  </w:num>
  <w:num w:numId="14" w16cid:durableId="547571133">
    <w:abstractNumId w:val="31"/>
  </w:num>
  <w:num w:numId="15" w16cid:durableId="510728791">
    <w:abstractNumId w:val="21"/>
  </w:num>
  <w:num w:numId="16" w16cid:durableId="820271307">
    <w:abstractNumId w:val="22"/>
  </w:num>
  <w:num w:numId="17" w16cid:durableId="1777556554">
    <w:abstractNumId w:val="8"/>
  </w:num>
  <w:num w:numId="18" w16cid:durableId="191651665">
    <w:abstractNumId w:val="30"/>
  </w:num>
  <w:num w:numId="19" w16cid:durableId="652567623">
    <w:abstractNumId w:val="25"/>
  </w:num>
  <w:num w:numId="20" w16cid:durableId="1023361770">
    <w:abstractNumId w:val="10"/>
  </w:num>
  <w:num w:numId="21" w16cid:durableId="1230530297">
    <w:abstractNumId w:val="11"/>
  </w:num>
  <w:num w:numId="22" w16cid:durableId="607275461">
    <w:abstractNumId w:val="18"/>
  </w:num>
  <w:num w:numId="23" w16cid:durableId="501892093">
    <w:abstractNumId w:val="12"/>
  </w:num>
  <w:num w:numId="24" w16cid:durableId="1859813223">
    <w:abstractNumId w:val="28"/>
  </w:num>
  <w:num w:numId="25" w16cid:durableId="983311852">
    <w:abstractNumId w:val="5"/>
  </w:num>
  <w:num w:numId="26" w16cid:durableId="8147454">
    <w:abstractNumId w:val="6"/>
  </w:num>
  <w:num w:numId="27" w16cid:durableId="565065595">
    <w:abstractNumId w:val="13"/>
  </w:num>
  <w:num w:numId="28" w16cid:durableId="32005398">
    <w:abstractNumId w:val="9"/>
  </w:num>
  <w:num w:numId="29" w16cid:durableId="1228758619">
    <w:abstractNumId w:val="15"/>
  </w:num>
  <w:num w:numId="30" w16cid:durableId="2044481624">
    <w:abstractNumId w:val="24"/>
  </w:num>
  <w:num w:numId="31" w16cid:durableId="1841504193">
    <w:abstractNumId w:val="20"/>
  </w:num>
  <w:num w:numId="32" w16cid:durableId="1961304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2C"/>
    <w:rsid w:val="000124C0"/>
    <w:rsid w:val="0001267D"/>
    <w:rsid w:val="000134D5"/>
    <w:rsid w:val="00014A00"/>
    <w:rsid w:val="00014D09"/>
    <w:rsid w:val="00016180"/>
    <w:rsid w:val="0002383A"/>
    <w:rsid w:val="0002528C"/>
    <w:rsid w:val="000253AC"/>
    <w:rsid w:val="000256EA"/>
    <w:rsid w:val="00025770"/>
    <w:rsid w:val="00026AEF"/>
    <w:rsid w:val="000277FC"/>
    <w:rsid w:val="00033000"/>
    <w:rsid w:val="00036011"/>
    <w:rsid w:val="00036BDC"/>
    <w:rsid w:val="000401CA"/>
    <w:rsid w:val="00044C58"/>
    <w:rsid w:val="000458AB"/>
    <w:rsid w:val="00047133"/>
    <w:rsid w:val="00052054"/>
    <w:rsid w:val="0005216E"/>
    <w:rsid w:val="00053AD1"/>
    <w:rsid w:val="000567BE"/>
    <w:rsid w:val="00056D15"/>
    <w:rsid w:val="00063BC3"/>
    <w:rsid w:val="00072077"/>
    <w:rsid w:val="0007595A"/>
    <w:rsid w:val="00077A91"/>
    <w:rsid w:val="000815BA"/>
    <w:rsid w:val="00084352"/>
    <w:rsid w:val="0009281F"/>
    <w:rsid w:val="0009426D"/>
    <w:rsid w:val="00096BDC"/>
    <w:rsid w:val="0009760C"/>
    <w:rsid w:val="000A13C9"/>
    <w:rsid w:val="000A2A8A"/>
    <w:rsid w:val="000A618B"/>
    <w:rsid w:val="000B019A"/>
    <w:rsid w:val="000B2B08"/>
    <w:rsid w:val="000B478C"/>
    <w:rsid w:val="000B5111"/>
    <w:rsid w:val="000B5702"/>
    <w:rsid w:val="000B6CB9"/>
    <w:rsid w:val="000C03F5"/>
    <w:rsid w:val="000C3B93"/>
    <w:rsid w:val="000D2FA4"/>
    <w:rsid w:val="000D40C6"/>
    <w:rsid w:val="000D4A46"/>
    <w:rsid w:val="000D51A0"/>
    <w:rsid w:val="000D53D6"/>
    <w:rsid w:val="000D72A4"/>
    <w:rsid w:val="000E1768"/>
    <w:rsid w:val="000E3167"/>
    <w:rsid w:val="000E4EE3"/>
    <w:rsid w:val="000E75C5"/>
    <w:rsid w:val="000F0489"/>
    <w:rsid w:val="000F15FC"/>
    <w:rsid w:val="00100327"/>
    <w:rsid w:val="00101D49"/>
    <w:rsid w:val="001035A9"/>
    <w:rsid w:val="00113ABA"/>
    <w:rsid w:val="0011512E"/>
    <w:rsid w:val="00122989"/>
    <w:rsid w:val="00124F50"/>
    <w:rsid w:val="00126633"/>
    <w:rsid w:val="00126F9F"/>
    <w:rsid w:val="0013131B"/>
    <w:rsid w:val="00140D9F"/>
    <w:rsid w:val="00142A77"/>
    <w:rsid w:val="00143126"/>
    <w:rsid w:val="00146A41"/>
    <w:rsid w:val="001522F7"/>
    <w:rsid w:val="001569EC"/>
    <w:rsid w:val="00156EBA"/>
    <w:rsid w:val="00157DDD"/>
    <w:rsid w:val="00162D41"/>
    <w:rsid w:val="0016395E"/>
    <w:rsid w:val="0017428F"/>
    <w:rsid w:val="00174642"/>
    <w:rsid w:val="00175286"/>
    <w:rsid w:val="00177B68"/>
    <w:rsid w:val="001800CC"/>
    <w:rsid w:val="0019396E"/>
    <w:rsid w:val="001A0C3F"/>
    <w:rsid w:val="001A10C4"/>
    <w:rsid w:val="001A18C6"/>
    <w:rsid w:val="001A38D4"/>
    <w:rsid w:val="001A52A6"/>
    <w:rsid w:val="001B327D"/>
    <w:rsid w:val="001B48FC"/>
    <w:rsid w:val="001B5E4A"/>
    <w:rsid w:val="001B72BE"/>
    <w:rsid w:val="001B7F1E"/>
    <w:rsid w:val="001C0FC7"/>
    <w:rsid w:val="001C4D2E"/>
    <w:rsid w:val="001C4E09"/>
    <w:rsid w:val="001C7A7E"/>
    <w:rsid w:val="001D2144"/>
    <w:rsid w:val="001D3208"/>
    <w:rsid w:val="001D4743"/>
    <w:rsid w:val="001D70AA"/>
    <w:rsid w:val="001E2EA2"/>
    <w:rsid w:val="001E3AC7"/>
    <w:rsid w:val="001E41CA"/>
    <w:rsid w:val="001E4207"/>
    <w:rsid w:val="001E6F81"/>
    <w:rsid w:val="001F012E"/>
    <w:rsid w:val="001F38E6"/>
    <w:rsid w:val="001F7301"/>
    <w:rsid w:val="002049E2"/>
    <w:rsid w:val="00204B7B"/>
    <w:rsid w:val="00204D3E"/>
    <w:rsid w:val="0020550C"/>
    <w:rsid w:val="00210859"/>
    <w:rsid w:val="002129EE"/>
    <w:rsid w:val="0022424C"/>
    <w:rsid w:val="002249D8"/>
    <w:rsid w:val="002261DC"/>
    <w:rsid w:val="00236997"/>
    <w:rsid w:val="00243202"/>
    <w:rsid w:val="0024529B"/>
    <w:rsid w:val="00245908"/>
    <w:rsid w:val="0024633F"/>
    <w:rsid w:val="002510A0"/>
    <w:rsid w:val="00251261"/>
    <w:rsid w:val="00255C23"/>
    <w:rsid w:val="00257F7A"/>
    <w:rsid w:val="00270842"/>
    <w:rsid w:val="00272042"/>
    <w:rsid w:val="00274B19"/>
    <w:rsid w:val="00276E9D"/>
    <w:rsid w:val="00281FC9"/>
    <w:rsid w:val="002910C1"/>
    <w:rsid w:val="00295A08"/>
    <w:rsid w:val="00296389"/>
    <w:rsid w:val="00296DC9"/>
    <w:rsid w:val="002976BE"/>
    <w:rsid w:val="002A02D5"/>
    <w:rsid w:val="002A19FD"/>
    <w:rsid w:val="002A6CBE"/>
    <w:rsid w:val="002A7392"/>
    <w:rsid w:val="002B375D"/>
    <w:rsid w:val="002B480D"/>
    <w:rsid w:val="002D5222"/>
    <w:rsid w:val="002D5369"/>
    <w:rsid w:val="002E12D3"/>
    <w:rsid w:val="002E414A"/>
    <w:rsid w:val="002E4365"/>
    <w:rsid w:val="002E44F0"/>
    <w:rsid w:val="002F2CAB"/>
    <w:rsid w:val="002F4D09"/>
    <w:rsid w:val="002F63E6"/>
    <w:rsid w:val="002F7D83"/>
    <w:rsid w:val="00305352"/>
    <w:rsid w:val="00305ADF"/>
    <w:rsid w:val="003068C7"/>
    <w:rsid w:val="003133D7"/>
    <w:rsid w:val="00320FC6"/>
    <w:rsid w:val="00321A7B"/>
    <w:rsid w:val="00322AF8"/>
    <w:rsid w:val="0033461E"/>
    <w:rsid w:val="003367C7"/>
    <w:rsid w:val="00350EDF"/>
    <w:rsid w:val="00351979"/>
    <w:rsid w:val="00352EC2"/>
    <w:rsid w:val="003551F6"/>
    <w:rsid w:val="00355213"/>
    <w:rsid w:val="00355442"/>
    <w:rsid w:val="00355D72"/>
    <w:rsid w:val="00360425"/>
    <w:rsid w:val="00360BE6"/>
    <w:rsid w:val="00360F5D"/>
    <w:rsid w:val="003635ED"/>
    <w:rsid w:val="00364F74"/>
    <w:rsid w:val="00372DC9"/>
    <w:rsid w:val="00374758"/>
    <w:rsid w:val="00382911"/>
    <w:rsid w:val="00383083"/>
    <w:rsid w:val="00383EB0"/>
    <w:rsid w:val="0038480A"/>
    <w:rsid w:val="00384EFC"/>
    <w:rsid w:val="003913F2"/>
    <w:rsid w:val="003920D6"/>
    <w:rsid w:val="0039362A"/>
    <w:rsid w:val="00395351"/>
    <w:rsid w:val="00396F5F"/>
    <w:rsid w:val="003A08FB"/>
    <w:rsid w:val="003A489B"/>
    <w:rsid w:val="003A5428"/>
    <w:rsid w:val="003A66A5"/>
    <w:rsid w:val="003B233D"/>
    <w:rsid w:val="003B3F91"/>
    <w:rsid w:val="003B565F"/>
    <w:rsid w:val="003C1B03"/>
    <w:rsid w:val="003D0A0C"/>
    <w:rsid w:val="003D6089"/>
    <w:rsid w:val="003D6440"/>
    <w:rsid w:val="003D6757"/>
    <w:rsid w:val="003D733F"/>
    <w:rsid w:val="003E11CD"/>
    <w:rsid w:val="003E4FCC"/>
    <w:rsid w:val="003E53F4"/>
    <w:rsid w:val="003E73D6"/>
    <w:rsid w:val="003F5936"/>
    <w:rsid w:val="003F5FA0"/>
    <w:rsid w:val="003F6804"/>
    <w:rsid w:val="0040373A"/>
    <w:rsid w:val="0040689A"/>
    <w:rsid w:val="00407D0B"/>
    <w:rsid w:val="00423267"/>
    <w:rsid w:val="00423875"/>
    <w:rsid w:val="0042771D"/>
    <w:rsid w:val="00431187"/>
    <w:rsid w:val="00431CAA"/>
    <w:rsid w:val="00432955"/>
    <w:rsid w:val="00433A01"/>
    <w:rsid w:val="00436028"/>
    <w:rsid w:val="00440645"/>
    <w:rsid w:val="004425DC"/>
    <w:rsid w:val="00443D48"/>
    <w:rsid w:val="0044736D"/>
    <w:rsid w:val="00450053"/>
    <w:rsid w:val="004501EE"/>
    <w:rsid w:val="00453825"/>
    <w:rsid w:val="0045451E"/>
    <w:rsid w:val="004607CC"/>
    <w:rsid w:val="004623B6"/>
    <w:rsid w:val="0046399F"/>
    <w:rsid w:val="00465176"/>
    <w:rsid w:val="0046735D"/>
    <w:rsid w:val="00474F4C"/>
    <w:rsid w:val="004753DF"/>
    <w:rsid w:val="00475B15"/>
    <w:rsid w:val="004763A8"/>
    <w:rsid w:val="00487F6C"/>
    <w:rsid w:val="004903D4"/>
    <w:rsid w:val="004A0B17"/>
    <w:rsid w:val="004B2C88"/>
    <w:rsid w:val="004B521C"/>
    <w:rsid w:val="004B5449"/>
    <w:rsid w:val="004C0C77"/>
    <w:rsid w:val="004C1873"/>
    <w:rsid w:val="004C51C8"/>
    <w:rsid w:val="004D0593"/>
    <w:rsid w:val="004D2307"/>
    <w:rsid w:val="004D2BD4"/>
    <w:rsid w:val="004D3E50"/>
    <w:rsid w:val="004D4291"/>
    <w:rsid w:val="004D685F"/>
    <w:rsid w:val="004E0F23"/>
    <w:rsid w:val="004E3674"/>
    <w:rsid w:val="004E5575"/>
    <w:rsid w:val="004E62BB"/>
    <w:rsid w:val="004F0561"/>
    <w:rsid w:val="004F56EE"/>
    <w:rsid w:val="004F5E28"/>
    <w:rsid w:val="004F77DA"/>
    <w:rsid w:val="0050231F"/>
    <w:rsid w:val="00502A43"/>
    <w:rsid w:val="00516264"/>
    <w:rsid w:val="00521B29"/>
    <w:rsid w:val="00521D04"/>
    <w:rsid w:val="00525872"/>
    <w:rsid w:val="00526C5F"/>
    <w:rsid w:val="0053111E"/>
    <w:rsid w:val="00531E3E"/>
    <w:rsid w:val="00532E8A"/>
    <w:rsid w:val="00534DE7"/>
    <w:rsid w:val="00535A34"/>
    <w:rsid w:val="005372F6"/>
    <w:rsid w:val="00543573"/>
    <w:rsid w:val="00543707"/>
    <w:rsid w:val="00552F98"/>
    <w:rsid w:val="00554645"/>
    <w:rsid w:val="00560269"/>
    <w:rsid w:val="00561449"/>
    <w:rsid w:val="00563D64"/>
    <w:rsid w:val="005666ED"/>
    <w:rsid w:val="0056735F"/>
    <w:rsid w:val="00572402"/>
    <w:rsid w:val="00572C1D"/>
    <w:rsid w:val="00574880"/>
    <w:rsid w:val="00581852"/>
    <w:rsid w:val="005848C4"/>
    <w:rsid w:val="00590B61"/>
    <w:rsid w:val="0059314E"/>
    <w:rsid w:val="0059731D"/>
    <w:rsid w:val="005B0D3B"/>
    <w:rsid w:val="005B2BDF"/>
    <w:rsid w:val="005B2C8A"/>
    <w:rsid w:val="005B5496"/>
    <w:rsid w:val="005B5F99"/>
    <w:rsid w:val="005B7D3C"/>
    <w:rsid w:val="005B7F4D"/>
    <w:rsid w:val="005C17A8"/>
    <w:rsid w:val="005C3D1F"/>
    <w:rsid w:val="005C5F1D"/>
    <w:rsid w:val="005D1EFB"/>
    <w:rsid w:val="005D6598"/>
    <w:rsid w:val="005E00F4"/>
    <w:rsid w:val="005E0516"/>
    <w:rsid w:val="005E3C2D"/>
    <w:rsid w:val="005E5BE5"/>
    <w:rsid w:val="005F7386"/>
    <w:rsid w:val="00601919"/>
    <w:rsid w:val="0060430B"/>
    <w:rsid w:val="00605479"/>
    <w:rsid w:val="006064D9"/>
    <w:rsid w:val="00606B33"/>
    <w:rsid w:val="00610E73"/>
    <w:rsid w:val="00611305"/>
    <w:rsid w:val="006170B3"/>
    <w:rsid w:val="00620C6E"/>
    <w:rsid w:val="0062172E"/>
    <w:rsid w:val="006338B2"/>
    <w:rsid w:val="00636FC0"/>
    <w:rsid w:val="00637FC2"/>
    <w:rsid w:val="00640E16"/>
    <w:rsid w:val="0064167E"/>
    <w:rsid w:val="00642BAB"/>
    <w:rsid w:val="00650D65"/>
    <w:rsid w:val="00651A67"/>
    <w:rsid w:val="006546A4"/>
    <w:rsid w:val="00656DE9"/>
    <w:rsid w:val="00660A4A"/>
    <w:rsid w:val="006636B9"/>
    <w:rsid w:val="006650E1"/>
    <w:rsid w:val="006656E0"/>
    <w:rsid w:val="006658D8"/>
    <w:rsid w:val="006659D3"/>
    <w:rsid w:val="00666F1D"/>
    <w:rsid w:val="0067202A"/>
    <w:rsid w:val="006740F8"/>
    <w:rsid w:val="00674EB8"/>
    <w:rsid w:val="0068185A"/>
    <w:rsid w:val="00684129"/>
    <w:rsid w:val="00685C4E"/>
    <w:rsid w:val="006902E9"/>
    <w:rsid w:val="006928F9"/>
    <w:rsid w:val="006A0D47"/>
    <w:rsid w:val="006B3FBA"/>
    <w:rsid w:val="006D3A6E"/>
    <w:rsid w:val="006D499E"/>
    <w:rsid w:val="006D55CB"/>
    <w:rsid w:val="006D5C91"/>
    <w:rsid w:val="006D5F01"/>
    <w:rsid w:val="006D70F5"/>
    <w:rsid w:val="006E537A"/>
    <w:rsid w:val="006E5CCC"/>
    <w:rsid w:val="006F2560"/>
    <w:rsid w:val="006F2902"/>
    <w:rsid w:val="00702067"/>
    <w:rsid w:val="00703A87"/>
    <w:rsid w:val="00706BCE"/>
    <w:rsid w:val="00710E02"/>
    <w:rsid w:val="00712F7B"/>
    <w:rsid w:val="00713A09"/>
    <w:rsid w:val="00713EF8"/>
    <w:rsid w:val="00717DCD"/>
    <w:rsid w:val="0072063D"/>
    <w:rsid w:val="00720841"/>
    <w:rsid w:val="00723F15"/>
    <w:rsid w:val="00734546"/>
    <w:rsid w:val="00734BC9"/>
    <w:rsid w:val="0073585C"/>
    <w:rsid w:val="00736A01"/>
    <w:rsid w:val="0074522C"/>
    <w:rsid w:val="00747303"/>
    <w:rsid w:val="00752749"/>
    <w:rsid w:val="00752C69"/>
    <w:rsid w:val="00752FC6"/>
    <w:rsid w:val="0075369A"/>
    <w:rsid w:val="00756936"/>
    <w:rsid w:val="007616F8"/>
    <w:rsid w:val="00762CE6"/>
    <w:rsid w:val="00763DA7"/>
    <w:rsid w:val="0076531D"/>
    <w:rsid w:val="00771090"/>
    <w:rsid w:val="0077137B"/>
    <w:rsid w:val="0077182D"/>
    <w:rsid w:val="00771FC6"/>
    <w:rsid w:val="00772161"/>
    <w:rsid w:val="00775292"/>
    <w:rsid w:val="007834DC"/>
    <w:rsid w:val="00784C2E"/>
    <w:rsid w:val="007913F5"/>
    <w:rsid w:val="00791435"/>
    <w:rsid w:val="007947B0"/>
    <w:rsid w:val="007A0415"/>
    <w:rsid w:val="007A293A"/>
    <w:rsid w:val="007A31D2"/>
    <w:rsid w:val="007A6094"/>
    <w:rsid w:val="007B0611"/>
    <w:rsid w:val="007B06FD"/>
    <w:rsid w:val="007B4249"/>
    <w:rsid w:val="007B53D8"/>
    <w:rsid w:val="007B557C"/>
    <w:rsid w:val="007C0C90"/>
    <w:rsid w:val="007C34FC"/>
    <w:rsid w:val="007C72FB"/>
    <w:rsid w:val="007D597E"/>
    <w:rsid w:val="007D60CF"/>
    <w:rsid w:val="007E0381"/>
    <w:rsid w:val="007E18B5"/>
    <w:rsid w:val="007F0C32"/>
    <w:rsid w:val="007F2057"/>
    <w:rsid w:val="00802F73"/>
    <w:rsid w:val="00807819"/>
    <w:rsid w:val="00810571"/>
    <w:rsid w:val="00812449"/>
    <w:rsid w:val="00814B22"/>
    <w:rsid w:val="008219DF"/>
    <w:rsid w:val="008274A1"/>
    <w:rsid w:val="0082778C"/>
    <w:rsid w:val="00841533"/>
    <w:rsid w:val="00842CC4"/>
    <w:rsid w:val="00844333"/>
    <w:rsid w:val="00852441"/>
    <w:rsid w:val="008750FE"/>
    <w:rsid w:val="00877337"/>
    <w:rsid w:val="0088097B"/>
    <w:rsid w:val="00882EAD"/>
    <w:rsid w:val="00886737"/>
    <w:rsid w:val="00887B31"/>
    <w:rsid w:val="00892892"/>
    <w:rsid w:val="00892F1D"/>
    <w:rsid w:val="00895973"/>
    <w:rsid w:val="008A0ED5"/>
    <w:rsid w:val="008A34AF"/>
    <w:rsid w:val="008B28C4"/>
    <w:rsid w:val="008C0509"/>
    <w:rsid w:val="008C16E8"/>
    <w:rsid w:val="008C3300"/>
    <w:rsid w:val="008C3327"/>
    <w:rsid w:val="008C3377"/>
    <w:rsid w:val="008C4268"/>
    <w:rsid w:val="008C5057"/>
    <w:rsid w:val="008D2F95"/>
    <w:rsid w:val="008E14CB"/>
    <w:rsid w:val="008E537E"/>
    <w:rsid w:val="008E7489"/>
    <w:rsid w:val="008F347F"/>
    <w:rsid w:val="008F3E36"/>
    <w:rsid w:val="008F4DF3"/>
    <w:rsid w:val="008F5C3A"/>
    <w:rsid w:val="009012AC"/>
    <w:rsid w:val="0090166E"/>
    <w:rsid w:val="00903CD9"/>
    <w:rsid w:val="0092329B"/>
    <w:rsid w:val="009243EC"/>
    <w:rsid w:val="00926FC3"/>
    <w:rsid w:val="00932412"/>
    <w:rsid w:val="00935DC1"/>
    <w:rsid w:val="00936B3D"/>
    <w:rsid w:val="009374F7"/>
    <w:rsid w:val="009413D5"/>
    <w:rsid w:val="00941603"/>
    <w:rsid w:val="00941F4A"/>
    <w:rsid w:val="009422F7"/>
    <w:rsid w:val="00942AC4"/>
    <w:rsid w:val="00946454"/>
    <w:rsid w:val="00953EE0"/>
    <w:rsid w:val="009563BC"/>
    <w:rsid w:val="00956A21"/>
    <w:rsid w:val="00966DAB"/>
    <w:rsid w:val="00970873"/>
    <w:rsid w:val="00974EA3"/>
    <w:rsid w:val="00975D0A"/>
    <w:rsid w:val="00977D8B"/>
    <w:rsid w:val="0098006E"/>
    <w:rsid w:val="00980C0E"/>
    <w:rsid w:val="00983471"/>
    <w:rsid w:val="00983AC7"/>
    <w:rsid w:val="00985840"/>
    <w:rsid w:val="009909A6"/>
    <w:rsid w:val="00991657"/>
    <w:rsid w:val="00993C46"/>
    <w:rsid w:val="0099467E"/>
    <w:rsid w:val="00995DDF"/>
    <w:rsid w:val="00995F32"/>
    <w:rsid w:val="009979AC"/>
    <w:rsid w:val="009A263D"/>
    <w:rsid w:val="009A6E92"/>
    <w:rsid w:val="009B0E5B"/>
    <w:rsid w:val="009B145A"/>
    <w:rsid w:val="009B197D"/>
    <w:rsid w:val="009C52F8"/>
    <w:rsid w:val="009C5CA1"/>
    <w:rsid w:val="009D37B8"/>
    <w:rsid w:val="009D4587"/>
    <w:rsid w:val="009D55B3"/>
    <w:rsid w:val="009D5B89"/>
    <w:rsid w:val="009D7802"/>
    <w:rsid w:val="009E65AF"/>
    <w:rsid w:val="009E6CA7"/>
    <w:rsid w:val="009E7106"/>
    <w:rsid w:val="009F097D"/>
    <w:rsid w:val="009F1ADA"/>
    <w:rsid w:val="009F5EA9"/>
    <w:rsid w:val="009F756D"/>
    <w:rsid w:val="00A01922"/>
    <w:rsid w:val="00A041C3"/>
    <w:rsid w:val="00A10FAE"/>
    <w:rsid w:val="00A15936"/>
    <w:rsid w:val="00A17529"/>
    <w:rsid w:val="00A20E18"/>
    <w:rsid w:val="00A23EAC"/>
    <w:rsid w:val="00A2445E"/>
    <w:rsid w:val="00A24F1F"/>
    <w:rsid w:val="00A24F49"/>
    <w:rsid w:val="00A338C1"/>
    <w:rsid w:val="00A35066"/>
    <w:rsid w:val="00A350D3"/>
    <w:rsid w:val="00A3696C"/>
    <w:rsid w:val="00A3760D"/>
    <w:rsid w:val="00A4176F"/>
    <w:rsid w:val="00A42EA2"/>
    <w:rsid w:val="00A46899"/>
    <w:rsid w:val="00A506CB"/>
    <w:rsid w:val="00A51F74"/>
    <w:rsid w:val="00A52E33"/>
    <w:rsid w:val="00A53E86"/>
    <w:rsid w:val="00A7001C"/>
    <w:rsid w:val="00A72462"/>
    <w:rsid w:val="00A736B5"/>
    <w:rsid w:val="00A775D6"/>
    <w:rsid w:val="00A903E4"/>
    <w:rsid w:val="00AA2C03"/>
    <w:rsid w:val="00AA38A3"/>
    <w:rsid w:val="00AB2248"/>
    <w:rsid w:val="00AB27F2"/>
    <w:rsid w:val="00AC00D2"/>
    <w:rsid w:val="00AC046F"/>
    <w:rsid w:val="00AC0FE3"/>
    <w:rsid w:val="00AC2170"/>
    <w:rsid w:val="00AC2CAD"/>
    <w:rsid w:val="00AC68E3"/>
    <w:rsid w:val="00AD08EC"/>
    <w:rsid w:val="00AD2D8A"/>
    <w:rsid w:val="00AE02CA"/>
    <w:rsid w:val="00AE1622"/>
    <w:rsid w:val="00AE1B92"/>
    <w:rsid w:val="00AE2808"/>
    <w:rsid w:val="00AF1AC7"/>
    <w:rsid w:val="00AF3DEE"/>
    <w:rsid w:val="00AF4CEC"/>
    <w:rsid w:val="00AF5459"/>
    <w:rsid w:val="00B00C51"/>
    <w:rsid w:val="00B03245"/>
    <w:rsid w:val="00B12B68"/>
    <w:rsid w:val="00B1350D"/>
    <w:rsid w:val="00B1439A"/>
    <w:rsid w:val="00B150D1"/>
    <w:rsid w:val="00B2091B"/>
    <w:rsid w:val="00B216A2"/>
    <w:rsid w:val="00B21C42"/>
    <w:rsid w:val="00B22487"/>
    <w:rsid w:val="00B243E2"/>
    <w:rsid w:val="00B24889"/>
    <w:rsid w:val="00B24F5A"/>
    <w:rsid w:val="00B25B64"/>
    <w:rsid w:val="00B264DF"/>
    <w:rsid w:val="00B31CEB"/>
    <w:rsid w:val="00B405D1"/>
    <w:rsid w:val="00B426BF"/>
    <w:rsid w:val="00B52907"/>
    <w:rsid w:val="00B5418F"/>
    <w:rsid w:val="00B57155"/>
    <w:rsid w:val="00B610A4"/>
    <w:rsid w:val="00B612FE"/>
    <w:rsid w:val="00B62D71"/>
    <w:rsid w:val="00B63CA3"/>
    <w:rsid w:val="00B71234"/>
    <w:rsid w:val="00B72069"/>
    <w:rsid w:val="00B74F24"/>
    <w:rsid w:val="00B75373"/>
    <w:rsid w:val="00B804BD"/>
    <w:rsid w:val="00B83A3B"/>
    <w:rsid w:val="00B86BD2"/>
    <w:rsid w:val="00B91837"/>
    <w:rsid w:val="00B92BC3"/>
    <w:rsid w:val="00B9340B"/>
    <w:rsid w:val="00B94755"/>
    <w:rsid w:val="00B94860"/>
    <w:rsid w:val="00BA0576"/>
    <w:rsid w:val="00BA3905"/>
    <w:rsid w:val="00BA4957"/>
    <w:rsid w:val="00BB33F9"/>
    <w:rsid w:val="00BB5882"/>
    <w:rsid w:val="00BB7712"/>
    <w:rsid w:val="00BB7BE2"/>
    <w:rsid w:val="00BC1A1E"/>
    <w:rsid w:val="00BC1F32"/>
    <w:rsid w:val="00BC2860"/>
    <w:rsid w:val="00BC5C76"/>
    <w:rsid w:val="00BD1D2C"/>
    <w:rsid w:val="00BD2FC6"/>
    <w:rsid w:val="00BD3EE3"/>
    <w:rsid w:val="00BD5EA2"/>
    <w:rsid w:val="00BD683D"/>
    <w:rsid w:val="00BE0492"/>
    <w:rsid w:val="00BE0DA4"/>
    <w:rsid w:val="00BE3C57"/>
    <w:rsid w:val="00BF2DCA"/>
    <w:rsid w:val="00BF4F12"/>
    <w:rsid w:val="00BF69FA"/>
    <w:rsid w:val="00BF7D3A"/>
    <w:rsid w:val="00C01119"/>
    <w:rsid w:val="00C01760"/>
    <w:rsid w:val="00C03B07"/>
    <w:rsid w:val="00C12764"/>
    <w:rsid w:val="00C128BF"/>
    <w:rsid w:val="00C13287"/>
    <w:rsid w:val="00C14522"/>
    <w:rsid w:val="00C15B4B"/>
    <w:rsid w:val="00C16A33"/>
    <w:rsid w:val="00C20837"/>
    <w:rsid w:val="00C2097A"/>
    <w:rsid w:val="00C32BEA"/>
    <w:rsid w:val="00C347CB"/>
    <w:rsid w:val="00C43CB8"/>
    <w:rsid w:val="00C52EA6"/>
    <w:rsid w:val="00C55B79"/>
    <w:rsid w:val="00C57FC5"/>
    <w:rsid w:val="00C6188C"/>
    <w:rsid w:val="00C6690C"/>
    <w:rsid w:val="00C670E8"/>
    <w:rsid w:val="00C67A1F"/>
    <w:rsid w:val="00C67AB8"/>
    <w:rsid w:val="00C67D68"/>
    <w:rsid w:val="00C704B3"/>
    <w:rsid w:val="00C704FA"/>
    <w:rsid w:val="00C70980"/>
    <w:rsid w:val="00C724C8"/>
    <w:rsid w:val="00C734D6"/>
    <w:rsid w:val="00C73516"/>
    <w:rsid w:val="00C746A5"/>
    <w:rsid w:val="00C75811"/>
    <w:rsid w:val="00C76F1A"/>
    <w:rsid w:val="00C8137D"/>
    <w:rsid w:val="00C93E36"/>
    <w:rsid w:val="00C9494A"/>
    <w:rsid w:val="00C95DF6"/>
    <w:rsid w:val="00C95FFB"/>
    <w:rsid w:val="00C96BFB"/>
    <w:rsid w:val="00C97F6D"/>
    <w:rsid w:val="00CA248A"/>
    <w:rsid w:val="00CA3D83"/>
    <w:rsid w:val="00CA4F7E"/>
    <w:rsid w:val="00CA5C05"/>
    <w:rsid w:val="00CB2B12"/>
    <w:rsid w:val="00CB6FC8"/>
    <w:rsid w:val="00CC045D"/>
    <w:rsid w:val="00CC4055"/>
    <w:rsid w:val="00CC41CC"/>
    <w:rsid w:val="00CD1437"/>
    <w:rsid w:val="00CD1445"/>
    <w:rsid w:val="00CD320A"/>
    <w:rsid w:val="00CD676B"/>
    <w:rsid w:val="00CD6778"/>
    <w:rsid w:val="00CF25D8"/>
    <w:rsid w:val="00CF466A"/>
    <w:rsid w:val="00CF6F5E"/>
    <w:rsid w:val="00CF7776"/>
    <w:rsid w:val="00CF77F6"/>
    <w:rsid w:val="00D07DB6"/>
    <w:rsid w:val="00D11A78"/>
    <w:rsid w:val="00D15867"/>
    <w:rsid w:val="00D15D72"/>
    <w:rsid w:val="00D1703B"/>
    <w:rsid w:val="00D2032F"/>
    <w:rsid w:val="00D22165"/>
    <w:rsid w:val="00D22C91"/>
    <w:rsid w:val="00D2374F"/>
    <w:rsid w:val="00D2509A"/>
    <w:rsid w:val="00D333B1"/>
    <w:rsid w:val="00D36DBF"/>
    <w:rsid w:val="00D40B34"/>
    <w:rsid w:val="00D4498C"/>
    <w:rsid w:val="00D51892"/>
    <w:rsid w:val="00D52F9F"/>
    <w:rsid w:val="00D548B1"/>
    <w:rsid w:val="00D55E55"/>
    <w:rsid w:val="00D62E40"/>
    <w:rsid w:val="00D66B70"/>
    <w:rsid w:val="00D71501"/>
    <w:rsid w:val="00D73BF3"/>
    <w:rsid w:val="00D776BC"/>
    <w:rsid w:val="00D81CE0"/>
    <w:rsid w:val="00D86541"/>
    <w:rsid w:val="00D94049"/>
    <w:rsid w:val="00DA5621"/>
    <w:rsid w:val="00DB0CB6"/>
    <w:rsid w:val="00DB5962"/>
    <w:rsid w:val="00DB7033"/>
    <w:rsid w:val="00DC0723"/>
    <w:rsid w:val="00DC1155"/>
    <w:rsid w:val="00DC2014"/>
    <w:rsid w:val="00DC2B1F"/>
    <w:rsid w:val="00DC5EEB"/>
    <w:rsid w:val="00DC6BA2"/>
    <w:rsid w:val="00DD21EC"/>
    <w:rsid w:val="00DD3F62"/>
    <w:rsid w:val="00DD4379"/>
    <w:rsid w:val="00DD4543"/>
    <w:rsid w:val="00DD6DB9"/>
    <w:rsid w:val="00DD7BB2"/>
    <w:rsid w:val="00DE39FD"/>
    <w:rsid w:val="00DE4BA8"/>
    <w:rsid w:val="00DE560D"/>
    <w:rsid w:val="00DE74FA"/>
    <w:rsid w:val="00DF680B"/>
    <w:rsid w:val="00E02629"/>
    <w:rsid w:val="00E0272F"/>
    <w:rsid w:val="00E031D6"/>
    <w:rsid w:val="00E07631"/>
    <w:rsid w:val="00E07B77"/>
    <w:rsid w:val="00E171D6"/>
    <w:rsid w:val="00E20554"/>
    <w:rsid w:val="00E2185F"/>
    <w:rsid w:val="00E23859"/>
    <w:rsid w:val="00E2387B"/>
    <w:rsid w:val="00E2663C"/>
    <w:rsid w:val="00E30A86"/>
    <w:rsid w:val="00E34A0B"/>
    <w:rsid w:val="00E40EDE"/>
    <w:rsid w:val="00E41EE3"/>
    <w:rsid w:val="00E45847"/>
    <w:rsid w:val="00E4644A"/>
    <w:rsid w:val="00E46BBF"/>
    <w:rsid w:val="00E53585"/>
    <w:rsid w:val="00E55741"/>
    <w:rsid w:val="00E57A41"/>
    <w:rsid w:val="00E6070F"/>
    <w:rsid w:val="00E63BEC"/>
    <w:rsid w:val="00E642C6"/>
    <w:rsid w:val="00E66BBA"/>
    <w:rsid w:val="00E74A78"/>
    <w:rsid w:val="00E81177"/>
    <w:rsid w:val="00E8770D"/>
    <w:rsid w:val="00E90C22"/>
    <w:rsid w:val="00E969D2"/>
    <w:rsid w:val="00EA33A5"/>
    <w:rsid w:val="00EB111A"/>
    <w:rsid w:val="00EB2A16"/>
    <w:rsid w:val="00EB3A43"/>
    <w:rsid w:val="00EB5F85"/>
    <w:rsid w:val="00EB7238"/>
    <w:rsid w:val="00ED0609"/>
    <w:rsid w:val="00ED2B24"/>
    <w:rsid w:val="00ED3179"/>
    <w:rsid w:val="00ED4067"/>
    <w:rsid w:val="00EE05ED"/>
    <w:rsid w:val="00EE1AF6"/>
    <w:rsid w:val="00EE6833"/>
    <w:rsid w:val="00EF1660"/>
    <w:rsid w:val="00EF241D"/>
    <w:rsid w:val="00F07BE7"/>
    <w:rsid w:val="00F11CE5"/>
    <w:rsid w:val="00F1727A"/>
    <w:rsid w:val="00F17385"/>
    <w:rsid w:val="00F20535"/>
    <w:rsid w:val="00F221C6"/>
    <w:rsid w:val="00F23381"/>
    <w:rsid w:val="00F2603C"/>
    <w:rsid w:val="00F305C4"/>
    <w:rsid w:val="00F32EDD"/>
    <w:rsid w:val="00F334BA"/>
    <w:rsid w:val="00F33C9C"/>
    <w:rsid w:val="00F367E1"/>
    <w:rsid w:val="00F4071F"/>
    <w:rsid w:val="00F42D64"/>
    <w:rsid w:val="00F43BBB"/>
    <w:rsid w:val="00F44180"/>
    <w:rsid w:val="00F50DD3"/>
    <w:rsid w:val="00F54BEE"/>
    <w:rsid w:val="00F5718A"/>
    <w:rsid w:val="00F57199"/>
    <w:rsid w:val="00F6423D"/>
    <w:rsid w:val="00F65C4E"/>
    <w:rsid w:val="00F6740A"/>
    <w:rsid w:val="00F724D1"/>
    <w:rsid w:val="00F72650"/>
    <w:rsid w:val="00F7283B"/>
    <w:rsid w:val="00F72EA7"/>
    <w:rsid w:val="00F747FC"/>
    <w:rsid w:val="00F7704B"/>
    <w:rsid w:val="00F85253"/>
    <w:rsid w:val="00F855CF"/>
    <w:rsid w:val="00F86EC3"/>
    <w:rsid w:val="00F8773C"/>
    <w:rsid w:val="00F9204E"/>
    <w:rsid w:val="00F941EF"/>
    <w:rsid w:val="00FA5896"/>
    <w:rsid w:val="00FA5FCE"/>
    <w:rsid w:val="00FA734E"/>
    <w:rsid w:val="00FB2442"/>
    <w:rsid w:val="00FB3A2D"/>
    <w:rsid w:val="00FB3D6A"/>
    <w:rsid w:val="00FB4C1C"/>
    <w:rsid w:val="00FB6999"/>
    <w:rsid w:val="00FC0999"/>
    <w:rsid w:val="00FC1625"/>
    <w:rsid w:val="00FD11B6"/>
    <w:rsid w:val="00FD133D"/>
    <w:rsid w:val="00FD436A"/>
    <w:rsid w:val="00FD6062"/>
    <w:rsid w:val="00FE1019"/>
    <w:rsid w:val="00FE41D9"/>
    <w:rsid w:val="00FE5130"/>
    <w:rsid w:val="00FE6DF3"/>
    <w:rsid w:val="00FE71B4"/>
    <w:rsid w:val="00FF0488"/>
    <w:rsid w:val="00FF0CC3"/>
    <w:rsid w:val="00FF0E29"/>
    <w:rsid w:val="00FF25DA"/>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817BD"/>
  <w15:chartTrackingRefBased/>
  <w15:docId w15:val="{50213DCA-EBD9-42A0-A24B-7A5AB05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2C"/>
    <w:pPr>
      <w:spacing w:after="120" w:line="276"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01267D"/>
    <w:pPr>
      <w:spacing w:after="0" w:line="240" w:lineRule="auto"/>
      <w:ind w:left="720"/>
      <w:jc w:val="left"/>
    </w:pPr>
    <w:rPr>
      <w:rFonts w:cs="Times New Roman"/>
      <w:szCs w:val="24"/>
    </w:rPr>
  </w:style>
  <w:style w:type="paragraph" w:styleId="FootnoteText">
    <w:name w:val="footnote text"/>
    <w:basedOn w:val="Normal"/>
    <w:link w:val="FootnoteTextChar"/>
    <w:uiPriority w:val="99"/>
    <w:unhideWhenUsed/>
    <w:rsid w:val="0042771D"/>
    <w:pPr>
      <w:spacing w:after="0" w:line="240" w:lineRule="auto"/>
    </w:pPr>
    <w:rPr>
      <w:sz w:val="20"/>
      <w:szCs w:val="20"/>
    </w:rPr>
  </w:style>
  <w:style w:type="character" w:customStyle="1" w:styleId="FootnoteTextChar">
    <w:name w:val="Footnote Text Char"/>
    <w:basedOn w:val="DefaultParagraphFont"/>
    <w:link w:val="FootnoteText"/>
    <w:uiPriority w:val="99"/>
    <w:rsid w:val="0042771D"/>
    <w:rPr>
      <w:rFonts w:ascii="Times New Roman" w:hAnsi="Times New Roman"/>
      <w:sz w:val="20"/>
      <w:szCs w:val="20"/>
    </w:rPr>
  </w:style>
  <w:style w:type="character" w:styleId="FootnoteReference">
    <w:name w:val="footnote reference"/>
    <w:basedOn w:val="DefaultParagraphFont"/>
    <w:uiPriority w:val="99"/>
    <w:unhideWhenUsed/>
    <w:rsid w:val="0042771D"/>
    <w:rPr>
      <w:vertAlign w:val="superscript"/>
    </w:rPr>
  </w:style>
  <w:style w:type="character" w:styleId="Hyperlink">
    <w:name w:val="Hyperlink"/>
    <w:basedOn w:val="DefaultParagraphFont"/>
    <w:uiPriority w:val="99"/>
    <w:unhideWhenUsed/>
    <w:rsid w:val="00BB5882"/>
    <w:rPr>
      <w:color w:val="0563C1" w:themeColor="hyperlink"/>
      <w:u w:val="single"/>
    </w:rPr>
  </w:style>
  <w:style w:type="paragraph" w:styleId="ListParagraph">
    <w:name w:val="List Paragraph"/>
    <w:basedOn w:val="Normal"/>
    <w:uiPriority w:val="34"/>
    <w:qFormat/>
    <w:rsid w:val="00DB0CB6"/>
    <w:pPr>
      <w:ind w:left="720"/>
      <w:contextualSpacing/>
    </w:pPr>
  </w:style>
  <w:style w:type="paragraph" w:styleId="Title">
    <w:name w:val="Title"/>
    <w:basedOn w:val="Normal"/>
    <w:link w:val="TitleChar"/>
    <w:qFormat/>
    <w:rsid w:val="00CF7776"/>
    <w:pPr>
      <w:spacing w:after="0" w:line="240" w:lineRule="auto"/>
      <w:jc w:val="center"/>
    </w:pPr>
    <w:rPr>
      <w:rFonts w:eastAsia="Times New Roman" w:cs="Times New Roman"/>
      <w:szCs w:val="20"/>
    </w:rPr>
  </w:style>
  <w:style w:type="character" w:customStyle="1" w:styleId="TitleChar">
    <w:name w:val="Title Char"/>
    <w:basedOn w:val="DefaultParagraphFont"/>
    <w:link w:val="Title"/>
    <w:rsid w:val="00CF7776"/>
    <w:rPr>
      <w:rFonts w:ascii="Times New Roman" w:eastAsia="Times New Roman" w:hAnsi="Times New Roman" w:cs="Times New Roman"/>
      <w:sz w:val="24"/>
      <w:szCs w:val="20"/>
    </w:rPr>
  </w:style>
  <w:style w:type="paragraph" w:styleId="Caption">
    <w:name w:val="caption"/>
    <w:basedOn w:val="Normal"/>
    <w:next w:val="Normal"/>
    <w:qFormat/>
    <w:rsid w:val="00CF7776"/>
    <w:pPr>
      <w:spacing w:after="0" w:line="240" w:lineRule="auto"/>
      <w:jc w:val="center"/>
    </w:pPr>
    <w:rPr>
      <w:rFonts w:eastAsia="Times New Roman" w:cs="Times New Roman"/>
      <w:b/>
      <w:szCs w:val="20"/>
    </w:rPr>
  </w:style>
  <w:style w:type="paragraph" w:styleId="BalloonText">
    <w:name w:val="Balloon Text"/>
    <w:basedOn w:val="Normal"/>
    <w:link w:val="BalloonTextChar"/>
    <w:uiPriority w:val="99"/>
    <w:semiHidden/>
    <w:unhideWhenUsed/>
    <w:rsid w:val="00CF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76"/>
    <w:rPr>
      <w:rFonts w:ascii="Segoe UI" w:hAnsi="Segoe UI" w:cs="Segoe UI"/>
      <w:sz w:val="18"/>
      <w:szCs w:val="18"/>
    </w:rPr>
  </w:style>
  <w:style w:type="paragraph" w:styleId="Header">
    <w:name w:val="header"/>
    <w:basedOn w:val="Normal"/>
    <w:link w:val="HeaderChar"/>
    <w:uiPriority w:val="99"/>
    <w:unhideWhenUsed/>
    <w:rsid w:val="00C7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1A"/>
    <w:rPr>
      <w:rFonts w:ascii="Times New Roman" w:hAnsi="Times New Roman"/>
      <w:sz w:val="24"/>
    </w:rPr>
  </w:style>
  <w:style w:type="paragraph" w:styleId="Footer">
    <w:name w:val="footer"/>
    <w:basedOn w:val="Normal"/>
    <w:link w:val="FooterChar"/>
    <w:uiPriority w:val="99"/>
    <w:unhideWhenUsed/>
    <w:rsid w:val="00C7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1A"/>
    <w:rPr>
      <w:rFonts w:ascii="Times New Roman" w:hAnsi="Times New Roman"/>
      <w:sz w:val="24"/>
    </w:rPr>
  </w:style>
  <w:style w:type="character" w:styleId="CommentReference">
    <w:name w:val="annotation reference"/>
    <w:basedOn w:val="DefaultParagraphFont"/>
    <w:uiPriority w:val="99"/>
    <w:semiHidden/>
    <w:unhideWhenUsed/>
    <w:rsid w:val="00525872"/>
    <w:rPr>
      <w:sz w:val="16"/>
      <w:szCs w:val="16"/>
    </w:rPr>
  </w:style>
  <w:style w:type="paragraph" w:styleId="CommentText">
    <w:name w:val="annotation text"/>
    <w:basedOn w:val="Normal"/>
    <w:link w:val="CommentTextChar"/>
    <w:uiPriority w:val="99"/>
    <w:unhideWhenUsed/>
    <w:rsid w:val="00525872"/>
    <w:pPr>
      <w:spacing w:line="240" w:lineRule="auto"/>
    </w:pPr>
    <w:rPr>
      <w:sz w:val="20"/>
      <w:szCs w:val="20"/>
    </w:rPr>
  </w:style>
  <w:style w:type="character" w:customStyle="1" w:styleId="CommentTextChar">
    <w:name w:val="Comment Text Char"/>
    <w:basedOn w:val="DefaultParagraphFont"/>
    <w:link w:val="CommentText"/>
    <w:uiPriority w:val="99"/>
    <w:rsid w:val="005258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5872"/>
    <w:rPr>
      <w:b/>
      <w:bCs/>
    </w:rPr>
  </w:style>
  <w:style w:type="character" w:customStyle="1" w:styleId="CommentSubjectChar">
    <w:name w:val="Comment Subject Char"/>
    <w:basedOn w:val="CommentTextChar"/>
    <w:link w:val="CommentSubject"/>
    <w:uiPriority w:val="99"/>
    <w:semiHidden/>
    <w:rsid w:val="00525872"/>
    <w:rPr>
      <w:rFonts w:ascii="Times New Roman" w:hAnsi="Times New Roman"/>
      <w:b/>
      <w:bCs/>
      <w:sz w:val="20"/>
      <w:szCs w:val="20"/>
    </w:rPr>
  </w:style>
  <w:style w:type="paragraph" w:styleId="BodyText">
    <w:name w:val="Body Text"/>
    <w:basedOn w:val="Normal"/>
    <w:link w:val="BodyTextChar"/>
    <w:rsid w:val="00B62D71"/>
    <w:pPr>
      <w:spacing w:after="0" w:line="480" w:lineRule="auto"/>
    </w:pPr>
    <w:rPr>
      <w:rFonts w:eastAsia="Times New Roman" w:cs="Times New Roman"/>
      <w:szCs w:val="20"/>
    </w:rPr>
  </w:style>
  <w:style w:type="character" w:customStyle="1" w:styleId="BodyTextChar">
    <w:name w:val="Body Text Char"/>
    <w:basedOn w:val="DefaultParagraphFont"/>
    <w:link w:val="BodyText"/>
    <w:rsid w:val="00B62D71"/>
    <w:rPr>
      <w:rFonts w:ascii="Times New Roman" w:eastAsia="Times New Roman" w:hAnsi="Times New Roman" w:cs="Times New Roman"/>
      <w:sz w:val="24"/>
      <w:szCs w:val="20"/>
    </w:rPr>
  </w:style>
  <w:style w:type="paragraph" w:styleId="Signature">
    <w:name w:val="Signature"/>
    <w:basedOn w:val="Normal"/>
    <w:link w:val="SignatureChar"/>
    <w:rsid w:val="00B62D71"/>
    <w:pPr>
      <w:keepNext/>
      <w:keepLines/>
      <w:tabs>
        <w:tab w:val="right" w:pos="9360"/>
      </w:tabs>
      <w:spacing w:after="0" w:line="240" w:lineRule="auto"/>
      <w:ind w:left="4680"/>
      <w:jc w:val="left"/>
    </w:pPr>
    <w:rPr>
      <w:rFonts w:eastAsia="MS Mincho" w:cs="Times New Roman"/>
      <w:szCs w:val="20"/>
    </w:rPr>
  </w:style>
  <w:style w:type="character" w:customStyle="1" w:styleId="SignatureChar">
    <w:name w:val="Signature Char"/>
    <w:basedOn w:val="DefaultParagraphFont"/>
    <w:link w:val="Signature"/>
    <w:rsid w:val="00B62D71"/>
    <w:rPr>
      <w:rFonts w:ascii="Times New Roman" w:eastAsia="MS Mincho" w:hAnsi="Times New Roman" w:cs="Times New Roman"/>
      <w:sz w:val="24"/>
      <w:szCs w:val="20"/>
    </w:rPr>
  </w:style>
  <w:style w:type="character" w:customStyle="1" w:styleId="UnresolvedMention1">
    <w:name w:val="Unresolved Mention1"/>
    <w:basedOn w:val="DefaultParagraphFont"/>
    <w:uiPriority w:val="99"/>
    <w:semiHidden/>
    <w:unhideWhenUsed/>
    <w:rsid w:val="00360F5D"/>
    <w:rPr>
      <w:color w:val="605E5C"/>
      <w:shd w:val="clear" w:color="auto" w:fill="E1DFDD"/>
    </w:rPr>
  </w:style>
  <w:style w:type="table" w:styleId="TableGrid">
    <w:name w:val="Table Grid"/>
    <w:basedOn w:val="TableNormal"/>
    <w:uiPriority w:val="39"/>
    <w:rsid w:val="00D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07819"/>
    <w:pPr>
      <w:spacing w:after="0" w:line="240" w:lineRule="auto"/>
      <w:jc w:val="left"/>
    </w:pPr>
    <w:rPr>
      <w:rFonts w:ascii="Calibri" w:hAnsi="Calibri" w:cs="Calibri"/>
      <w:sz w:val="22"/>
    </w:rPr>
  </w:style>
  <w:style w:type="character" w:styleId="FollowedHyperlink">
    <w:name w:val="FollowedHyperlink"/>
    <w:basedOn w:val="DefaultParagraphFont"/>
    <w:uiPriority w:val="99"/>
    <w:semiHidden/>
    <w:unhideWhenUsed/>
    <w:rsid w:val="008E537E"/>
    <w:rPr>
      <w:color w:val="954F72" w:themeColor="followedHyperlink"/>
      <w:u w:val="single"/>
    </w:rPr>
  </w:style>
  <w:style w:type="paragraph" w:styleId="Revision">
    <w:name w:val="Revision"/>
    <w:hidden/>
    <w:uiPriority w:val="99"/>
    <w:semiHidden/>
    <w:rsid w:val="006D70F5"/>
    <w:pPr>
      <w:spacing w:after="0" w:line="240" w:lineRule="auto"/>
    </w:pPr>
    <w:rPr>
      <w:rFonts w:ascii="Times New Roman" w:hAnsi="Times New Roman"/>
      <w:sz w:val="24"/>
    </w:rPr>
  </w:style>
  <w:style w:type="paragraph" w:customStyle="1" w:styleId="Default">
    <w:name w:val="Default"/>
    <w:rsid w:val="0084153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57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7685">
      <w:bodyDiv w:val="1"/>
      <w:marLeft w:val="0"/>
      <w:marRight w:val="0"/>
      <w:marTop w:val="0"/>
      <w:marBottom w:val="0"/>
      <w:divBdr>
        <w:top w:val="none" w:sz="0" w:space="0" w:color="auto"/>
        <w:left w:val="none" w:sz="0" w:space="0" w:color="auto"/>
        <w:bottom w:val="none" w:sz="0" w:space="0" w:color="auto"/>
        <w:right w:val="none" w:sz="0" w:space="0" w:color="auto"/>
      </w:divBdr>
      <w:divsChild>
        <w:div w:id="728576107">
          <w:marLeft w:val="274"/>
          <w:marRight w:val="0"/>
          <w:marTop w:val="150"/>
          <w:marBottom w:val="0"/>
          <w:divBdr>
            <w:top w:val="none" w:sz="0" w:space="0" w:color="auto"/>
            <w:left w:val="none" w:sz="0" w:space="0" w:color="auto"/>
            <w:bottom w:val="none" w:sz="0" w:space="0" w:color="auto"/>
            <w:right w:val="none" w:sz="0" w:space="0" w:color="auto"/>
          </w:divBdr>
        </w:div>
      </w:divsChild>
    </w:div>
    <w:div w:id="298075943">
      <w:bodyDiv w:val="1"/>
      <w:marLeft w:val="0"/>
      <w:marRight w:val="0"/>
      <w:marTop w:val="0"/>
      <w:marBottom w:val="0"/>
      <w:divBdr>
        <w:top w:val="none" w:sz="0" w:space="0" w:color="auto"/>
        <w:left w:val="none" w:sz="0" w:space="0" w:color="auto"/>
        <w:bottom w:val="none" w:sz="0" w:space="0" w:color="auto"/>
        <w:right w:val="none" w:sz="0" w:space="0" w:color="auto"/>
      </w:divBdr>
    </w:div>
    <w:div w:id="399787026">
      <w:bodyDiv w:val="1"/>
      <w:marLeft w:val="0"/>
      <w:marRight w:val="0"/>
      <w:marTop w:val="0"/>
      <w:marBottom w:val="0"/>
      <w:divBdr>
        <w:top w:val="none" w:sz="0" w:space="0" w:color="auto"/>
        <w:left w:val="none" w:sz="0" w:space="0" w:color="auto"/>
        <w:bottom w:val="none" w:sz="0" w:space="0" w:color="auto"/>
        <w:right w:val="none" w:sz="0" w:space="0" w:color="auto"/>
      </w:divBdr>
    </w:div>
    <w:div w:id="615479607">
      <w:bodyDiv w:val="1"/>
      <w:marLeft w:val="0"/>
      <w:marRight w:val="0"/>
      <w:marTop w:val="0"/>
      <w:marBottom w:val="0"/>
      <w:divBdr>
        <w:top w:val="none" w:sz="0" w:space="0" w:color="auto"/>
        <w:left w:val="none" w:sz="0" w:space="0" w:color="auto"/>
        <w:bottom w:val="none" w:sz="0" w:space="0" w:color="auto"/>
        <w:right w:val="none" w:sz="0" w:space="0" w:color="auto"/>
      </w:divBdr>
    </w:div>
    <w:div w:id="892234813">
      <w:bodyDiv w:val="1"/>
      <w:marLeft w:val="0"/>
      <w:marRight w:val="0"/>
      <w:marTop w:val="0"/>
      <w:marBottom w:val="0"/>
      <w:divBdr>
        <w:top w:val="none" w:sz="0" w:space="0" w:color="auto"/>
        <w:left w:val="none" w:sz="0" w:space="0" w:color="auto"/>
        <w:bottom w:val="none" w:sz="0" w:space="0" w:color="auto"/>
        <w:right w:val="none" w:sz="0" w:space="0" w:color="auto"/>
      </w:divBdr>
    </w:div>
    <w:div w:id="1007172016">
      <w:bodyDiv w:val="1"/>
      <w:marLeft w:val="0"/>
      <w:marRight w:val="0"/>
      <w:marTop w:val="0"/>
      <w:marBottom w:val="0"/>
      <w:divBdr>
        <w:top w:val="none" w:sz="0" w:space="0" w:color="auto"/>
        <w:left w:val="none" w:sz="0" w:space="0" w:color="auto"/>
        <w:bottom w:val="none" w:sz="0" w:space="0" w:color="auto"/>
        <w:right w:val="none" w:sz="0" w:space="0" w:color="auto"/>
      </w:divBdr>
    </w:div>
    <w:div w:id="1134443735">
      <w:bodyDiv w:val="1"/>
      <w:marLeft w:val="0"/>
      <w:marRight w:val="0"/>
      <w:marTop w:val="0"/>
      <w:marBottom w:val="0"/>
      <w:divBdr>
        <w:top w:val="none" w:sz="0" w:space="0" w:color="auto"/>
        <w:left w:val="none" w:sz="0" w:space="0" w:color="auto"/>
        <w:bottom w:val="none" w:sz="0" w:space="0" w:color="auto"/>
        <w:right w:val="none" w:sz="0" w:space="0" w:color="auto"/>
      </w:divBdr>
    </w:div>
    <w:div w:id="1305158317">
      <w:bodyDiv w:val="1"/>
      <w:marLeft w:val="0"/>
      <w:marRight w:val="0"/>
      <w:marTop w:val="0"/>
      <w:marBottom w:val="0"/>
      <w:divBdr>
        <w:top w:val="none" w:sz="0" w:space="0" w:color="auto"/>
        <w:left w:val="none" w:sz="0" w:space="0" w:color="auto"/>
        <w:bottom w:val="none" w:sz="0" w:space="0" w:color="auto"/>
        <w:right w:val="none" w:sz="0" w:space="0" w:color="auto"/>
      </w:divBdr>
      <w:divsChild>
        <w:div w:id="476848234">
          <w:marLeft w:val="374"/>
          <w:marRight w:val="0"/>
          <w:marTop w:val="0"/>
          <w:marBottom w:val="0"/>
          <w:divBdr>
            <w:top w:val="none" w:sz="0" w:space="0" w:color="auto"/>
            <w:left w:val="none" w:sz="0" w:space="0" w:color="auto"/>
            <w:bottom w:val="none" w:sz="0" w:space="0" w:color="auto"/>
            <w:right w:val="none" w:sz="0" w:space="0" w:color="auto"/>
          </w:divBdr>
        </w:div>
        <w:div w:id="884218209">
          <w:marLeft w:val="821"/>
          <w:marRight w:val="0"/>
          <w:marTop w:val="0"/>
          <w:marBottom w:val="0"/>
          <w:divBdr>
            <w:top w:val="none" w:sz="0" w:space="0" w:color="auto"/>
            <w:left w:val="none" w:sz="0" w:space="0" w:color="auto"/>
            <w:bottom w:val="none" w:sz="0" w:space="0" w:color="auto"/>
            <w:right w:val="none" w:sz="0" w:space="0" w:color="auto"/>
          </w:divBdr>
        </w:div>
        <w:div w:id="1048645922">
          <w:marLeft w:val="821"/>
          <w:marRight w:val="0"/>
          <w:marTop w:val="0"/>
          <w:marBottom w:val="0"/>
          <w:divBdr>
            <w:top w:val="none" w:sz="0" w:space="0" w:color="auto"/>
            <w:left w:val="none" w:sz="0" w:space="0" w:color="auto"/>
            <w:bottom w:val="none" w:sz="0" w:space="0" w:color="auto"/>
            <w:right w:val="none" w:sz="0" w:space="0" w:color="auto"/>
          </w:divBdr>
        </w:div>
        <w:div w:id="1699744021">
          <w:marLeft w:val="374"/>
          <w:marRight w:val="0"/>
          <w:marTop w:val="0"/>
          <w:marBottom w:val="0"/>
          <w:divBdr>
            <w:top w:val="none" w:sz="0" w:space="0" w:color="auto"/>
            <w:left w:val="none" w:sz="0" w:space="0" w:color="auto"/>
            <w:bottom w:val="none" w:sz="0" w:space="0" w:color="auto"/>
            <w:right w:val="none" w:sz="0" w:space="0" w:color="auto"/>
          </w:divBdr>
        </w:div>
        <w:div w:id="1333601023">
          <w:marLeft w:val="821"/>
          <w:marRight w:val="0"/>
          <w:marTop w:val="0"/>
          <w:marBottom w:val="0"/>
          <w:divBdr>
            <w:top w:val="none" w:sz="0" w:space="0" w:color="auto"/>
            <w:left w:val="none" w:sz="0" w:space="0" w:color="auto"/>
            <w:bottom w:val="none" w:sz="0" w:space="0" w:color="auto"/>
            <w:right w:val="none" w:sz="0" w:space="0" w:color="auto"/>
          </w:divBdr>
        </w:div>
        <w:div w:id="1752896087">
          <w:marLeft w:val="821"/>
          <w:marRight w:val="0"/>
          <w:marTop w:val="0"/>
          <w:marBottom w:val="0"/>
          <w:divBdr>
            <w:top w:val="none" w:sz="0" w:space="0" w:color="auto"/>
            <w:left w:val="none" w:sz="0" w:space="0" w:color="auto"/>
            <w:bottom w:val="none" w:sz="0" w:space="0" w:color="auto"/>
            <w:right w:val="none" w:sz="0" w:space="0" w:color="auto"/>
          </w:divBdr>
        </w:div>
        <w:div w:id="1994291397">
          <w:marLeft w:val="821"/>
          <w:marRight w:val="0"/>
          <w:marTop w:val="0"/>
          <w:marBottom w:val="0"/>
          <w:divBdr>
            <w:top w:val="none" w:sz="0" w:space="0" w:color="auto"/>
            <w:left w:val="none" w:sz="0" w:space="0" w:color="auto"/>
            <w:bottom w:val="none" w:sz="0" w:space="0" w:color="auto"/>
            <w:right w:val="none" w:sz="0" w:space="0" w:color="auto"/>
          </w:divBdr>
        </w:div>
      </w:divsChild>
    </w:div>
    <w:div w:id="20156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interchange.puc.texas.gov/Documents/55566_23_13378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EB27-6C5E-49FC-A46A-45C6593B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2321</Words>
  <Characters>13230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Calpine</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Schleimer</dc:creator>
  <cp:keywords/>
  <dc:description/>
  <cp:lastModifiedBy>TCPA - TX Competitive Power Advocates</cp:lastModifiedBy>
  <cp:revision>2</cp:revision>
  <cp:lastPrinted>2023-10-13T15:50:00Z</cp:lastPrinted>
  <dcterms:created xsi:type="dcterms:W3CDTF">2024-01-04T17:15:00Z</dcterms:created>
  <dcterms:modified xsi:type="dcterms:W3CDTF">2024-01-04T17:15:00Z</dcterms:modified>
</cp:coreProperties>
</file>