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D45DD" w14:textId="162049D6" w:rsidR="00FF5059" w:rsidRPr="00717DCD" w:rsidRDefault="001B5E4A" w:rsidP="00B22487">
      <w:pPr>
        <w:pStyle w:val="Title"/>
        <w:rPr>
          <w:b/>
          <w:szCs w:val="24"/>
        </w:rPr>
      </w:pPr>
      <w:r w:rsidRPr="00717DCD">
        <w:rPr>
          <w:b/>
          <w:szCs w:val="24"/>
        </w:rPr>
        <w:t>PUC PROJECT NO. 55566</w:t>
      </w:r>
    </w:p>
    <w:p w14:paraId="31DDE53C" w14:textId="77777777" w:rsidR="00FF5059" w:rsidRPr="00717DCD" w:rsidRDefault="00FF5059" w:rsidP="00B22487">
      <w:pPr>
        <w:pStyle w:val="Title"/>
        <w:rPr>
          <w:b/>
          <w:szCs w:val="24"/>
        </w:rPr>
      </w:pPr>
    </w:p>
    <w:tbl>
      <w:tblPr>
        <w:tblW w:w="9375" w:type="dxa"/>
        <w:tblLook w:val="04A0" w:firstRow="1" w:lastRow="0" w:firstColumn="1" w:lastColumn="0" w:noHBand="0" w:noVBand="1"/>
      </w:tblPr>
      <w:tblGrid>
        <w:gridCol w:w="4247"/>
        <w:gridCol w:w="989"/>
        <w:gridCol w:w="4139"/>
      </w:tblGrid>
      <w:tr w:rsidR="00FF5059" w:rsidRPr="00D11A78" w14:paraId="672ADAD5" w14:textId="77777777" w:rsidTr="00DB5962">
        <w:trPr>
          <w:trHeight w:val="722"/>
        </w:trPr>
        <w:tc>
          <w:tcPr>
            <w:tcW w:w="4247" w:type="dxa"/>
            <w:shd w:val="clear" w:color="auto" w:fill="auto"/>
          </w:tcPr>
          <w:p w14:paraId="5B6A906F" w14:textId="77777777" w:rsidR="00FF5059" w:rsidRPr="00717DCD" w:rsidRDefault="001B5E4A" w:rsidP="00B22487">
            <w:pPr>
              <w:pStyle w:val="Title"/>
              <w:jc w:val="left"/>
              <w:rPr>
                <w:b/>
                <w:szCs w:val="24"/>
              </w:rPr>
            </w:pPr>
            <w:r w:rsidRPr="00717DCD">
              <w:rPr>
                <w:b/>
                <w:szCs w:val="24"/>
              </w:rPr>
              <w:t>GENERATION INTERCONNECTION</w:t>
            </w:r>
          </w:p>
          <w:p w14:paraId="28B0003F" w14:textId="70FBFD7B" w:rsidR="001B5E4A" w:rsidRPr="00717DCD" w:rsidRDefault="001B5E4A" w:rsidP="00B22487">
            <w:pPr>
              <w:pStyle w:val="Title"/>
              <w:jc w:val="left"/>
              <w:rPr>
                <w:b/>
                <w:szCs w:val="24"/>
              </w:rPr>
            </w:pPr>
            <w:r w:rsidRPr="00717DCD">
              <w:rPr>
                <w:b/>
                <w:szCs w:val="24"/>
              </w:rPr>
              <w:t>ALLOWANCE</w:t>
            </w:r>
          </w:p>
        </w:tc>
        <w:tc>
          <w:tcPr>
            <w:tcW w:w="989" w:type="dxa"/>
            <w:shd w:val="clear" w:color="auto" w:fill="auto"/>
          </w:tcPr>
          <w:p w14:paraId="03063560" w14:textId="77777777" w:rsidR="00FF5059" w:rsidRPr="00717DCD" w:rsidRDefault="00FF5059" w:rsidP="00B22487">
            <w:pPr>
              <w:pStyle w:val="Title"/>
              <w:rPr>
                <w:b/>
                <w:szCs w:val="24"/>
              </w:rPr>
            </w:pPr>
            <w:r w:rsidRPr="00717DCD">
              <w:rPr>
                <w:b/>
                <w:szCs w:val="24"/>
              </w:rPr>
              <w:t>§</w:t>
            </w:r>
          </w:p>
          <w:p w14:paraId="203A581A" w14:textId="77777777" w:rsidR="00FF5059" w:rsidRPr="00717DCD" w:rsidRDefault="00FF5059" w:rsidP="00B22487">
            <w:pPr>
              <w:pStyle w:val="Title"/>
              <w:rPr>
                <w:b/>
                <w:szCs w:val="24"/>
              </w:rPr>
            </w:pPr>
            <w:r w:rsidRPr="00717DCD">
              <w:rPr>
                <w:b/>
                <w:szCs w:val="24"/>
              </w:rPr>
              <w:t>§</w:t>
            </w:r>
          </w:p>
        </w:tc>
        <w:tc>
          <w:tcPr>
            <w:tcW w:w="4139" w:type="dxa"/>
            <w:shd w:val="clear" w:color="auto" w:fill="auto"/>
          </w:tcPr>
          <w:p w14:paraId="7952A813" w14:textId="77777777" w:rsidR="00FF5059" w:rsidRPr="00717DCD" w:rsidRDefault="00FF5059" w:rsidP="00B22487">
            <w:pPr>
              <w:pStyle w:val="Title"/>
              <w:rPr>
                <w:b/>
                <w:szCs w:val="24"/>
              </w:rPr>
            </w:pPr>
            <w:r w:rsidRPr="00717DCD">
              <w:rPr>
                <w:b/>
                <w:szCs w:val="24"/>
              </w:rPr>
              <w:t>PUBLIC UTILITY COMMISSION</w:t>
            </w:r>
          </w:p>
          <w:p w14:paraId="7306CE72" w14:textId="77777777" w:rsidR="00FF5059" w:rsidRPr="00717DCD" w:rsidRDefault="00FF5059" w:rsidP="00B22487">
            <w:pPr>
              <w:pStyle w:val="Title"/>
              <w:rPr>
                <w:b/>
                <w:szCs w:val="24"/>
              </w:rPr>
            </w:pPr>
            <w:r w:rsidRPr="00717DCD">
              <w:rPr>
                <w:b/>
                <w:szCs w:val="24"/>
              </w:rPr>
              <w:t>OF TEXAS</w:t>
            </w:r>
          </w:p>
        </w:tc>
      </w:tr>
    </w:tbl>
    <w:p w14:paraId="7219FB1D" w14:textId="77777777" w:rsidR="00CF7776" w:rsidRPr="00717DCD" w:rsidRDefault="00CF7776" w:rsidP="00B22487">
      <w:pPr>
        <w:pStyle w:val="Caption"/>
        <w:ind w:right="-270"/>
        <w:jc w:val="both"/>
        <w:rPr>
          <w:szCs w:val="24"/>
        </w:rPr>
      </w:pPr>
    </w:p>
    <w:p w14:paraId="69C36A4A" w14:textId="2FC06469" w:rsidR="00CF7776" w:rsidRPr="00717DCD" w:rsidRDefault="00552F98" w:rsidP="00B22487">
      <w:pPr>
        <w:pStyle w:val="Caption"/>
        <w:ind w:right="-270"/>
        <w:rPr>
          <w:caps/>
          <w:szCs w:val="24"/>
          <w:u w:val="single"/>
        </w:rPr>
      </w:pPr>
      <w:r w:rsidRPr="00717DCD">
        <w:rPr>
          <w:caps/>
          <w:szCs w:val="24"/>
          <w:u w:val="single"/>
        </w:rPr>
        <w:t>TCPA’s</w:t>
      </w:r>
      <w:r w:rsidR="00CF7776" w:rsidRPr="00717DCD">
        <w:rPr>
          <w:caps/>
          <w:szCs w:val="24"/>
          <w:u w:val="single"/>
        </w:rPr>
        <w:t xml:space="preserve"> </w:t>
      </w:r>
      <w:r w:rsidR="00CB4E3F">
        <w:rPr>
          <w:caps/>
          <w:szCs w:val="24"/>
          <w:u w:val="single"/>
        </w:rPr>
        <w:t xml:space="preserve">REPLY </w:t>
      </w:r>
      <w:r w:rsidR="004D3E50" w:rsidRPr="00717DCD">
        <w:rPr>
          <w:caps/>
          <w:szCs w:val="24"/>
          <w:u w:val="single"/>
        </w:rPr>
        <w:t xml:space="preserve">COMMENTS </w:t>
      </w:r>
      <w:r w:rsidR="009A6E92" w:rsidRPr="00717DCD">
        <w:rPr>
          <w:caps/>
          <w:szCs w:val="24"/>
          <w:u w:val="single"/>
        </w:rPr>
        <w:t xml:space="preserve">ON PROPOSAL FOR PUBLICATION (PFP) </w:t>
      </w:r>
    </w:p>
    <w:p w14:paraId="08D18250" w14:textId="50544C67" w:rsidR="00CF7776" w:rsidRPr="00717DCD" w:rsidRDefault="00CF7776" w:rsidP="00B22487">
      <w:pPr>
        <w:spacing w:after="0" w:line="480" w:lineRule="auto"/>
        <w:jc w:val="center"/>
        <w:rPr>
          <w:rFonts w:cs="Times New Roman"/>
          <w:szCs w:val="24"/>
        </w:rPr>
      </w:pPr>
    </w:p>
    <w:p w14:paraId="71FAB065" w14:textId="32E2903F" w:rsidR="00D71501" w:rsidRPr="00D11A78" w:rsidRDefault="00552F98" w:rsidP="00A53E86">
      <w:pPr>
        <w:spacing w:line="480" w:lineRule="auto"/>
        <w:ind w:firstLine="360"/>
        <w:rPr>
          <w:rFonts w:cs="Times New Roman"/>
          <w:szCs w:val="24"/>
        </w:rPr>
      </w:pPr>
      <w:r w:rsidRPr="00D11A78">
        <w:rPr>
          <w:rFonts w:cs="Times New Roman"/>
          <w:szCs w:val="24"/>
        </w:rPr>
        <w:t>Texas Competitive Power Advocates (“TCPA”)</w:t>
      </w:r>
      <w:r w:rsidRPr="00D11A78">
        <w:rPr>
          <w:rStyle w:val="FootnoteReference"/>
          <w:rFonts w:cs="Times New Roman"/>
          <w:szCs w:val="24"/>
        </w:rPr>
        <w:footnoteReference w:id="1"/>
      </w:r>
      <w:r w:rsidRPr="00D11A78">
        <w:rPr>
          <w:rFonts w:cs="Times New Roman"/>
          <w:szCs w:val="24"/>
        </w:rPr>
        <w:t xml:space="preserve"> appreciates the opportunity to provide </w:t>
      </w:r>
      <w:r w:rsidR="000B2AE6">
        <w:rPr>
          <w:rFonts w:cs="Times New Roman"/>
          <w:szCs w:val="24"/>
        </w:rPr>
        <w:t xml:space="preserve">reply </w:t>
      </w:r>
      <w:r w:rsidRPr="00D11A78">
        <w:rPr>
          <w:rFonts w:cs="Times New Roman"/>
          <w:szCs w:val="24"/>
        </w:rPr>
        <w:t>comment</w:t>
      </w:r>
      <w:r w:rsidR="00BC1A1E" w:rsidRPr="00D11A78">
        <w:rPr>
          <w:rFonts w:cs="Times New Roman"/>
          <w:szCs w:val="24"/>
        </w:rPr>
        <w:t>s</w:t>
      </w:r>
      <w:r w:rsidRPr="00D11A78">
        <w:rPr>
          <w:rFonts w:cs="Times New Roman"/>
          <w:szCs w:val="24"/>
        </w:rPr>
        <w:t xml:space="preserve"> </w:t>
      </w:r>
      <w:r w:rsidR="009A6E92" w:rsidRPr="00D11A78">
        <w:rPr>
          <w:rFonts w:cs="Times New Roman"/>
          <w:szCs w:val="24"/>
        </w:rPr>
        <w:t xml:space="preserve">on the </w:t>
      </w:r>
      <w:proofErr w:type="spellStart"/>
      <w:r w:rsidR="009A6E92" w:rsidRPr="00D11A78">
        <w:rPr>
          <w:rFonts w:cs="Times New Roman"/>
          <w:szCs w:val="24"/>
        </w:rPr>
        <w:t>PfP</w:t>
      </w:r>
      <w:proofErr w:type="spellEnd"/>
      <w:r w:rsidR="009A6E92" w:rsidRPr="00D11A78">
        <w:rPr>
          <w:rFonts w:cs="Times New Roman"/>
          <w:szCs w:val="24"/>
        </w:rPr>
        <w:t xml:space="preserve"> issued on November 30, </w:t>
      </w:r>
      <w:proofErr w:type="gramStart"/>
      <w:r w:rsidR="009A6E92" w:rsidRPr="00D11A78">
        <w:rPr>
          <w:rFonts w:cs="Times New Roman"/>
          <w:szCs w:val="24"/>
        </w:rPr>
        <w:t>2023</w:t>
      </w:r>
      <w:proofErr w:type="gramEnd"/>
      <w:r w:rsidRPr="00D11A78">
        <w:rPr>
          <w:rFonts w:cs="Times New Roman"/>
          <w:szCs w:val="24"/>
        </w:rPr>
        <w:t xml:space="preserve"> for implementing the generation interconnection allowance as enacted in H</w:t>
      </w:r>
      <w:r w:rsidR="008A34AF" w:rsidRPr="00D11A78">
        <w:rPr>
          <w:rFonts w:cs="Times New Roman"/>
          <w:szCs w:val="24"/>
        </w:rPr>
        <w:t xml:space="preserve">ouse </w:t>
      </w:r>
      <w:r w:rsidRPr="00D11A78">
        <w:rPr>
          <w:rFonts w:cs="Times New Roman"/>
          <w:szCs w:val="24"/>
        </w:rPr>
        <w:t>B</w:t>
      </w:r>
      <w:r w:rsidR="008A34AF" w:rsidRPr="00D11A78">
        <w:rPr>
          <w:rFonts w:cs="Times New Roman"/>
          <w:szCs w:val="24"/>
        </w:rPr>
        <w:t>ill</w:t>
      </w:r>
      <w:r w:rsidRPr="00D11A78">
        <w:rPr>
          <w:rFonts w:cs="Times New Roman"/>
          <w:szCs w:val="24"/>
        </w:rPr>
        <w:t xml:space="preserve"> </w:t>
      </w:r>
      <w:r w:rsidR="008A34AF" w:rsidRPr="00D11A78">
        <w:rPr>
          <w:rFonts w:cs="Times New Roman"/>
          <w:szCs w:val="24"/>
        </w:rPr>
        <w:t>(</w:t>
      </w:r>
      <w:r w:rsidR="00703A87" w:rsidRPr="00D11A78">
        <w:rPr>
          <w:rFonts w:cs="Times New Roman"/>
          <w:szCs w:val="24"/>
        </w:rPr>
        <w:t>“</w:t>
      </w:r>
      <w:r w:rsidR="008A34AF" w:rsidRPr="00D11A78">
        <w:rPr>
          <w:rFonts w:cs="Times New Roman"/>
          <w:szCs w:val="24"/>
        </w:rPr>
        <w:t>HB</w:t>
      </w:r>
      <w:r w:rsidR="00703A87" w:rsidRPr="00D11A78">
        <w:rPr>
          <w:rFonts w:cs="Times New Roman"/>
          <w:szCs w:val="24"/>
        </w:rPr>
        <w:t>”</w:t>
      </w:r>
      <w:r w:rsidR="008A34AF" w:rsidRPr="00D11A78">
        <w:rPr>
          <w:rFonts w:cs="Times New Roman"/>
          <w:szCs w:val="24"/>
        </w:rPr>
        <w:t xml:space="preserve">) </w:t>
      </w:r>
      <w:r w:rsidRPr="00D11A78">
        <w:rPr>
          <w:rFonts w:cs="Times New Roman"/>
          <w:szCs w:val="24"/>
        </w:rPr>
        <w:t>1500, Section 9, 88</w:t>
      </w:r>
      <w:r w:rsidRPr="00D11A78">
        <w:rPr>
          <w:rFonts w:cs="Times New Roman"/>
          <w:szCs w:val="24"/>
          <w:vertAlign w:val="superscript"/>
        </w:rPr>
        <w:t>th</w:t>
      </w:r>
      <w:r w:rsidRPr="00D11A78">
        <w:rPr>
          <w:rFonts w:cs="Times New Roman"/>
          <w:szCs w:val="24"/>
        </w:rPr>
        <w:t xml:space="preserve"> Regular Legislative Session. </w:t>
      </w:r>
      <w:r w:rsidR="002A6CBE" w:rsidRPr="00D2390E">
        <w:rPr>
          <w:rFonts w:cs="Times New Roman"/>
          <w:szCs w:val="24"/>
        </w:rPr>
        <w:t xml:space="preserve">These </w:t>
      </w:r>
      <w:r w:rsidR="000B2AE6">
        <w:rPr>
          <w:rFonts w:cs="Times New Roman"/>
          <w:szCs w:val="24"/>
        </w:rPr>
        <w:t xml:space="preserve">reply </w:t>
      </w:r>
      <w:r w:rsidR="002A6CBE" w:rsidRPr="00D11A78">
        <w:rPr>
          <w:rFonts w:cs="Times New Roman"/>
          <w:szCs w:val="24"/>
        </w:rPr>
        <w:t>c</w:t>
      </w:r>
      <w:r w:rsidR="009A6E92" w:rsidRPr="00D11A78">
        <w:rPr>
          <w:rFonts w:cs="Times New Roman"/>
          <w:szCs w:val="24"/>
        </w:rPr>
        <w:t xml:space="preserve">omments will address </w:t>
      </w:r>
      <w:r w:rsidR="004E0F23" w:rsidRPr="00D11A78">
        <w:rPr>
          <w:rFonts w:cs="Times New Roman"/>
          <w:szCs w:val="24"/>
        </w:rPr>
        <w:t>the following</w:t>
      </w:r>
      <w:r w:rsidR="009A6E92" w:rsidRPr="00D11A78">
        <w:rPr>
          <w:rFonts w:cs="Times New Roman"/>
          <w:szCs w:val="24"/>
        </w:rPr>
        <w:t xml:space="preserve"> </w:t>
      </w:r>
      <w:r w:rsidR="000B2AE6">
        <w:rPr>
          <w:rFonts w:cs="Times New Roman"/>
          <w:szCs w:val="24"/>
        </w:rPr>
        <w:t>recommendations from other participants’ initial comments filed on January 4, 2024: Office of Public Utility Counsel</w:t>
      </w:r>
      <w:r w:rsidR="007C0DFD">
        <w:rPr>
          <w:rFonts w:cs="Times New Roman"/>
          <w:szCs w:val="24"/>
        </w:rPr>
        <w:t>’s</w:t>
      </w:r>
      <w:r w:rsidR="000B2AE6">
        <w:rPr>
          <w:rFonts w:cs="Times New Roman"/>
          <w:szCs w:val="24"/>
        </w:rPr>
        <w:t xml:space="preserve"> (</w:t>
      </w:r>
      <w:r w:rsidR="007C0DFD">
        <w:rPr>
          <w:rFonts w:cs="Times New Roman"/>
          <w:szCs w:val="24"/>
        </w:rPr>
        <w:t>“</w:t>
      </w:r>
      <w:r w:rsidR="000B2AE6">
        <w:rPr>
          <w:rFonts w:cs="Times New Roman"/>
          <w:szCs w:val="24"/>
        </w:rPr>
        <w:t>OPUC</w:t>
      </w:r>
      <w:r w:rsidR="007C0DFD">
        <w:rPr>
          <w:rFonts w:cs="Times New Roman"/>
          <w:szCs w:val="24"/>
        </w:rPr>
        <w:t>”</w:t>
      </w:r>
      <w:r w:rsidR="000B2AE6">
        <w:rPr>
          <w:rFonts w:cs="Times New Roman"/>
          <w:szCs w:val="24"/>
        </w:rPr>
        <w:t>) recommendation to require generators</w:t>
      </w:r>
      <w:r w:rsidR="007C0DFD">
        <w:rPr>
          <w:rFonts w:cs="Times New Roman"/>
          <w:szCs w:val="24"/>
        </w:rPr>
        <w:t xml:space="preserve"> to</w:t>
      </w:r>
      <w:r w:rsidR="000B2AE6">
        <w:rPr>
          <w:rFonts w:cs="Times New Roman"/>
          <w:szCs w:val="24"/>
        </w:rPr>
        <w:t xml:space="preserve"> pay </w:t>
      </w:r>
      <w:r w:rsidR="00832072">
        <w:rPr>
          <w:rFonts w:cs="Times New Roman"/>
          <w:szCs w:val="24"/>
        </w:rPr>
        <w:t>some portion</w:t>
      </w:r>
      <w:r w:rsidR="000B2AE6">
        <w:rPr>
          <w:rFonts w:cs="Times New Roman"/>
          <w:szCs w:val="24"/>
        </w:rPr>
        <w:t xml:space="preserve"> of costs</w:t>
      </w:r>
      <w:r w:rsidR="007C0DFD">
        <w:rPr>
          <w:rFonts w:cs="Times New Roman"/>
          <w:szCs w:val="24"/>
        </w:rPr>
        <w:t xml:space="preserve"> </w:t>
      </w:r>
      <w:r w:rsidR="00832072">
        <w:rPr>
          <w:rFonts w:cs="Times New Roman"/>
          <w:szCs w:val="24"/>
        </w:rPr>
        <w:t>for all interconnections</w:t>
      </w:r>
      <w:r w:rsidR="000B2AE6">
        <w:rPr>
          <w:rFonts w:cs="Times New Roman"/>
          <w:szCs w:val="24"/>
        </w:rPr>
        <w:t>, Texas Solar Power Association</w:t>
      </w:r>
      <w:r w:rsidR="007C0DFD">
        <w:rPr>
          <w:rFonts w:cs="Times New Roman"/>
          <w:szCs w:val="24"/>
        </w:rPr>
        <w:t>’s</w:t>
      </w:r>
      <w:r w:rsidR="000B2AE6">
        <w:rPr>
          <w:rFonts w:cs="Times New Roman"/>
          <w:szCs w:val="24"/>
        </w:rPr>
        <w:t xml:space="preserve"> (</w:t>
      </w:r>
      <w:r w:rsidR="00832072">
        <w:rPr>
          <w:rFonts w:cs="Times New Roman"/>
          <w:szCs w:val="24"/>
        </w:rPr>
        <w:t>“</w:t>
      </w:r>
      <w:r w:rsidR="000B2AE6">
        <w:rPr>
          <w:rFonts w:cs="Times New Roman"/>
          <w:szCs w:val="24"/>
        </w:rPr>
        <w:t>TSPA</w:t>
      </w:r>
      <w:r w:rsidR="00832072">
        <w:rPr>
          <w:rFonts w:cs="Times New Roman"/>
          <w:szCs w:val="24"/>
        </w:rPr>
        <w:t>”</w:t>
      </w:r>
      <w:r w:rsidR="000B2AE6">
        <w:rPr>
          <w:rFonts w:cs="Times New Roman"/>
          <w:szCs w:val="24"/>
        </w:rPr>
        <w:t xml:space="preserve">) cost reimbursement proposal </w:t>
      </w:r>
      <w:r w:rsidR="007C0DFD">
        <w:rPr>
          <w:rFonts w:cs="Times New Roman"/>
          <w:szCs w:val="24"/>
        </w:rPr>
        <w:t>for</w:t>
      </w:r>
      <w:r w:rsidR="000B2AE6">
        <w:rPr>
          <w:rFonts w:cs="Times New Roman"/>
          <w:szCs w:val="24"/>
        </w:rPr>
        <w:t xml:space="preserve"> future interconnecting resources, and the proposed concept of a good cause exception contained in </w:t>
      </w:r>
      <w:r w:rsidR="00A10CEC">
        <w:rPr>
          <w:rFonts w:cs="Times New Roman"/>
          <w:szCs w:val="24"/>
        </w:rPr>
        <w:t>Oncor’s</w:t>
      </w:r>
      <w:r w:rsidR="000B2AE6">
        <w:rPr>
          <w:rFonts w:cs="Times New Roman"/>
          <w:szCs w:val="24"/>
        </w:rPr>
        <w:t xml:space="preserve"> comments</w:t>
      </w:r>
      <w:r w:rsidR="00656DE9" w:rsidRPr="00D11A78">
        <w:rPr>
          <w:rFonts w:cs="Times New Roman"/>
          <w:szCs w:val="24"/>
        </w:rPr>
        <w:t>.</w:t>
      </w:r>
      <w:r w:rsidR="007C0DFD">
        <w:rPr>
          <w:rFonts w:cs="Times New Roman"/>
          <w:szCs w:val="24"/>
        </w:rPr>
        <w:t xml:space="preserve"> For the reasons detailed below, TCPA opposes the recommendations by OPUC and TSPA and supports the recommendation by Oncor.</w:t>
      </w:r>
    </w:p>
    <w:p w14:paraId="53205073" w14:textId="78B6D9D9" w:rsidR="004D2307" w:rsidRPr="00D11A78" w:rsidRDefault="000B2AE6" w:rsidP="00832072">
      <w:pPr>
        <w:keepNext/>
        <w:keepLines/>
        <w:spacing w:line="480" w:lineRule="auto"/>
        <w:ind w:firstLine="360"/>
        <w:jc w:val="center"/>
        <w:rPr>
          <w:rFonts w:cs="Times New Roman"/>
          <w:b/>
          <w:bCs/>
          <w:szCs w:val="24"/>
        </w:rPr>
      </w:pPr>
      <w:r>
        <w:rPr>
          <w:rFonts w:cs="Times New Roman"/>
          <w:b/>
          <w:bCs/>
          <w:szCs w:val="24"/>
        </w:rPr>
        <w:t xml:space="preserve">OPUC </w:t>
      </w:r>
      <w:r w:rsidR="00820314">
        <w:rPr>
          <w:rFonts w:cs="Times New Roman"/>
          <w:b/>
          <w:bCs/>
          <w:szCs w:val="24"/>
        </w:rPr>
        <w:t>Allowance</w:t>
      </w:r>
      <w:r w:rsidR="00700792">
        <w:rPr>
          <w:rFonts w:cs="Times New Roman"/>
          <w:b/>
          <w:bCs/>
          <w:szCs w:val="24"/>
        </w:rPr>
        <w:t xml:space="preserve"> Proposals</w:t>
      </w:r>
    </w:p>
    <w:p w14:paraId="27B26CD2" w14:textId="77777777" w:rsidR="00CE26E6" w:rsidRDefault="000B2AE6" w:rsidP="00B26BD6">
      <w:pPr>
        <w:keepNext/>
        <w:spacing w:line="480" w:lineRule="auto"/>
        <w:ind w:firstLine="360"/>
        <w:rPr>
          <w:rFonts w:cs="Times New Roman"/>
          <w:szCs w:val="24"/>
        </w:rPr>
      </w:pPr>
      <w:r>
        <w:rPr>
          <w:rFonts w:cs="Times New Roman"/>
          <w:szCs w:val="24"/>
        </w:rPr>
        <w:t xml:space="preserve">OPUC proposed </w:t>
      </w:r>
      <w:r w:rsidR="000E3EF8">
        <w:rPr>
          <w:rFonts w:cs="Times New Roman"/>
          <w:szCs w:val="24"/>
        </w:rPr>
        <w:t xml:space="preserve">the Commission adopt a requirement that generators pay a portion of any interconnection, recommending 25% up to a hard dollar cap then 100% of any cost exceeding that </w:t>
      </w:r>
      <w:r w:rsidR="000E3EF8">
        <w:rPr>
          <w:rFonts w:cs="Times New Roman"/>
          <w:szCs w:val="24"/>
        </w:rPr>
        <w:lastRenderedPageBreak/>
        <w:t>cap and cites the statutory provision in which the allowance must take into account “the potential to reduce the costs to consumers of generation interconnection.”</w:t>
      </w:r>
      <w:r w:rsidR="000E3EF8">
        <w:rPr>
          <w:rStyle w:val="FootnoteReference"/>
          <w:rFonts w:cs="Times New Roman"/>
          <w:szCs w:val="24"/>
        </w:rPr>
        <w:footnoteReference w:id="2"/>
      </w:r>
      <w:r w:rsidR="00D71501" w:rsidRPr="00D11A78">
        <w:rPr>
          <w:rFonts w:cs="Times New Roman"/>
          <w:szCs w:val="24"/>
        </w:rPr>
        <w:t xml:space="preserve"> </w:t>
      </w:r>
      <w:r w:rsidR="00CE26E6">
        <w:rPr>
          <w:rFonts w:cs="Times New Roman"/>
          <w:szCs w:val="24"/>
        </w:rPr>
        <w:t xml:space="preserve">While there could be some merits to further incentivizing financial discipline in the siting decisions of new resources, it falls outside the scope of this legislative implementation rulemaking and would require a much broader review of interconnection policies than is practical prior to the statutory deadline. </w:t>
      </w:r>
    </w:p>
    <w:p w14:paraId="0402FAC7" w14:textId="1ACCFBC2" w:rsidR="002D466A" w:rsidRDefault="000E3EF8" w:rsidP="00B26BD6">
      <w:pPr>
        <w:keepNext/>
        <w:spacing w:line="480" w:lineRule="auto"/>
        <w:ind w:firstLine="360"/>
        <w:rPr>
          <w:rFonts w:cs="Times New Roman"/>
          <w:szCs w:val="24"/>
        </w:rPr>
      </w:pPr>
      <w:r>
        <w:rPr>
          <w:rFonts w:cs="Times New Roman"/>
          <w:szCs w:val="24"/>
        </w:rPr>
        <w:t xml:space="preserve">The plain language of the statute requires the </w:t>
      </w:r>
      <w:r w:rsidR="00832072">
        <w:rPr>
          <w:rFonts w:cs="Times New Roman"/>
          <w:szCs w:val="24"/>
        </w:rPr>
        <w:t xml:space="preserve">Commission, in setting a “reasonable” </w:t>
      </w:r>
      <w:r>
        <w:rPr>
          <w:rFonts w:cs="Times New Roman"/>
          <w:szCs w:val="24"/>
        </w:rPr>
        <w:t>allowance</w:t>
      </w:r>
      <w:r w:rsidR="00832072">
        <w:rPr>
          <w:rFonts w:cs="Times New Roman"/>
          <w:szCs w:val="24"/>
        </w:rPr>
        <w:t xml:space="preserve"> amount,</w:t>
      </w:r>
      <w:r>
        <w:rPr>
          <w:rFonts w:cs="Times New Roman"/>
          <w:szCs w:val="24"/>
        </w:rPr>
        <w:t xml:space="preserve"> to consider the potential cost savings to consumers but does not </w:t>
      </w:r>
      <w:r w:rsidR="005807F9">
        <w:rPr>
          <w:rFonts w:cs="Times New Roman"/>
          <w:szCs w:val="24"/>
        </w:rPr>
        <w:t xml:space="preserve">require the </w:t>
      </w:r>
      <w:r w:rsidR="00832072">
        <w:rPr>
          <w:rFonts w:cs="Times New Roman"/>
          <w:szCs w:val="24"/>
        </w:rPr>
        <w:t>establish</w:t>
      </w:r>
      <w:r w:rsidR="005807F9">
        <w:rPr>
          <w:rFonts w:cs="Times New Roman"/>
          <w:szCs w:val="24"/>
        </w:rPr>
        <w:t>ment of</w:t>
      </w:r>
      <w:r w:rsidR="00832072">
        <w:rPr>
          <w:rFonts w:cs="Times New Roman"/>
          <w:szCs w:val="24"/>
        </w:rPr>
        <w:t xml:space="preserve"> a “participant pays” model</w:t>
      </w:r>
      <w:r w:rsidR="00243517">
        <w:rPr>
          <w:rFonts w:cs="Times New Roman"/>
          <w:szCs w:val="24"/>
        </w:rPr>
        <w:t>.</w:t>
      </w:r>
      <w:r w:rsidR="00832072">
        <w:rPr>
          <w:rFonts w:cs="Times New Roman"/>
          <w:szCs w:val="24"/>
        </w:rPr>
        <w:t xml:space="preserve"> </w:t>
      </w:r>
      <w:r w:rsidR="00243517">
        <w:rPr>
          <w:rFonts w:cs="Times New Roman"/>
          <w:szCs w:val="24"/>
        </w:rPr>
        <w:t xml:space="preserve">OPUC’s proposal to </w:t>
      </w:r>
      <w:r>
        <w:rPr>
          <w:rFonts w:cs="Times New Roman"/>
          <w:szCs w:val="24"/>
        </w:rPr>
        <w:t xml:space="preserve">require </w:t>
      </w:r>
      <w:r w:rsidR="005807F9">
        <w:rPr>
          <w:rFonts w:cs="Times New Roman"/>
          <w:szCs w:val="24"/>
        </w:rPr>
        <w:t xml:space="preserve">that </w:t>
      </w:r>
      <w:r>
        <w:rPr>
          <w:rFonts w:cs="Times New Roman"/>
          <w:szCs w:val="24"/>
        </w:rPr>
        <w:t>the allowance ensure a definitive cost savings for each interconnection</w:t>
      </w:r>
      <w:r w:rsidR="00832072">
        <w:rPr>
          <w:rFonts w:cs="Times New Roman"/>
          <w:szCs w:val="24"/>
        </w:rPr>
        <w:t xml:space="preserve"> by imposing a portion of costs on generators for every interconnection</w:t>
      </w:r>
      <w:r w:rsidR="00243517">
        <w:rPr>
          <w:rFonts w:cs="Times New Roman"/>
          <w:szCs w:val="24"/>
        </w:rPr>
        <w:t xml:space="preserve"> could raise some broader policy questions associated with “participant pays” interconnection cost allocation models that cannot be meaningfully evaluated by the Commission by the statutory deadline (and based solely on OPUC’s proposal and reply comments received)</w:t>
      </w:r>
      <w:r>
        <w:rPr>
          <w:rFonts w:cs="Times New Roman"/>
          <w:szCs w:val="24"/>
        </w:rPr>
        <w:t xml:space="preserve">. </w:t>
      </w:r>
    </w:p>
    <w:p w14:paraId="37F976A5" w14:textId="1E288A47" w:rsidR="00626B52" w:rsidRDefault="002D466A" w:rsidP="00B26BD6">
      <w:pPr>
        <w:keepNext/>
        <w:spacing w:line="480" w:lineRule="auto"/>
        <w:ind w:firstLine="360"/>
        <w:rPr>
          <w:rFonts w:cs="Times New Roman"/>
          <w:szCs w:val="24"/>
        </w:rPr>
      </w:pPr>
      <w:r>
        <w:rPr>
          <w:rFonts w:cs="Times New Roman"/>
          <w:szCs w:val="24"/>
        </w:rPr>
        <w:t>In the absence of a legislative mandate to require definitive cost savings for each interconnection by imposing a portion of costs on interconnecting generators, the Commission should decline to include OPUC’s proposal in its final rule – and there is no such legislative mandate. T</w:t>
      </w:r>
      <w:r w:rsidR="008E6147">
        <w:rPr>
          <w:rFonts w:cs="Times New Roman"/>
          <w:szCs w:val="24"/>
        </w:rPr>
        <w:t>he bill analyses throughout the legislative process for S</w:t>
      </w:r>
      <w:r w:rsidR="00832072">
        <w:rPr>
          <w:rFonts w:cs="Times New Roman"/>
          <w:szCs w:val="24"/>
        </w:rPr>
        <w:t xml:space="preserve">enate </w:t>
      </w:r>
      <w:r w:rsidR="008E6147">
        <w:rPr>
          <w:rFonts w:cs="Times New Roman"/>
          <w:szCs w:val="24"/>
        </w:rPr>
        <w:t>B</w:t>
      </w:r>
      <w:r w:rsidR="00832072">
        <w:rPr>
          <w:rFonts w:cs="Times New Roman"/>
          <w:szCs w:val="24"/>
        </w:rPr>
        <w:t>ill (“SB”)</w:t>
      </w:r>
      <w:r w:rsidR="008E6147">
        <w:rPr>
          <w:rFonts w:cs="Times New Roman"/>
          <w:szCs w:val="24"/>
        </w:rPr>
        <w:t xml:space="preserve"> 1287 by Sen. King</w:t>
      </w:r>
      <w:r w:rsidR="00705445">
        <w:rPr>
          <w:rFonts w:cs="Times New Roman"/>
          <w:szCs w:val="24"/>
        </w:rPr>
        <w:t>—</w:t>
      </w:r>
      <w:r w:rsidR="00CE2F31">
        <w:rPr>
          <w:rFonts w:cs="Times New Roman"/>
          <w:szCs w:val="24"/>
        </w:rPr>
        <w:t xml:space="preserve">i.e., </w:t>
      </w:r>
      <w:r w:rsidR="008E6147">
        <w:rPr>
          <w:rFonts w:cs="Times New Roman"/>
          <w:szCs w:val="24"/>
        </w:rPr>
        <w:t xml:space="preserve">the </w:t>
      </w:r>
      <w:r w:rsidR="00CE2F31">
        <w:rPr>
          <w:rFonts w:cs="Times New Roman"/>
          <w:szCs w:val="24"/>
        </w:rPr>
        <w:t xml:space="preserve">predecessor to and </w:t>
      </w:r>
      <w:r w:rsidR="008E6147">
        <w:rPr>
          <w:rFonts w:cs="Times New Roman"/>
          <w:szCs w:val="24"/>
        </w:rPr>
        <w:t xml:space="preserve">basis for the amendment included in the Senate Committee Substitute for HB 1500 </w:t>
      </w:r>
      <w:r w:rsidR="00CE2F31">
        <w:rPr>
          <w:rFonts w:cs="Times New Roman"/>
          <w:szCs w:val="24"/>
        </w:rPr>
        <w:t xml:space="preserve">that </w:t>
      </w:r>
      <w:r w:rsidR="008E6147">
        <w:rPr>
          <w:rFonts w:cs="Times New Roman"/>
          <w:szCs w:val="24"/>
        </w:rPr>
        <w:t>this project seeks to implement</w:t>
      </w:r>
      <w:r w:rsidR="00705445">
        <w:rPr>
          <w:rFonts w:cs="Times New Roman"/>
          <w:szCs w:val="24"/>
        </w:rPr>
        <w:t>—</w:t>
      </w:r>
      <w:r w:rsidR="008E6147">
        <w:rPr>
          <w:rFonts w:cs="Times New Roman"/>
          <w:szCs w:val="24"/>
        </w:rPr>
        <w:t xml:space="preserve">and the bill analysis for enrolled HB 1500 do not </w:t>
      </w:r>
      <w:r>
        <w:rPr>
          <w:rFonts w:cs="Times New Roman"/>
          <w:szCs w:val="24"/>
        </w:rPr>
        <w:t xml:space="preserve">dictate </w:t>
      </w:r>
      <w:r w:rsidR="008E6147">
        <w:rPr>
          <w:rFonts w:cs="Times New Roman"/>
          <w:szCs w:val="24"/>
        </w:rPr>
        <w:t>a requirement that every generation resource pay a portion of interconnection costs</w:t>
      </w:r>
      <w:r w:rsidR="00CE2F31">
        <w:rPr>
          <w:rFonts w:cs="Times New Roman"/>
          <w:szCs w:val="24"/>
        </w:rPr>
        <w:t xml:space="preserve">; instead, all variations of </w:t>
      </w:r>
      <w:r w:rsidR="00705445">
        <w:rPr>
          <w:rFonts w:cs="Times New Roman"/>
          <w:szCs w:val="24"/>
        </w:rPr>
        <w:t>this legislation</w:t>
      </w:r>
      <w:r w:rsidR="00CE2F31">
        <w:rPr>
          <w:rFonts w:cs="Times New Roman"/>
          <w:szCs w:val="24"/>
        </w:rPr>
        <w:t xml:space="preserve"> only </w:t>
      </w:r>
      <w:r>
        <w:rPr>
          <w:rFonts w:cs="Times New Roman"/>
          <w:szCs w:val="24"/>
        </w:rPr>
        <w:t xml:space="preserve">require </w:t>
      </w:r>
      <w:r w:rsidR="00CE2F31">
        <w:rPr>
          <w:rFonts w:cs="Times New Roman"/>
          <w:szCs w:val="24"/>
        </w:rPr>
        <w:t xml:space="preserve">a </w:t>
      </w:r>
      <w:r>
        <w:rPr>
          <w:rFonts w:cs="Times New Roman"/>
          <w:szCs w:val="24"/>
        </w:rPr>
        <w:t xml:space="preserve">cost sharing </w:t>
      </w:r>
      <w:r w:rsidR="00CE2F31">
        <w:rPr>
          <w:rFonts w:cs="Times New Roman"/>
          <w:szCs w:val="24"/>
        </w:rPr>
        <w:t>requirement if</w:t>
      </w:r>
      <w:r w:rsidR="008E6147">
        <w:rPr>
          <w:rFonts w:cs="Times New Roman"/>
          <w:szCs w:val="24"/>
        </w:rPr>
        <w:t xml:space="preserve"> the </w:t>
      </w:r>
      <w:r>
        <w:rPr>
          <w:rFonts w:cs="Times New Roman"/>
          <w:szCs w:val="24"/>
        </w:rPr>
        <w:lastRenderedPageBreak/>
        <w:t xml:space="preserve">interconnection </w:t>
      </w:r>
      <w:r w:rsidR="008E6147">
        <w:rPr>
          <w:rFonts w:cs="Times New Roman"/>
          <w:szCs w:val="24"/>
        </w:rPr>
        <w:t>costs exceed the allowance established by the Commission.</w:t>
      </w:r>
      <w:r w:rsidR="008E6147">
        <w:rPr>
          <w:rStyle w:val="FootnoteReference"/>
          <w:rFonts w:cs="Times New Roman"/>
          <w:szCs w:val="24"/>
        </w:rPr>
        <w:footnoteReference w:id="3"/>
      </w:r>
      <w:r w:rsidR="008E6147">
        <w:rPr>
          <w:rFonts w:cs="Times New Roman"/>
          <w:szCs w:val="24"/>
        </w:rPr>
        <w:t xml:space="preserve"> </w:t>
      </w:r>
      <w:r w:rsidR="00626B52">
        <w:rPr>
          <w:rFonts w:cs="Times New Roman"/>
          <w:szCs w:val="24"/>
        </w:rPr>
        <w:t>It is clear that the directive to the Commission is to establish a</w:t>
      </w:r>
      <w:r w:rsidR="00832072">
        <w:rPr>
          <w:rFonts w:cs="Times New Roman"/>
          <w:szCs w:val="24"/>
        </w:rPr>
        <w:t xml:space="preserve"> reasonable</w:t>
      </w:r>
      <w:r w:rsidR="00626B52">
        <w:rPr>
          <w:rFonts w:cs="Times New Roman"/>
          <w:szCs w:val="24"/>
        </w:rPr>
        <w:t xml:space="preserve"> allowance and that costs above the allowance amount be borne solely by the generation resource</w:t>
      </w:r>
      <w:r w:rsidR="009E2B23">
        <w:rPr>
          <w:rFonts w:cs="Times New Roman"/>
          <w:szCs w:val="24"/>
        </w:rPr>
        <w:t xml:space="preserve">. </w:t>
      </w:r>
      <w:r w:rsidR="00AE2CD6">
        <w:rPr>
          <w:rFonts w:cs="Times New Roman"/>
          <w:szCs w:val="24"/>
        </w:rPr>
        <w:t>The statute</w:t>
      </w:r>
      <w:r w:rsidR="009E2B23">
        <w:rPr>
          <w:rFonts w:cs="Times New Roman"/>
          <w:szCs w:val="24"/>
        </w:rPr>
        <w:t xml:space="preserve"> does not</w:t>
      </w:r>
      <w:r w:rsidR="00601B12">
        <w:rPr>
          <w:rFonts w:cs="Times New Roman"/>
          <w:szCs w:val="24"/>
        </w:rPr>
        <w:t xml:space="preserve"> direct that</w:t>
      </w:r>
      <w:r w:rsidR="00626B52">
        <w:rPr>
          <w:rFonts w:cs="Times New Roman"/>
          <w:szCs w:val="24"/>
        </w:rPr>
        <w:t xml:space="preserve"> costs within the authorized allowance </w:t>
      </w:r>
      <w:r w:rsidR="00D849F1">
        <w:rPr>
          <w:rFonts w:cs="Times New Roman"/>
          <w:szCs w:val="24"/>
        </w:rPr>
        <w:t xml:space="preserve">also </w:t>
      </w:r>
      <w:r w:rsidR="00626B52">
        <w:rPr>
          <w:rFonts w:cs="Times New Roman"/>
          <w:szCs w:val="24"/>
        </w:rPr>
        <w:t>be</w:t>
      </w:r>
      <w:r w:rsidR="00832072">
        <w:rPr>
          <w:rFonts w:cs="Times New Roman"/>
          <w:szCs w:val="24"/>
        </w:rPr>
        <w:t xml:space="preserve"> paid </w:t>
      </w:r>
      <w:r w:rsidR="00D849F1">
        <w:rPr>
          <w:rFonts w:cs="Times New Roman"/>
          <w:szCs w:val="24"/>
        </w:rPr>
        <w:t xml:space="preserve">in part </w:t>
      </w:r>
      <w:r w:rsidR="00AE2CD6">
        <w:rPr>
          <w:rFonts w:cs="Times New Roman"/>
          <w:szCs w:val="24"/>
        </w:rPr>
        <w:t xml:space="preserve">by </w:t>
      </w:r>
      <w:r w:rsidR="00D849F1">
        <w:rPr>
          <w:rFonts w:cs="Times New Roman"/>
          <w:szCs w:val="24"/>
        </w:rPr>
        <w:t xml:space="preserve">generators and in part </w:t>
      </w:r>
      <w:r w:rsidR="00832072">
        <w:rPr>
          <w:rFonts w:cs="Times New Roman"/>
          <w:szCs w:val="24"/>
        </w:rPr>
        <w:t xml:space="preserve">by transmission service providers (“TSPs”) </w:t>
      </w:r>
      <w:r w:rsidR="00D849F1">
        <w:rPr>
          <w:rFonts w:cs="Times New Roman"/>
          <w:szCs w:val="24"/>
        </w:rPr>
        <w:t>(</w:t>
      </w:r>
      <w:r w:rsidR="00832072">
        <w:rPr>
          <w:rFonts w:cs="Times New Roman"/>
          <w:szCs w:val="24"/>
        </w:rPr>
        <w:t>and ultimately</w:t>
      </w:r>
      <w:r w:rsidR="00AE2CD6">
        <w:rPr>
          <w:rFonts w:cs="Times New Roman"/>
          <w:szCs w:val="24"/>
        </w:rPr>
        <w:t xml:space="preserve"> be</w:t>
      </w:r>
      <w:r w:rsidR="00626B52">
        <w:rPr>
          <w:rFonts w:cs="Times New Roman"/>
          <w:szCs w:val="24"/>
        </w:rPr>
        <w:t xml:space="preserve"> borne by consumers</w:t>
      </w:r>
      <w:r w:rsidR="00D849F1">
        <w:rPr>
          <w:rFonts w:cs="Times New Roman"/>
          <w:szCs w:val="24"/>
        </w:rPr>
        <w:t>)</w:t>
      </w:r>
      <w:r w:rsidR="00626B52">
        <w:rPr>
          <w:rFonts w:cs="Times New Roman"/>
          <w:szCs w:val="24"/>
        </w:rPr>
        <w:t>. The changes to interconnection cost</w:t>
      </w:r>
      <w:r w:rsidR="004446E2">
        <w:rPr>
          <w:rFonts w:cs="Times New Roman"/>
          <w:szCs w:val="24"/>
        </w:rPr>
        <w:t xml:space="preserve"> allocation</w:t>
      </w:r>
      <w:r w:rsidR="00626B52">
        <w:rPr>
          <w:rFonts w:cs="Times New Roman"/>
          <w:szCs w:val="24"/>
        </w:rPr>
        <w:t xml:space="preserve"> made by the Legislature</w:t>
      </w:r>
      <w:r w:rsidR="00705445">
        <w:rPr>
          <w:rFonts w:cs="Times New Roman"/>
          <w:szCs w:val="24"/>
        </w:rPr>
        <w:t>, as</w:t>
      </w:r>
      <w:r w:rsidR="00626B52">
        <w:rPr>
          <w:rFonts w:cs="Times New Roman"/>
          <w:szCs w:val="24"/>
        </w:rPr>
        <w:t xml:space="preserve"> stated in the various analyses and bill layouts</w:t>
      </w:r>
      <w:r w:rsidR="00705445">
        <w:rPr>
          <w:rFonts w:cs="Times New Roman"/>
          <w:szCs w:val="24"/>
        </w:rPr>
        <w:t>,</w:t>
      </w:r>
      <w:r w:rsidR="00626B52">
        <w:rPr>
          <w:rFonts w:cs="Times New Roman"/>
          <w:szCs w:val="24"/>
        </w:rPr>
        <w:t xml:space="preserve"> were designed to encourage siting decisions closer to load that are more efficient and cost-effective and </w:t>
      </w:r>
      <w:r>
        <w:rPr>
          <w:rFonts w:cs="Times New Roman"/>
          <w:szCs w:val="24"/>
        </w:rPr>
        <w:t xml:space="preserve">do </w:t>
      </w:r>
      <w:r w:rsidR="00626B52">
        <w:rPr>
          <w:rFonts w:cs="Times New Roman"/>
          <w:szCs w:val="24"/>
        </w:rPr>
        <w:t xml:space="preserve">not </w:t>
      </w:r>
      <w:r>
        <w:rPr>
          <w:rFonts w:cs="Times New Roman"/>
          <w:szCs w:val="24"/>
        </w:rPr>
        <w:t xml:space="preserve">require </w:t>
      </w:r>
      <w:r w:rsidR="00626B52">
        <w:rPr>
          <w:rFonts w:cs="Times New Roman"/>
          <w:szCs w:val="24"/>
        </w:rPr>
        <w:t xml:space="preserve">a complete departure from the </w:t>
      </w:r>
      <w:r w:rsidR="00D224EB">
        <w:rPr>
          <w:rFonts w:cs="Times New Roman"/>
          <w:szCs w:val="24"/>
        </w:rPr>
        <w:t xml:space="preserve">interconnection planning and cost process that has been in place since </w:t>
      </w:r>
      <w:r w:rsidR="002F5542">
        <w:rPr>
          <w:rFonts w:cs="Times New Roman"/>
          <w:szCs w:val="24"/>
        </w:rPr>
        <w:t xml:space="preserve">restructuring, when </w:t>
      </w:r>
      <w:r w:rsidR="00D224EB">
        <w:rPr>
          <w:rFonts w:cs="Times New Roman"/>
          <w:szCs w:val="24"/>
        </w:rPr>
        <w:t xml:space="preserve">the state decided generators would bear the risk of investing in this market and earn revenues only for energy produced. </w:t>
      </w:r>
      <w:r w:rsidR="00626B52">
        <w:rPr>
          <w:rFonts w:cs="Times New Roman"/>
          <w:szCs w:val="24"/>
        </w:rPr>
        <w:t>Therefore, TCPA urges</w:t>
      </w:r>
      <w:r w:rsidR="00705445">
        <w:rPr>
          <w:rFonts w:cs="Times New Roman"/>
          <w:szCs w:val="24"/>
        </w:rPr>
        <w:t xml:space="preserve"> the Commission</w:t>
      </w:r>
      <w:r w:rsidR="00626B52">
        <w:rPr>
          <w:rFonts w:cs="Times New Roman"/>
          <w:szCs w:val="24"/>
        </w:rPr>
        <w:t xml:space="preserve"> to </w:t>
      </w:r>
      <w:r w:rsidR="002F5542">
        <w:rPr>
          <w:rFonts w:cs="Times New Roman"/>
          <w:szCs w:val="24"/>
        </w:rPr>
        <w:t xml:space="preserve">decline to include </w:t>
      </w:r>
      <w:r w:rsidR="00626B52">
        <w:rPr>
          <w:rFonts w:cs="Times New Roman"/>
          <w:szCs w:val="24"/>
        </w:rPr>
        <w:t xml:space="preserve">the proposed cost sharing recommended by OPUC </w:t>
      </w:r>
      <w:r w:rsidR="002F5542">
        <w:rPr>
          <w:rFonts w:cs="Times New Roman"/>
          <w:szCs w:val="24"/>
        </w:rPr>
        <w:t xml:space="preserve">in its final rule </w:t>
      </w:r>
      <w:r w:rsidR="00626B52">
        <w:rPr>
          <w:rFonts w:cs="Times New Roman"/>
          <w:szCs w:val="24"/>
        </w:rPr>
        <w:t xml:space="preserve">and adopt a single interconnection allowance amount as advocated by TCPA in initial comments as well as </w:t>
      </w:r>
      <w:r w:rsidR="00705445">
        <w:rPr>
          <w:rFonts w:cs="Times New Roman"/>
          <w:szCs w:val="24"/>
        </w:rPr>
        <w:t>many other</w:t>
      </w:r>
      <w:r w:rsidR="00626B52">
        <w:rPr>
          <w:rFonts w:cs="Times New Roman"/>
          <w:szCs w:val="24"/>
        </w:rPr>
        <w:t xml:space="preserve"> stakeholder comments on the </w:t>
      </w:r>
      <w:proofErr w:type="spellStart"/>
      <w:r w:rsidR="00626B52">
        <w:rPr>
          <w:rFonts w:cs="Times New Roman"/>
          <w:szCs w:val="24"/>
        </w:rPr>
        <w:t>PfP</w:t>
      </w:r>
      <w:proofErr w:type="spellEnd"/>
      <w:r w:rsidR="00626B52">
        <w:rPr>
          <w:rFonts w:cs="Times New Roman"/>
          <w:szCs w:val="24"/>
        </w:rPr>
        <w:t xml:space="preserve">. </w:t>
      </w:r>
    </w:p>
    <w:p w14:paraId="3F018964" w14:textId="0A4E0762" w:rsidR="00832072" w:rsidRDefault="00626B52" w:rsidP="00CC045D">
      <w:pPr>
        <w:spacing w:line="480" w:lineRule="auto"/>
        <w:ind w:firstLine="360"/>
        <w:rPr>
          <w:rFonts w:cs="Times New Roman"/>
          <w:szCs w:val="24"/>
        </w:rPr>
      </w:pPr>
      <w:r>
        <w:rPr>
          <w:rFonts w:cs="Times New Roman"/>
          <w:szCs w:val="24"/>
        </w:rPr>
        <w:t xml:space="preserve">An alternative also proposed by OPUC is to </w:t>
      </w:r>
      <w:r w:rsidR="00D224EB">
        <w:rPr>
          <w:rFonts w:cs="Times New Roman"/>
          <w:szCs w:val="24"/>
        </w:rPr>
        <w:t>establish a dollar per megawatt ($/MW) allowance. While SB 1287 contemplated a $/MW allowance, primarily based on the interest in accounting for the requirement that the allowance take into account “the reliability impact on the grid of the interconnecting resource and whether the interconnecting resource increased reliability or volatility in managing the grid,”</w:t>
      </w:r>
      <w:r w:rsidR="00D224EB">
        <w:rPr>
          <w:rStyle w:val="FootnoteReference"/>
          <w:rFonts w:cs="Times New Roman"/>
          <w:szCs w:val="24"/>
        </w:rPr>
        <w:footnoteReference w:id="4"/>
      </w:r>
      <w:r w:rsidR="00705445">
        <w:rPr>
          <w:rFonts w:cs="Times New Roman"/>
          <w:szCs w:val="24"/>
        </w:rPr>
        <w:t xml:space="preserve"> that bill was not ultimately adopted, and</w:t>
      </w:r>
      <w:r w:rsidR="00D224EB">
        <w:rPr>
          <w:rFonts w:cs="Times New Roman"/>
          <w:szCs w:val="24"/>
        </w:rPr>
        <w:t xml:space="preserve"> the statute the Commission is currently implementing</w:t>
      </w:r>
      <w:r w:rsidR="00832072">
        <w:rPr>
          <w:rFonts w:cs="Times New Roman"/>
          <w:szCs w:val="24"/>
        </w:rPr>
        <w:t xml:space="preserve"> (i.e., HB 1500)</w:t>
      </w:r>
      <w:r w:rsidR="00D224EB">
        <w:rPr>
          <w:rFonts w:cs="Times New Roman"/>
          <w:szCs w:val="24"/>
        </w:rPr>
        <w:t xml:space="preserve"> does not direct a $/MW allowance to be </w:t>
      </w:r>
      <w:r w:rsidR="00D224EB">
        <w:rPr>
          <w:rFonts w:cs="Times New Roman"/>
          <w:szCs w:val="24"/>
        </w:rPr>
        <w:lastRenderedPageBreak/>
        <w:t>established. Rather, the directive is to establish “a reasonable allowance.”</w:t>
      </w:r>
      <w:r w:rsidR="00D224EB">
        <w:rPr>
          <w:rStyle w:val="FootnoteReference"/>
          <w:rFonts w:cs="Times New Roman"/>
          <w:szCs w:val="24"/>
        </w:rPr>
        <w:footnoteReference w:id="5"/>
      </w:r>
      <w:r w:rsidR="00D224EB">
        <w:rPr>
          <w:rFonts w:cs="Times New Roman"/>
          <w:szCs w:val="24"/>
        </w:rPr>
        <w:t xml:space="preserve"> </w:t>
      </w:r>
      <w:r w:rsidR="00820314">
        <w:rPr>
          <w:rFonts w:cs="Times New Roman"/>
          <w:szCs w:val="24"/>
        </w:rPr>
        <w:t xml:space="preserve">As </w:t>
      </w:r>
      <w:r w:rsidR="00727EE0">
        <w:rPr>
          <w:rFonts w:cs="Times New Roman"/>
          <w:szCs w:val="24"/>
        </w:rPr>
        <w:t>evidenced by the historical interconnection data</w:t>
      </w:r>
      <w:r w:rsidR="00820314">
        <w:rPr>
          <w:rFonts w:cs="Times New Roman"/>
          <w:szCs w:val="24"/>
        </w:rPr>
        <w:t xml:space="preserve">, some resources sited close to load and providing significant reliability to the grid </w:t>
      </w:r>
      <w:r w:rsidR="00A92D39">
        <w:rPr>
          <w:rFonts w:cs="Times New Roman"/>
          <w:szCs w:val="24"/>
        </w:rPr>
        <w:t>had</w:t>
      </w:r>
      <w:r w:rsidR="00820314">
        <w:rPr>
          <w:rFonts w:cs="Times New Roman"/>
          <w:szCs w:val="24"/>
        </w:rPr>
        <w:t xml:space="preserve"> interconnection costs </w:t>
      </w:r>
      <w:r w:rsidR="00A92D39">
        <w:rPr>
          <w:rFonts w:cs="Times New Roman"/>
          <w:szCs w:val="24"/>
        </w:rPr>
        <w:t xml:space="preserve">within </w:t>
      </w:r>
      <w:r w:rsidR="00EB2625">
        <w:rPr>
          <w:rFonts w:cs="Times New Roman"/>
          <w:szCs w:val="24"/>
        </w:rPr>
        <w:t>the current proposed allowance</w:t>
      </w:r>
      <w:r w:rsidR="00A92D39">
        <w:rPr>
          <w:rFonts w:cs="Times New Roman"/>
          <w:szCs w:val="24"/>
        </w:rPr>
        <w:t xml:space="preserve"> amount</w:t>
      </w:r>
      <w:r w:rsidR="00EB2625">
        <w:rPr>
          <w:rFonts w:cs="Times New Roman"/>
          <w:szCs w:val="24"/>
        </w:rPr>
        <w:t xml:space="preserve"> for 345 kV </w:t>
      </w:r>
      <w:r w:rsidR="00120817">
        <w:rPr>
          <w:rFonts w:cs="Times New Roman"/>
          <w:szCs w:val="24"/>
        </w:rPr>
        <w:t>interconnections</w:t>
      </w:r>
      <w:r w:rsidR="00EE724C">
        <w:rPr>
          <w:rFonts w:cs="Times New Roman"/>
          <w:szCs w:val="24"/>
        </w:rPr>
        <w:t>,</w:t>
      </w:r>
      <w:r w:rsidR="00120817">
        <w:rPr>
          <w:rFonts w:cs="Times New Roman"/>
          <w:szCs w:val="24"/>
        </w:rPr>
        <w:t xml:space="preserve"> but</w:t>
      </w:r>
      <w:r w:rsidR="00EE724C">
        <w:rPr>
          <w:rFonts w:cs="Times New Roman"/>
          <w:szCs w:val="24"/>
        </w:rPr>
        <w:t xml:space="preserve"> with a relatively high cost per MW</w:t>
      </w:r>
      <w:r w:rsidR="006064D9" w:rsidRPr="00D11A78">
        <w:rPr>
          <w:rFonts w:cs="Times New Roman"/>
          <w:szCs w:val="24"/>
        </w:rPr>
        <w:t>.</w:t>
      </w:r>
      <w:r w:rsidR="00820314">
        <w:rPr>
          <w:rStyle w:val="FootnoteReference"/>
          <w:rFonts w:cs="Times New Roman"/>
          <w:szCs w:val="24"/>
        </w:rPr>
        <w:footnoteReference w:id="6"/>
      </w:r>
      <w:r w:rsidR="006064D9" w:rsidRPr="00D11A78">
        <w:rPr>
          <w:rFonts w:cs="Times New Roman"/>
          <w:szCs w:val="24"/>
        </w:rPr>
        <w:t xml:space="preserve"> </w:t>
      </w:r>
      <w:r w:rsidR="00820314">
        <w:rPr>
          <w:rFonts w:cs="Times New Roman"/>
          <w:szCs w:val="24"/>
        </w:rPr>
        <w:t>For such resources in the Houston area or near large load centers, a $/MW allowance</w:t>
      </w:r>
      <w:r w:rsidR="00A92D39">
        <w:rPr>
          <w:rFonts w:cs="Times New Roman"/>
          <w:szCs w:val="24"/>
        </w:rPr>
        <w:t xml:space="preserve"> thus</w:t>
      </w:r>
      <w:r w:rsidR="00820314">
        <w:rPr>
          <w:rFonts w:cs="Times New Roman"/>
          <w:szCs w:val="24"/>
        </w:rPr>
        <w:t xml:space="preserve"> may actually be punitive for much-needed dispatchable resources and provide a disincentive for those investments</w:t>
      </w:r>
      <w:r w:rsidR="00A92D39">
        <w:rPr>
          <w:rFonts w:cs="Times New Roman"/>
          <w:szCs w:val="24"/>
        </w:rPr>
        <w:t>, even though such resources result in relatively low total interconnection costs</w:t>
      </w:r>
      <w:r w:rsidR="00820314">
        <w:rPr>
          <w:rFonts w:cs="Times New Roman"/>
          <w:szCs w:val="24"/>
        </w:rPr>
        <w:t xml:space="preserve">. </w:t>
      </w:r>
    </w:p>
    <w:p w14:paraId="67E044F9" w14:textId="77777777" w:rsidR="007260BE" w:rsidRDefault="00705445" w:rsidP="00CC045D">
      <w:pPr>
        <w:spacing w:line="480" w:lineRule="auto"/>
        <w:ind w:firstLine="360"/>
        <w:rPr>
          <w:rFonts w:cs="Times New Roman"/>
          <w:szCs w:val="24"/>
        </w:rPr>
      </w:pPr>
      <w:r>
        <w:rPr>
          <w:rFonts w:cs="Times New Roman"/>
          <w:szCs w:val="24"/>
        </w:rPr>
        <w:t xml:space="preserve">Further, </w:t>
      </w:r>
      <w:r w:rsidR="00CC182F">
        <w:rPr>
          <w:rFonts w:cs="Times New Roman"/>
          <w:szCs w:val="24"/>
        </w:rPr>
        <w:t>t</w:t>
      </w:r>
      <w:r>
        <w:rPr>
          <w:rFonts w:cs="Times New Roman"/>
          <w:szCs w:val="24"/>
        </w:rPr>
        <w:t xml:space="preserve">he historical evidence provided by TSPs did not </w:t>
      </w:r>
      <w:r w:rsidR="00CC182F">
        <w:rPr>
          <w:rFonts w:cs="Times New Roman"/>
          <w:szCs w:val="24"/>
        </w:rPr>
        <w:t xml:space="preserve">show any apparent correlation between interconnection </w:t>
      </w:r>
      <w:r>
        <w:rPr>
          <w:rFonts w:cs="Times New Roman"/>
          <w:szCs w:val="24"/>
        </w:rPr>
        <w:t>costs</w:t>
      </w:r>
      <w:r w:rsidR="00CC182F">
        <w:rPr>
          <w:rFonts w:cs="Times New Roman"/>
          <w:szCs w:val="24"/>
        </w:rPr>
        <w:t xml:space="preserve"> and resource size</w:t>
      </w:r>
      <w:r w:rsidR="00EB2625">
        <w:rPr>
          <w:rFonts w:cs="Times New Roman"/>
          <w:szCs w:val="24"/>
        </w:rPr>
        <w:t>, with larger resources</w:t>
      </w:r>
      <w:r w:rsidR="00120817">
        <w:rPr>
          <w:rFonts w:cs="Times New Roman"/>
          <w:szCs w:val="24"/>
        </w:rPr>
        <w:t xml:space="preserve"> sometimes</w:t>
      </w:r>
      <w:r w:rsidR="00EB2625">
        <w:rPr>
          <w:rFonts w:cs="Times New Roman"/>
          <w:szCs w:val="24"/>
        </w:rPr>
        <w:t xml:space="preserve"> having</w:t>
      </w:r>
      <w:r w:rsidR="00120817">
        <w:rPr>
          <w:rFonts w:cs="Times New Roman"/>
          <w:szCs w:val="24"/>
        </w:rPr>
        <w:t xml:space="preserve"> </w:t>
      </w:r>
      <w:r w:rsidR="00EB2625">
        <w:rPr>
          <w:rFonts w:cs="Times New Roman"/>
          <w:szCs w:val="24"/>
        </w:rPr>
        <w:t xml:space="preserve">relatively lower total interconnection costs </w:t>
      </w:r>
      <w:r w:rsidR="00120817">
        <w:rPr>
          <w:rFonts w:cs="Times New Roman"/>
          <w:szCs w:val="24"/>
        </w:rPr>
        <w:t xml:space="preserve">and lower per MW costs </w:t>
      </w:r>
      <w:r w:rsidR="00EB2625">
        <w:rPr>
          <w:rFonts w:cs="Times New Roman"/>
          <w:szCs w:val="24"/>
        </w:rPr>
        <w:t>than smaller resources</w:t>
      </w:r>
      <w:r w:rsidR="00120817">
        <w:rPr>
          <w:rFonts w:cs="Times New Roman"/>
          <w:szCs w:val="24"/>
        </w:rPr>
        <w:t xml:space="preserve"> </w:t>
      </w:r>
      <w:r w:rsidR="00EB2625">
        <w:rPr>
          <w:rFonts w:cs="Times New Roman"/>
          <w:szCs w:val="24"/>
        </w:rPr>
        <w:t xml:space="preserve">and </w:t>
      </w:r>
      <w:r w:rsidR="00120817">
        <w:rPr>
          <w:rFonts w:cs="Times New Roman"/>
          <w:szCs w:val="24"/>
        </w:rPr>
        <w:t>other times not</w:t>
      </w:r>
      <w:r w:rsidR="00CC182F">
        <w:rPr>
          <w:rFonts w:cs="Times New Roman"/>
          <w:szCs w:val="24"/>
        </w:rPr>
        <w:t xml:space="preserve">; thus, it is unclear how establishing a $/MW allowance would accomplish the </w:t>
      </w:r>
      <w:r w:rsidR="00472C19">
        <w:rPr>
          <w:rFonts w:cs="Times New Roman"/>
          <w:szCs w:val="24"/>
        </w:rPr>
        <w:t xml:space="preserve">statutory objective </w:t>
      </w:r>
      <w:r w:rsidR="00CC182F">
        <w:rPr>
          <w:rFonts w:cs="Times New Roman"/>
          <w:szCs w:val="24"/>
        </w:rPr>
        <w:t xml:space="preserve">of encouraging more efficient siting decisions as resource size does not appear to </w:t>
      </w:r>
      <w:r w:rsidR="00EB2625">
        <w:rPr>
          <w:rFonts w:cs="Times New Roman"/>
          <w:szCs w:val="24"/>
        </w:rPr>
        <w:t xml:space="preserve">be the primary </w:t>
      </w:r>
      <w:r w:rsidR="00472C19">
        <w:rPr>
          <w:rFonts w:cs="Times New Roman"/>
          <w:szCs w:val="24"/>
        </w:rPr>
        <w:t>drive</w:t>
      </w:r>
      <w:r w:rsidR="00EB2625">
        <w:rPr>
          <w:rFonts w:cs="Times New Roman"/>
          <w:szCs w:val="24"/>
        </w:rPr>
        <w:t>r for</w:t>
      </w:r>
      <w:r w:rsidR="00CC182F">
        <w:rPr>
          <w:rFonts w:cs="Times New Roman"/>
          <w:szCs w:val="24"/>
        </w:rPr>
        <w:t xml:space="preserve"> interconnection costs.</w:t>
      </w:r>
      <w:r w:rsidR="00EB2625">
        <w:rPr>
          <w:rFonts w:cs="Times New Roman"/>
          <w:szCs w:val="24"/>
        </w:rPr>
        <w:t xml:space="preserve"> </w:t>
      </w:r>
    </w:p>
    <w:p w14:paraId="0CAEF7EF" w14:textId="284DB84A" w:rsidR="002C2556" w:rsidRDefault="00DA2E83" w:rsidP="00CC045D">
      <w:pPr>
        <w:spacing w:line="480" w:lineRule="auto"/>
        <w:ind w:firstLine="360"/>
        <w:rPr>
          <w:rFonts w:cs="Times New Roman"/>
          <w:szCs w:val="24"/>
        </w:rPr>
      </w:pPr>
      <w:r>
        <w:rPr>
          <w:rFonts w:cs="Times New Roman"/>
          <w:szCs w:val="24"/>
        </w:rPr>
        <w:t xml:space="preserve">There was </w:t>
      </w:r>
      <w:r w:rsidR="008A2ACF">
        <w:rPr>
          <w:rFonts w:cs="Times New Roman"/>
          <w:szCs w:val="24"/>
        </w:rPr>
        <w:t xml:space="preserve">also some discussion about a $/MW allowance at the </w:t>
      </w:r>
      <w:r w:rsidR="00D07308">
        <w:rPr>
          <w:rFonts w:cs="Times New Roman"/>
          <w:szCs w:val="24"/>
        </w:rPr>
        <w:t xml:space="preserve">November 7, </w:t>
      </w:r>
      <w:proofErr w:type="gramStart"/>
      <w:r w:rsidR="00D07308">
        <w:rPr>
          <w:rFonts w:cs="Times New Roman"/>
          <w:szCs w:val="24"/>
        </w:rPr>
        <w:t>2023</w:t>
      </w:r>
      <w:proofErr w:type="gramEnd"/>
      <w:r w:rsidR="00D07308">
        <w:rPr>
          <w:rFonts w:cs="Times New Roman"/>
          <w:szCs w:val="24"/>
        </w:rPr>
        <w:t xml:space="preserve"> workshop in this rulemaking project</w:t>
      </w:r>
      <w:r w:rsidR="00FA4440">
        <w:rPr>
          <w:rFonts w:cs="Times New Roman"/>
          <w:szCs w:val="24"/>
        </w:rPr>
        <w:t xml:space="preserve"> – and the key takeaway was that a</w:t>
      </w:r>
      <w:r w:rsidR="005758C3">
        <w:rPr>
          <w:rFonts w:cs="Times New Roman"/>
          <w:szCs w:val="24"/>
        </w:rPr>
        <w:t>n absolute dollar allowance regardless of unit size is simpler to implement in the rule</w:t>
      </w:r>
      <w:r w:rsidR="00D07308">
        <w:rPr>
          <w:rFonts w:cs="Times New Roman"/>
          <w:szCs w:val="24"/>
        </w:rPr>
        <w:t xml:space="preserve">. </w:t>
      </w:r>
      <w:r w:rsidR="003B41DC">
        <w:rPr>
          <w:rFonts w:cs="Times New Roman"/>
          <w:szCs w:val="24"/>
        </w:rPr>
        <w:t xml:space="preserve">This is in part because moving to a $/MW framework requires the Commission to then </w:t>
      </w:r>
      <w:r w:rsidR="000B529F">
        <w:rPr>
          <w:rFonts w:cs="Times New Roman"/>
          <w:szCs w:val="24"/>
        </w:rPr>
        <w:t>evaluate the relative value of a MW from different resources</w:t>
      </w:r>
      <w:r w:rsidR="00FD75C9">
        <w:rPr>
          <w:rFonts w:cs="Times New Roman"/>
          <w:szCs w:val="24"/>
        </w:rPr>
        <w:t xml:space="preserve"> because </w:t>
      </w:r>
      <w:r w:rsidR="00D94DE3">
        <w:rPr>
          <w:rFonts w:cs="Times New Roman"/>
          <w:szCs w:val="24"/>
        </w:rPr>
        <w:t xml:space="preserve">they have very </w:t>
      </w:r>
      <w:r w:rsidR="004E7339">
        <w:rPr>
          <w:rFonts w:cs="Times New Roman"/>
          <w:szCs w:val="24"/>
        </w:rPr>
        <w:t>different reliability attributes</w:t>
      </w:r>
      <w:r w:rsidR="00796916">
        <w:rPr>
          <w:rFonts w:cs="Times New Roman"/>
          <w:szCs w:val="24"/>
        </w:rPr>
        <w:t xml:space="preserve">: 1 MW of wind </w:t>
      </w:r>
      <w:r w:rsidR="00005293">
        <w:rPr>
          <w:rFonts w:cs="Times New Roman"/>
          <w:szCs w:val="24"/>
        </w:rPr>
        <w:t xml:space="preserve">generation capacity has a significantly lower reliability value than 1 MW of natural gas generation capacity, for </w:t>
      </w:r>
      <w:r w:rsidR="00005293">
        <w:rPr>
          <w:rFonts w:cs="Times New Roman"/>
          <w:szCs w:val="24"/>
        </w:rPr>
        <w:lastRenderedPageBreak/>
        <w:t>example.</w:t>
      </w:r>
      <w:r w:rsidR="000B529F">
        <w:rPr>
          <w:rFonts w:cs="Times New Roman"/>
          <w:szCs w:val="24"/>
        </w:rPr>
        <w:t xml:space="preserve"> </w:t>
      </w:r>
      <w:r w:rsidR="00BA65EB">
        <w:rPr>
          <w:rFonts w:cs="Times New Roman"/>
          <w:szCs w:val="24"/>
        </w:rPr>
        <w:t xml:space="preserve">Again, working out those </w:t>
      </w:r>
      <w:r w:rsidR="00EC4157">
        <w:rPr>
          <w:rFonts w:cs="Times New Roman"/>
          <w:szCs w:val="24"/>
        </w:rPr>
        <w:t>details would require significantly more time and deliberation than the statutory deadline in HB</w:t>
      </w:r>
      <w:r w:rsidR="00AE2CD6">
        <w:rPr>
          <w:rFonts w:cs="Times New Roman"/>
          <w:szCs w:val="24"/>
        </w:rPr>
        <w:t xml:space="preserve"> </w:t>
      </w:r>
      <w:r w:rsidR="00EC4157">
        <w:rPr>
          <w:rFonts w:cs="Times New Roman"/>
          <w:szCs w:val="24"/>
        </w:rPr>
        <w:t xml:space="preserve">1500 affords </w:t>
      </w:r>
      <w:r w:rsidR="00545AFD">
        <w:rPr>
          <w:rFonts w:cs="Times New Roman"/>
          <w:szCs w:val="24"/>
        </w:rPr>
        <w:t>and can be had through reply comments alone.</w:t>
      </w:r>
    </w:p>
    <w:p w14:paraId="708BE60B" w14:textId="7BA5319A" w:rsidR="006064D9" w:rsidRDefault="00545AFD" w:rsidP="00CC045D">
      <w:pPr>
        <w:spacing w:line="480" w:lineRule="auto"/>
        <w:ind w:firstLine="360"/>
        <w:rPr>
          <w:rFonts w:cs="Times New Roman"/>
          <w:szCs w:val="24"/>
        </w:rPr>
      </w:pPr>
      <w:r>
        <w:rPr>
          <w:rFonts w:cs="Times New Roman"/>
          <w:szCs w:val="24"/>
        </w:rPr>
        <w:t>That said, w</w:t>
      </w:r>
      <w:r w:rsidR="00EB2625">
        <w:rPr>
          <w:rFonts w:cs="Times New Roman"/>
          <w:szCs w:val="24"/>
        </w:rPr>
        <w:t>hile</w:t>
      </w:r>
      <w:r w:rsidR="00472C19">
        <w:rPr>
          <w:rFonts w:cs="Times New Roman"/>
          <w:szCs w:val="24"/>
        </w:rPr>
        <w:t xml:space="preserve"> TCPA </w:t>
      </w:r>
      <w:r>
        <w:rPr>
          <w:rFonts w:cs="Times New Roman"/>
          <w:szCs w:val="24"/>
        </w:rPr>
        <w:t xml:space="preserve">urges the Commission to decline to </w:t>
      </w:r>
      <w:r w:rsidR="00E32A39">
        <w:rPr>
          <w:rFonts w:cs="Times New Roman"/>
          <w:szCs w:val="24"/>
        </w:rPr>
        <w:t>change to</w:t>
      </w:r>
      <w:r w:rsidR="00472C19">
        <w:rPr>
          <w:rFonts w:cs="Times New Roman"/>
          <w:szCs w:val="24"/>
        </w:rPr>
        <w:t xml:space="preserve"> a $/MW allowance</w:t>
      </w:r>
      <w:r w:rsidR="00E32A39">
        <w:rPr>
          <w:rFonts w:cs="Times New Roman"/>
          <w:szCs w:val="24"/>
        </w:rPr>
        <w:t xml:space="preserve"> as OPUC has proposed</w:t>
      </w:r>
      <w:r w:rsidR="00472C19">
        <w:rPr>
          <w:rFonts w:cs="Times New Roman"/>
          <w:szCs w:val="24"/>
        </w:rPr>
        <w:t>, i</w:t>
      </w:r>
      <w:r w:rsidR="00CC182F">
        <w:rPr>
          <w:rFonts w:cs="Times New Roman"/>
          <w:szCs w:val="24"/>
        </w:rPr>
        <w:t xml:space="preserve">f the Commission were to adopt </w:t>
      </w:r>
      <w:r w:rsidR="00EB2625">
        <w:rPr>
          <w:rFonts w:cs="Times New Roman"/>
          <w:szCs w:val="24"/>
        </w:rPr>
        <w:t>such an</w:t>
      </w:r>
      <w:r w:rsidR="00CC182F">
        <w:rPr>
          <w:rFonts w:cs="Times New Roman"/>
          <w:szCs w:val="24"/>
        </w:rPr>
        <w:t xml:space="preserve"> allowance, then at a minimum, TCPA urges the Commission to consider the effective load carrying capability of resources when determining </w:t>
      </w:r>
      <w:r w:rsidR="00472C19">
        <w:rPr>
          <w:rFonts w:cs="Times New Roman"/>
          <w:szCs w:val="24"/>
        </w:rPr>
        <w:t>the amount of capacity that</w:t>
      </w:r>
      <w:r w:rsidR="00CC182F">
        <w:rPr>
          <w:rFonts w:cs="Times New Roman"/>
          <w:szCs w:val="24"/>
        </w:rPr>
        <w:t xml:space="preserve"> </w:t>
      </w:r>
      <w:r w:rsidR="00472C19">
        <w:rPr>
          <w:rFonts w:cs="Times New Roman"/>
          <w:szCs w:val="24"/>
        </w:rPr>
        <w:t>would qualify</w:t>
      </w:r>
      <w:r w:rsidR="00CC182F">
        <w:rPr>
          <w:rFonts w:cs="Times New Roman"/>
          <w:szCs w:val="24"/>
        </w:rPr>
        <w:t xml:space="preserve"> </w:t>
      </w:r>
      <w:r w:rsidR="00EB2625">
        <w:rPr>
          <w:rFonts w:cs="Times New Roman"/>
          <w:szCs w:val="24"/>
        </w:rPr>
        <w:t xml:space="preserve">in </w:t>
      </w:r>
      <w:r w:rsidR="00472C19">
        <w:rPr>
          <w:rFonts w:cs="Times New Roman"/>
          <w:szCs w:val="24"/>
        </w:rPr>
        <w:t>se</w:t>
      </w:r>
      <w:r w:rsidR="00CC182F">
        <w:rPr>
          <w:rFonts w:cs="Times New Roman"/>
          <w:szCs w:val="24"/>
        </w:rPr>
        <w:t>tting the allowance</w:t>
      </w:r>
      <w:r w:rsidR="00472C19">
        <w:rPr>
          <w:rFonts w:cs="Times New Roman"/>
          <w:szCs w:val="24"/>
        </w:rPr>
        <w:t xml:space="preserve"> amount</w:t>
      </w:r>
      <w:r w:rsidR="00E32A39">
        <w:rPr>
          <w:rFonts w:cs="Times New Roman"/>
          <w:szCs w:val="24"/>
        </w:rPr>
        <w:t>. O</w:t>
      </w:r>
      <w:r w:rsidR="00CC182F">
        <w:rPr>
          <w:rFonts w:cs="Times New Roman"/>
          <w:szCs w:val="24"/>
        </w:rPr>
        <w:t xml:space="preserve">therwise, a resource could qualify for a higher allowance based on </w:t>
      </w:r>
      <w:r w:rsidR="00120817">
        <w:rPr>
          <w:rFonts w:cs="Times New Roman"/>
          <w:szCs w:val="24"/>
        </w:rPr>
        <w:t xml:space="preserve">having a relatively high </w:t>
      </w:r>
      <w:r w:rsidR="00CC182F">
        <w:rPr>
          <w:rFonts w:cs="Times New Roman"/>
          <w:szCs w:val="24"/>
        </w:rPr>
        <w:t xml:space="preserve">nameplate capacity </w:t>
      </w:r>
      <w:r w:rsidR="00472C19">
        <w:rPr>
          <w:rFonts w:cs="Times New Roman"/>
          <w:szCs w:val="24"/>
        </w:rPr>
        <w:t>even if</w:t>
      </w:r>
      <w:r w:rsidR="00CC182F">
        <w:rPr>
          <w:rFonts w:cs="Times New Roman"/>
          <w:szCs w:val="24"/>
        </w:rPr>
        <w:t xml:space="preserve"> most of that capacity will never be delivered to load.</w:t>
      </w:r>
      <w:r w:rsidR="00727EE0">
        <w:rPr>
          <w:rFonts w:cs="Times New Roman"/>
          <w:szCs w:val="24"/>
        </w:rPr>
        <w:t xml:space="preserve"> Such an outcome would not benefit Texas consumers and would </w:t>
      </w:r>
      <w:r w:rsidR="00231754">
        <w:rPr>
          <w:rFonts w:cs="Times New Roman"/>
          <w:szCs w:val="24"/>
        </w:rPr>
        <w:t xml:space="preserve">depart from the intent </w:t>
      </w:r>
      <w:r w:rsidR="00727EE0">
        <w:rPr>
          <w:rFonts w:cs="Times New Roman"/>
          <w:szCs w:val="24"/>
        </w:rPr>
        <w:t>of the statute.</w:t>
      </w:r>
    </w:p>
    <w:p w14:paraId="3C7F5C2F" w14:textId="0D0A7217" w:rsidR="00832072" w:rsidRDefault="00832072" w:rsidP="005B47D8">
      <w:pPr>
        <w:spacing w:line="480" w:lineRule="auto"/>
        <w:ind w:firstLine="360"/>
        <w:jc w:val="center"/>
        <w:rPr>
          <w:rFonts w:cs="Times New Roman"/>
          <w:szCs w:val="24"/>
        </w:rPr>
      </w:pPr>
      <w:r>
        <w:rPr>
          <w:rFonts w:cs="Times New Roman"/>
          <w:b/>
          <w:bCs/>
          <w:szCs w:val="24"/>
        </w:rPr>
        <w:t>Oncor Good Cause Exception</w:t>
      </w:r>
    </w:p>
    <w:p w14:paraId="7D1620F8" w14:textId="0ADFA93C" w:rsidR="00820314" w:rsidRDefault="00A10CEC" w:rsidP="00CC045D">
      <w:pPr>
        <w:spacing w:line="480" w:lineRule="auto"/>
        <w:ind w:firstLine="360"/>
        <w:rPr>
          <w:rFonts w:cs="Times New Roman"/>
          <w:szCs w:val="24"/>
        </w:rPr>
      </w:pPr>
      <w:r>
        <w:rPr>
          <w:rFonts w:cs="Times New Roman"/>
          <w:szCs w:val="24"/>
        </w:rPr>
        <w:t>Oncor</w:t>
      </w:r>
      <w:r w:rsidR="00820314">
        <w:rPr>
          <w:rFonts w:cs="Times New Roman"/>
          <w:szCs w:val="24"/>
        </w:rPr>
        <w:t xml:space="preserve"> </w:t>
      </w:r>
      <w:r w:rsidR="000E2CFB">
        <w:rPr>
          <w:rFonts w:cs="Times New Roman"/>
          <w:szCs w:val="24"/>
        </w:rPr>
        <w:t>suggested the Commission consider adopting a good cause exception provision as part of this rule.</w:t>
      </w:r>
      <w:r w:rsidR="000E2CFB">
        <w:rPr>
          <w:rStyle w:val="FootnoteReference"/>
          <w:rFonts w:cs="Times New Roman"/>
          <w:szCs w:val="24"/>
        </w:rPr>
        <w:footnoteReference w:id="7"/>
      </w:r>
      <w:r w:rsidR="000E2CFB">
        <w:rPr>
          <w:rFonts w:cs="Times New Roman"/>
          <w:szCs w:val="24"/>
        </w:rPr>
        <w:t xml:space="preserve"> TCPA supports such an addition as an effective tool to ensure companies such as </w:t>
      </w:r>
      <w:proofErr w:type="spellStart"/>
      <w:r w:rsidR="000E2CFB">
        <w:rPr>
          <w:rFonts w:cs="Times New Roman"/>
          <w:szCs w:val="24"/>
        </w:rPr>
        <w:t>WattBridge</w:t>
      </w:r>
      <w:proofErr w:type="spellEnd"/>
      <w:r w:rsidR="00A92D39">
        <w:rPr>
          <w:rStyle w:val="FootnoteReference"/>
          <w:rFonts w:cs="Times New Roman"/>
          <w:szCs w:val="24"/>
        </w:rPr>
        <w:footnoteReference w:id="8"/>
      </w:r>
      <w:r w:rsidR="000E2CFB">
        <w:rPr>
          <w:rFonts w:cs="Times New Roman"/>
          <w:szCs w:val="24"/>
        </w:rPr>
        <w:t xml:space="preserve"> </w:t>
      </w:r>
      <w:r w:rsidR="00E05168">
        <w:rPr>
          <w:rFonts w:cs="Times New Roman"/>
          <w:szCs w:val="24"/>
        </w:rPr>
        <w:t xml:space="preserve">have an opportunity to seek </w:t>
      </w:r>
      <w:r w:rsidR="00D2041F">
        <w:rPr>
          <w:rFonts w:cs="Times New Roman"/>
          <w:szCs w:val="24"/>
        </w:rPr>
        <w:t xml:space="preserve">an </w:t>
      </w:r>
      <w:r w:rsidR="000E2CFB">
        <w:rPr>
          <w:rFonts w:cs="Times New Roman"/>
          <w:szCs w:val="24"/>
        </w:rPr>
        <w:t xml:space="preserve">interconnection allowance </w:t>
      </w:r>
      <w:r w:rsidR="00EE5958">
        <w:rPr>
          <w:rFonts w:cs="Times New Roman"/>
          <w:szCs w:val="24"/>
        </w:rPr>
        <w:t xml:space="preserve">that fairly and adequately recognizes </w:t>
      </w:r>
      <w:r w:rsidR="000E2CFB">
        <w:rPr>
          <w:rFonts w:cs="Times New Roman"/>
          <w:szCs w:val="24"/>
        </w:rPr>
        <w:t xml:space="preserve">higher costs in a compact, load-intensive service territory without unduly burdening consumers with a de facto higher allowance for all projects. </w:t>
      </w:r>
      <w:r>
        <w:rPr>
          <w:rFonts w:cs="Times New Roman"/>
          <w:szCs w:val="24"/>
        </w:rPr>
        <w:t xml:space="preserve">Thus, TCPA recommends adoption of a single interconnection allowance, regardless of voltage level interconnection, and adding </w:t>
      </w:r>
      <w:r w:rsidR="00445C4C">
        <w:rPr>
          <w:rFonts w:cs="Times New Roman"/>
          <w:szCs w:val="24"/>
        </w:rPr>
        <w:t xml:space="preserve">the </w:t>
      </w:r>
      <w:r>
        <w:rPr>
          <w:rFonts w:cs="Times New Roman"/>
          <w:szCs w:val="24"/>
        </w:rPr>
        <w:t xml:space="preserve">good cause exception </w:t>
      </w:r>
      <w:r w:rsidR="00445C4C">
        <w:rPr>
          <w:rFonts w:cs="Times New Roman"/>
          <w:szCs w:val="24"/>
        </w:rPr>
        <w:t xml:space="preserve">proposed by Oncor </w:t>
      </w:r>
      <w:r>
        <w:rPr>
          <w:rFonts w:cs="Times New Roman"/>
          <w:szCs w:val="24"/>
        </w:rPr>
        <w:t xml:space="preserve">to provide resources with unusual but reasonable cost exceedances to demonstrate the need for a higher allowance in those limited cases, providing the Commission with flexibility to address specific circumstances based on the details of the resource, </w:t>
      </w:r>
      <w:proofErr w:type="gramStart"/>
      <w:r>
        <w:rPr>
          <w:rFonts w:cs="Times New Roman"/>
          <w:szCs w:val="24"/>
        </w:rPr>
        <w:t>location</w:t>
      </w:r>
      <w:proofErr w:type="gramEnd"/>
      <w:r>
        <w:rPr>
          <w:rFonts w:cs="Times New Roman"/>
          <w:szCs w:val="24"/>
        </w:rPr>
        <w:t xml:space="preserve"> and reliability needs.</w:t>
      </w:r>
    </w:p>
    <w:p w14:paraId="291BDABE" w14:textId="30C808D8" w:rsidR="00BF4F12" w:rsidRPr="00717DCD" w:rsidRDefault="00A10CEC" w:rsidP="00E2185F">
      <w:pPr>
        <w:spacing w:line="480" w:lineRule="auto"/>
        <w:ind w:firstLine="360"/>
        <w:jc w:val="center"/>
        <w:rPr>
          <w:rFonts w:cs="Times New Roman"/>
          <w:b/>
          <w:bCs/>
          <w:szCs w:val="24"/>
        </w:rPr>
      </w:pPr>
      <w:r>
        <w:rPr>
          <w:rFonts w:cs="Times New Roman"/>
          <w:b/>
          <w:bCs/>
          <w:szCs w:val="24"/>
        </w:rPr>
        <w:lastRenderedPageBreak/>
        <w:t>TSPA Cost Reimbursement for Subsequent Interconnecting Resources</w:t>
      </w:r>
    </w:p>
    <w:p w14:paraId="6DDACC9A" w14:textId="28B97300" w:rsidR="00DD7BB2" w:rsidRPr="00717DCD" w:rsidRDefault="00A10CEC" w:rsidP="00DD7BB2">
      <w:pPr>
        <w:spacing w:line="480" w:lineRule="auto"/>
        <w:ind w:firstLine="360"/>
        <w:rPr>
          <w:rFonts w:cs="Times New Roman"/>
          <w:szCs w:val="24"/>
        </w:rPr>
      </w:pPr>
      <w:r>
        <w:rPr>
          <w:rFonts w:cs="Times New Roman"/>
          <w:szCs w:val="24"/>
        </w:rPr>
        <w:t>TSPA advocates a pro-rat</w:t>
      </w:r>
      <w:r w:rsidR="00A92D39">
        <w:rPr>
          <w:rFonts w:cs="Times New Roman"/>
          <w:szCs w:val="24"/>
        </w:rPr>
        <w:t>a</w:t>
      </w:r>
      <w:r>
        <w:rPr>
          <w:rFonts w:cs="Times New Roman"/>
          <w:szCs w:val="24"/>
        </w:rPr>
        <w:t xml:space="preserve"> share of above allowance costs be charged </w:t>
      </w:r>
      <w:r w:rsidR="007318F3">
        <w:rPr>
          <w:rFonts w:cs="Times New Roman"/>
          <w:szCs w:val="24"/>
        </w:rPr>
        <w:t xml:space="preserve">to </w:t>
      </w:r>
      <w:r>
        <w:rPr>
          <w:rFonts w:cs="Times New Roman"/>
          <w:szCs w:val="24"/>
        </w:rPr>
        <w:t xml:space="preserve">subsequent interconnecting resources </w:t>
      </w:r>
      <w:r w:rsidR="007318F3">
        <w:rPr>
          <w:rFonts w:cs="Times New Roman"/>
          <w:szCs w:val="24"/>
        </w:rPr>
        <w:t xml:space="preserve">and </w:t>
      </w:r>
      <w:r>
        <w:rPr>
          <w:rFonts w:cs="Times New Roman"/>
          <w:szCs w:val="24"/>
        </w:rPr>
        <w:t>be paid to the initial resource that interconnected at a cost above the allowance.</w:t>
      </w:r>
      <w:r>
        <w:rPr>
          <w:rStyle w:val="FootnoteReference"/>
          <w:rFonts w:cs="Times New Roman"/>
          <w:szCs w:val="24"/>
        </w:rPr>
        <w:footnoteReference w:id="9"/>
      </w:r>
      <w:r w:rsidR="00BC6296">
        <w:rPr>
          <w:rFonts w:cs="Times New Roman"/>
          <w:szCs w:val="24"/>
        </w:rPr>
        <w:t xml:space="preserve"> In support of the proposal, TSPA cites the Federal Energy Regulatory Commission (FERC) Order Number 2023 and its desire to address concerns in other regions with interconnecting backlogs. ERCOT has not experienced the transmission backlogs that other areas have and does not require FERC approval nor does ERCOT conduct its market in the manner that other regions do. </w:t>
      </w:r>
      <w:r w:rsidR="00D9049E">
        <w:rPr>
          <w:rFonts w:cs="Times New Roman"/>
          <w:szCs w:val="24"/>
        </w:rPr>
        <w:t xml:space="preserve">Other regions have long had transmission cost allocation that is shared between consumers and generation resources and markets that make capacity payments for generator availability. Those are significant contrasts to both ERCOT’s transmission planning and cost processes as well as the avenues for generator revenues within this market. </w:t>
      </w:r>
    </w:p>
    <w:p w14:paraId="44B86E59" w14:textId="77777777" w:rsidR="00EE47CC" w:rsidRDefault="00D9049E" w:rsidP="00B94755">
      <w:pPr>
        <w:spacing w:line="480" w:lineRule="auto"/>
        <w:ind w:firstLine="360"/>
        <w:rPr>
          <w:rFonts w:cs="Times New Roman"/>
          <w:szCs w:val="24"/>
        </w:rPr>
      </w:pPr>
      <w:r>
        <w:rPr>
          <w:rFonts w:cs="Times New Roman"/>
          <w:szCs w:val="24"/>
        </w:rPr>
        <w:t xml:space="preserve">Not only does the statute not contemplate or authorize cost sharing between generation resources, </w:t>
      </w:r>
      <w:proofErr w:type="gramStart"/>
      <w:r w:rsidR="003B38F1">
        <w:rPr>
          <w:rFonts w:cs="Times New Roman"/>
          <w:szCs w:val="24"/>
        </w:rPr>
        <w:t>it is</w:t>
      </w:r>
      <w:proofErr w:type="gramEnd"/>
      <w:r w:rsidR="003B38F1">
        <w:rPr>
          <w:rFonts w:cs="Times New Roman"/>
          <w:szCs w:val="24"/>
        </w:rPr>
        <w:t xml:space="preserve"> wholly outside the legislative implementation scope of this rulemaking: </w:t>
      </w:r>
      <w:r>
        <w:rPr>
          <w:rFonts w:cs="Times New Roman"/>
          <w:szCs w:val="24"/>
        </w:rPr>
        <w:t xml:space="preserve">there is no iteration of either SB 1287 or HB 1500 that provided for an initial interconnecting resource to receive payment from subsequent resources </w:t>
      </w:r>
      <w:r w:rsidR="00852E14">
        <w:rPr>
          <w:rFonts w:cs="Times New Roman"/>
          <w:szCs w:val="24"/>
        </w:rPr>
        <w:t xml:space="preserve">to offset its initial interconnection costs. </w:t>
      </w:r>
    </w:p>
    <w:p w14:paraId="0AE01BD1" w14:textId="20EA2342" w:rsidR="0026104A" w:rsidRDefault="00EE47CC" w:rsidP="00B94755">
      <w:pPr>
        <w:spacing w:line="480" w:lineRule="auto"/>
        <w:ind w:firstLine="360"/>
        <w:rPr>
          <w:rFonts w:cs="Times New Roman"/>
          <w:szCs w:val="24"/>
        </w:rPr>
      </w:pPr>
      <w:r>
        <w:rPr>
          <w:rFonts w:cs="Times New Roman"/>
          <w:szCs w:val="24"/>
        </w:rPr>
        <w:t xml:space="preserve">Furthermore, the proposal is procedurally </w:t>
      </w:r>
      <w:r w:rsidR="00DB1C92">
        <w:rPr>
          <w:rFonts w:cs="Times New Roman"/>
          <w:szCs w:val="24"/>
        </w:rPr>
        <w:t>burdensome</w:t>
      </w:r>
      <w:r>
        <w:rPr>
          <w:rFonts w:cs="Times New Roman"/>
          <w:szCs w:val="24"/>
        </w:rPr>
        <w:t xml:space="preserve"> and impractical. </w:t>
      </w:r>
      <w:r w:rsidR="00852E14">
        <w:rPr>
          <w:rFonts w:cs="Times New Roman"/>
          <w:szCs w:val="24"/>
        </w:rPr>
        <w:t>Regardless of whether payments are made directly from one resource to another</w:t>
      </w:r>
      <w:r>
        <w:rPr>
          <w:rFonts w:cs="Times New Roman"/>
          <w:szCs w:val="24"/>
        </w:rPr>
        <w:t xml:space="preserve"> or </w:t>
      </w:r>
      <w:r w:rsidR="00FC414E">
        <w:rPr>
          <w:rFonts w:cs="Times New Roman"/>
          <w:szCs w:val="24"/>
        </w:rPr>
        <w:t>would need to flow through intermediary TSPs</w:t>
      </w:r>
      <w:r w:rsidR="00852E14">
        <w:rPr>
          <w:rFonts w:cs="Times New Roman"/>
          <w:szCs w:val="24"/>
        </w:rPr>
        <w:t>, such a provision would be cumbersome for Commission Staff as well as generation resources</w:t>
      </w:r>
      <w:r w:rsidR="00523E90">
        <w:rPr>
          <w:rFonts w:cs="Times New Roman"/>
          <w:szCs w:val="24"/>
        </w:rPr>
        <w:t xml:space="preserve"> and </w:t>
      </w:r>
      <w:proofErr w:type="spellStart"/>
      <w:r w:rsidR="00523E90">
        <w:rPr>
          <w:rFonts w:cs="Times New Roman"/>
          <w:szCs w:val="24"/>
        </w:rPr>
        <w:t>TSPs</w:t>
      </w:r>
      <w:r w:rsidR="00852E14">
        <w:rPr>
          <w:rFonts w:cs="Times New Roman"/>
          <w:szCs w:val="24"/>
        </w:rPr>
        <w:t>.</w:t>
      </w:r>
      <w:proofErr w:type="spellEnd"/>
      <w:r w:rsidR="00852E14">
        <w:rPr>
          <w:rFonts w:cs="Times New Roman"/>
          <w:szCs w:val="24"/>
        </w:rPr>
        <w:t xml:space="preserve"> There would be some requirement for Commission Staff to monitor such circumstances and ensure compliance. Any generation resource seeking interconnection would be required to explore the presence o</w:t>
      </w:r>
      <w:r w:rsidR="007318F3">
        <w:rPr>
          <w:rFonts w:cs="Times New Roman"/>
          <w:szCs w:val="24"/>
        </w:rPr>
        <w:t>r</w:t>
      </w:r>
      <w:r w:rsidR="00852E14">
        <w:rPr>
          <w:rFonts w:cs="Times New Roman"/>
          <w:szCs w:val="24"/>
        </w:rPr>
        <w:t xml:space="preserve"> absence of such agreements and an </w:t>
      </w:r>
      <w:r w:rsidR="00852E14">
        <w:rPr>
          <w:rFonts w:cs="Times New Roman"/>
          <w:szCs w:val="24"/>
        </w:rPr>
        <w:lastRenderedPageBreak/>
        <w:t>existing agreement may provide disincentive to interconnect at an efficient point based on another resource</w:t>
      </w:r>
      <w:r w:rsidR="007318F3">
        <w:rPr>
          <w:rFonts w:cs="Times New Roman"/>
          <w:szCs w:val="24"/>
        </w:rPr>
        <w:t>’</w:t>
      </w:r>
      <w:r w:rsidR="00852E14">
        <w:rPr>
          <w:rFonts w:cs="Times New Roman"/>
          <w:szCs w:val="24"/>
        </w:rPr>
        <w:t xml:space="preserve">s choice to exceed its own interconnection allowance. </w:t>
      </w:r>
      <w:r w:rsidR="00803EB6">
        <w:rPr>
          <w:rFonts w:cs="Times New Roman"/>
          <w:szCs w:val="24"/>
        </w:rPr>
        <w:t xml:space="preserve">TSPs would need </w:t>
      </w:r>
      <w:r w:rsidR="00403FBD">
        <w:rPr>
          <w:rFonts w:cs="Times New Roman"/>
          <w:szCs w:val="24"/>
        </w:rPr>
        <w:t xml:space="preserve">complex accounting to determine what </w:t>
      </w:r>
      <w:r w:rsidR="00E75278">
        <w:rPr>
          <w:rFonts w:cs="Times New Roman"/>
          <w:szCs w:val="24"/>
        </w:rPr>
        <w:t>of the original interconnection costs are allocable to subsequent interconnecting resources and how to factor those costs into the new interconnecting resource’s own interconnection allowance</w:t>
      </w:r>
      <w:r w:rsidR="00D06D43">
        <w:rPr>
          <w:rFonts w:cs="Times New Roman"/>
          <w:szCs w:val="24"/>
        </w:rPr>
        <w:t xml:space="preserve"> (and this would only be further complicated if the 10-year upgrade cost</w:t>
      </w:r>
      <w:r w:rsidR="0026104A">
        <w:rPr>
          <w:rFonts w:cs="Times New Roman"/>
          <w:szCs w:val="24"/>
        </w:rPr>
        <w:t xml:space="preserve"> allowance holding period from the </w:t>
      </w:r>
      <w:proofErr w:type="spellStart"/>
      <w:r w:rsidR="0026104A">
        <w:rPr>
          <w:rFonts w:cs="Times New Roman"/>
          <w:szCs w:val="24"/>
        </w:rPr>
        <w:t>PfP</w:t>
      </w:r>
      <w:proofErr w:type="spellEnd"/>
      <w:r w:rsidR="0026104A">
        <w:rPr>
          <w:rFonts w:cs="Times New Roman"/>
          <w:szCs w:val="24"/>
        </w:rPr>
        <w:t xml:space="preserve"> is retained)</w:t>
      </w:r>
      <w:r w:rsidR="00E75278">
        <w:rPr>
          <w:rFonts w:cs="Times New Roman"/>
          <w:szCs w:val="24"/>
        </w:rPr>
        <w:t xml:space="preserve">. </w:t>
      </w:r>
    </w:p>
    <w:p w14:paraId="7BB2CB17" w14:textId="7BA1BF6A" w:rsidR="000F0489" w:rsidRPr="00D11A78" w:rsidRDefault="0009064B" w:rsidP="005B47D8">
      <w:pPr>
        <w:spacing w:line="480" w:lineRule="auto"/>
        <w:ind w:firstLine="360"/>
        <w:rPr>
          <w:rFonts w:eastAsia="Times New Roman" w:cs="Times New Roman"/>
          <w:szCs w:val="24"/>
        </w:rPr>
      </w:pPr>
      <w:r>
        <w:rPr>
          <w:rFonts w:cs="Times New Roman"/>
          <w:szCs w:val="24"/>
        </w:rPr>
        <w:t xml:space="preserve">For </w:t>
      </w:r>
      <w:proofErr w:type="gramStart"/>
      <w:r>
        <w:rPr>
          <w:rFonts w:cs="Times New Roman"/>
          <w:szCs w:val="24"/>
        </w:rPr>
        <w:t>all of</w:t>
      </w:r>
      <w:proofErr w:type="gramEnd"/>
      <w:r>
        <w:rPr>
          <w:rFonts w:cs="Times New Roman"/>
          <w:szCs w:val="24"/>
        </w:rPr>
        <w:t xml:space="preserve"> these reasons, s</w:t>
      </w:r>
      <w:r w:rsidR="00852E14">
        <w:rPr>
          <w:rFonts w:cs="Times New Roman"/>
          <w:szCs w:val="24"/>
        </w:rPr>
        <w:t xml:space="preserve">ubsequent resources should not be required to pay for another resource’s financial decisions. </w:t>
      </w:r>
      <w:r w:rsidR="00F117A9">
        <w:rPr>
          <w:rFonts w:cs="Times New Roman"/>
          <w:szCs w:val="24"/>
        </w:rPr>
        <w:t xml:space="preserve">Accordingly, </w:t>
      </w:r>
      <w:r w:rsidR="00852E14">
        <w:rPr>
          <w:rFonts w:cs="Times New Roman"/>
          <w:szCs w:val="24"/>
        </w:rPr>
        <w:t>TCPA urges the Commission to reject TSPA’s cost-sharing proposal as outside of the scope</w:t>
      </w:r>
      <w:r w:rsidR="00F117A9">
        <w:rPr>
          <w:rFonts w:cs="Times New Roman"/>
          <w:szCs w:val="24"/>
        </w:rPr>
        <w:t xml:space="preserve"> </w:t>
      </w:r>
      <w:r w:rsidR="00852E14">
        <w:rPr>
          <w:rFonts w:cs="Times New Roman"/>
          <w:szCs w:val="24"/>
        </w:rPr>
        <w:t>of this rulemaking, overly burdensome, and unnecessary to implement the statutory</w:t>
      </w:r>
      <w:r w:rsidR="00F117A9">
        <w:rPr>
          <w:rFonts w:cs="Times New Roman"/>
          <w:szCs w:val="24"/>
        </w:rPr>
        <w:t xml:space="preserve"> </w:t>
      </w:r>
      <w:r w:rsidR="00852E14">
        <w:rPr>
          <w:rFonts w:cs="Times New Roman"/>
          <w:szCs w:val="24"/>
        </w:rPr>
        <w:t xml:space="preserve">requirements. </w:t>
      </w:r>
    </w:p>
    <w:p w14:paraId="64233288" w14:textId="068A35CC" w:rsidR="00474F4C" w:rsidRPr="00717DCD" w:rsidRDefault="00474F4C" w:rsidP="00E2185F">
      <w:pPr>
        <w:spacing w:line="480" w:lineRule="auto"/>
        <w:ind w:firstLine="360"/>
        <w:jc w:val="center"/>
        <w:rPr>
          <w:rFonts w:cs="Times New Roman"/>
          <w:szCs w:val="24"/>
        </w:rPr>
      </w:pPr>
      <w:r w:rsidRPr="00717DCD">
        <w:rPr>
          <w:rFonts w:cs="Times New Roman"/>
          <w:szCs w:val="24"/>
        </w:rPr>
        <w:t>CONCLUSION</w:t>
      </w:r>
    </w:p>
    <w:p w14:paraId="04497120" w14:textId="373EE4DE" w:rsidR="008E7489" w:rsidRPr="00717DCD" w:rsidRDefault="008E7489" w:rsidP="009979AC">
      <w:pPr>
        <w:spacing w:line="480" w:lineRule="auto"/>
        <w:ind w:firstLine="360"/>
        <w:jc w:val="left"/>
        <w:rPr>
          <w:rFonts w:cs="Times New Roman"/>
          <w:szCs w:val="24"/>
        </w:rPr>
      </w:pPr>
      <w:r w:rsidRPr="00717DCD">
        <w:rPr>
          <w:rFonts w:cs="Times New Roman"/>
          <w:szCs w:val="24"/>
        </w:rPr>
        <w:tab/>
        <w:t xml:space="preserve">TCPA appreciates </w:t>
      </w:r>
      <w:r w:rsidR="00852E14">
        <w:rPr>
          <w:rFonts w:cs="Times New Roman"/>
          <w:szCs w:val="24"/>
        </w:rPr>
        <w:t xml:space="preserve">the opportunity to provide these reply comments and </w:t>
      </w:r>
      <w:r w:rsidR="00FB4C1C" w:rsidRPr="00717DCD">
        <w:rPr>
          <w:rFonts w:cs="Times New Roman"/>
          <w:szCs w:val="24"/>
        </w:rPr>
        <w:t>look</w:t>
      </w:r>
      <w:r w:rsidR="00DC786F">
        <w:rPr>
          <w:rFonts w:cs="Times New Roman"/>
          <w:szCs w:val="24"/>
        </w:rPr>
        <w:t>s</w:t>
      </w:r>
      <w:r w:rsidR="00FB4C1C" w:rsidRPr="00717DCD">
        <w:rPr>
          <w:rFonts w:cs="Times New Roman"/>
          <w:szCs w:val="24"/>
        </w:rPr>
        <w:t xml:space="preserve"> forward to continuing to work with</w:t>
      </w:r>
      <w:r w:rsidR="009979AC" w:rsidRPr="00717DCD">
        <w:rPr>
          <w:rFonts w:cs="Times New Roman"/>
          <w:szCs w:val="24"/>
        </w:rPr>
        <w:t xml:space="preserve"> the Commission</w:t>
      </w:r>
      <w:r w:rsidRPr="00717DCD">
        <w:rPr>
          <w:rFonts w:cs="Times New Roman"/>
          <w:szCs w:val="24"/>
        </w:rPr>
        <w:t xml:space="preserve">, </w:t>
      </w:r>
      <w:proofErr w:type="gramStart"/>
      <w:r w:rsidRPr="00717DCD">
        <w:rPr>
          <w:rFonts w:cs="Times New Roman"/>
          <w:szCs w:val="24"/>
        </w:rPr>
        <w:t>Staff</w:t>
      </w:r>
      <w:proofErr w:type="gramEnd"/>
      <w:r w:rsidRPr="00717DCD">
        <w:rPr>
          <w:rFonts w:cs="Times New Roman"/>
          <w:szCs w:val="24"/>
        </w:rPr>
        <w:t xml:space="preserve"> and other stakeholders throughout this project. </w:t>
      </w:r>
    </w:p>
    <w:p w14:paraId="1A4D2798" w14:textId="77777777" w:rsidR="008E7489" w:rsidRPr="00717DCD" w:rsidRDefault="008E7489" w:rsidP="00B24F5A">
      <w:pPr>
        <w:pStyle w:val="BodyText"/>
        <w:keepNext/>
        <w:keepLines/>
        <w:ind w:left="3330" w:firstLine="720"/>
        <w:rPr>
          <w:szCs w:val="24"/>
        </w:rPr>
      </w:pPr>
    </w:p>
    <w:p w14:paraId="7179C457" w14:textId="127730D1" w:rsidR="008E7489" w:rsidRPr="00717DCD" w:rsidRDefault="009979AC" w:rsidP="009979AC">
      <w:pPr>
        <w:pStyle w:val="BodyText"/>
        <w:keepNext/>
        <w:keepLines/>
        <w:jc w:val="left"/>
        <w:rPr>
          <w:szCs w:val="24"/>
        </w:rPr>
      </w:pPr>
      <w:r w:rsidRPr="00717DCD">
        <w:rPr>
          <w:szCs w:val="24"/>
        </w:rPr>
        <w:tab/>
        <w:t xml:space="preserve">Dated: </w:t>
      </w:r>
      <w:r w:rsidR="009D4587" w:rsidRPr="00717DCD">
        <w:rPr>
          <w:szCs w:val="24"/>
        </w:rPr>
        <w:t xml:space="preserve">January </w:t>
      </w:r>
      <w:r w:rsidR="00852E14">
        <w:rPr>
          <w:szCs w:val="24"/>
        </w:rPr>
        <w:t>18</w:t>
      </w:r>
      <w:r w:rsidR="009D4587" w:rsidRPr="00717DCD">
        <w:rPr>
          <w:szCs w:val="24"/>
        </w:rPr>
        <w:t>, 2024</w:t>
      </w:r>
    </w:p>
    <w:p w14:paraId="6F878CCF" w14:textId="633D7CDD" w:rsidR="00B24F5A" w:rsidRPr="00717DCD" w:rsidRDefault="008E7489" w:rsidP="00B24F5A">
      <w:pPr>
        <w:pStyle w:val="BodyText"/>
        <w:keepNext/>
        <w:keepLines/>
        <w:ind w:left="3330" w:firstLine="720"/>
        <w:rPr>
          <w:szCs w:val="24"/>
        </w:rPr>
      </w:pPr>
      <w:r w:rsidRPr="00717DCD">
        <w:rPr>
          <w:szCs w:val="24"/>
        </w:rPr>
        <w:t xml:space="preserve">   </w:t>
      </w:r>
      <w:r w:rsidR="00B24F5A" w:rsidRPr="00717DCD">
        <w:rPr>
          <w:szCs w:val="24"/>
        </w:rPr>
        <w:t>Respectfully submitted,</w:t>
      </w:r>
    </w:p>
    <w:p w14:paraId="3E31E1A0" w14:textId="77777777" w:rsidR="00B24F5A" w:rsidRPr="00717DCD" w:rsidRDefault="00B24F5A" w:rsidP="00B24F5A">
      <w:pPr>
        <w:pStyle w:val="BodyText"/>
        <w:keepNext/>
        <w:keepLines/>
        <w:ind w:left="3330" w:firstLine="720"/>
        <w:rPr>
          <w:szCs w:val="24"/>
        </w:rPr>
      </w:pPr>
    </w:p>
    <w:p w14:paraId="16A7C7B5" w14:textId="08BB8B9A" w:rsidR="008E7489" w:rsidRPr="00D11A78" w:rsidRDefault="008E7489" w:rsidP="008E7489">
      <w:pPr>
        <w:tabs>
          <w:tab w:val="left" w:pos="4320"/>
        </w:tabs>
        <w:ind w:right="-540"/>
        <w:rPr>
          <w:rFonts w:eastAsia="Times New Roman" w:cs="Times New Roman"/>
          <w:szCs w:val="24"/>
        </w:rPr>
      </w:pPr>
      <w:r w:rsidRPr="00D11A78">
        <w:rPr>
          <w:rFonts w:eastAsia="Times New Roman" w:cs="Times New Roman"/>
          <w:szCs w:val="24"/>
        </w:rPr>
        <w:tab/>
      </w:r>
      <w:r w:rsidRPr="00D11A78">
        <w:rPr>
          <w:rFonts w:eastAsia="Times New Roman" w:cs="Times New Roman"/>
          <w:noProof/>
          <w:szCs w:val="24"/>
        </w:rPr>
        <w:drawing>
          <wp:inline distT="0" distB="0" distL="0" distR="0" wp14:anchorId="17F0DEE9" wp14:editId="0EA4605F">
            <wp:extent cx="1925320" cy="505460"/>
            <wp:effectExtent l="0" t="0" r="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stretch>
                      <a:fillRect/>
                    </a:stretch>
                  </pic:blipFill>
                  <pic:spPr>
                    <a:xfrm>
                      <a:off x="0" y="0"/>
                      <a:ext cx="1943645" cy="510271"/>
                    </a:xfrm>
                    <a:prstGeom prst="rect">
                      <a:avLst/>
                    </a:prstGeom>
                  </pic:spPr>
                </pic:pic>
              </a:graphicData>
            </a:graphic>
          </wp:inline>
        </w:drawing>
      </w:r>
    </w:p>
    <w:p w14:paraId="3DA537A1" w14:textId="77777777" w:rsidR="008E7489" w:rsidRPr="00D11A78" w:rsidRDefault="008E7489" w:rsidP="002249D8">
      <w:pPr>
        <w:spacing w:after="0" w:line="240" w:lineRule="auto"/>
        <w:outlineLvl w:val="0"/>
        <w:rPr>
          <w:rFonts w:eastAsia="Times New Roman" w:cs="Times New Roman"/>
          <w:szCs w:val="24"/>
        </w:rPr>
      </w:pP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t>Michele Richmond</w:t>
      </w:r>
    </w:p>
    <w:p w14:paraId="06540345" w14:textId="77777777" w:rsidR="008E7489" w:rsidRPr="00D11A78" w:rsidRDefault="008E7489" w:rsidP="002249D8">
      <w:pPr>
        <w:spacing w:after="0" w:line="240" w:lineRule="auto"/>
        <w:outlineLvl w:val="0"/>
        <w:rPr>
          <w:rFonts w:eastAsia="Times New Roman" w:cs="Times New Roman"/>
          <w:szCs w:val="24"/>
        </w:rPr>
      </w:pP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t>Executive Director</w:t>
      </w:r>
    </w:p>
    <w:p w14:paraId="600E1122" w14:textId="77777777" w:rsidR="008E7489" w:rsidRPr="00D11A78" w:rsidRDefault="008E7489" w:rsidP="002249D8">
      <w:pPr>
        <w:spacing w:after="0" w:line="240" w:lineRule="auto"/>
        <w:outlineLvl w:val="0"/>
        <w:rPr>
          <w:rFonts w:eastAsia="Times New Roman" w:cs="Times New Roman"/>
          <w:szCs w:val="24"/>
        </w:rPr>
      </w:pP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t>Texas Competitive Power Advocates (TCPA)</w:t>
      </w:r>
    </w:p>
    <w:p w14:paraId="16B41F7E" w14:textId="77777777" w:rsidR="008E7489" w:rsidRPr="00D11A78" w:rsidRDefault="008E7489" w:rsidP="002249D8">
      <w:pPr>
        <w:spacing w:after="0" w:line="240" w:lineRule="auto"/>
        <w:outlineLvl w:val="0"/>
        <w:rPr>
          <w:rFonts w:eastAsia="Times New Roman" w:cs="Times New Roman"/>
          <w:szCs w:val="24"/>
        </w:rPr>
      </w:pP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t>(512) 653-7447</w:t>
      </w:r>
    </w:p>
    <w:p w14:paraId="43D22956" w14:textId="77C731C9" w:rsidR="00A23EAC" w:rsidRPr="00D11A78" w:rsidRDefault="008E7489" w:rsidP="002249D8">
      <w:pPr>
        <w:spacing w:after="0" w:line="240" w:lineRule="auto"/>
        <w:ind w:firstLine="720"/>
        <w:rPr>
          <w:rStyle w:val="Hyperlink"/>
          <w:rFonts w:eastAsia="Times New Roman" w:cs="Times New Roman"/>
          <w:szCs w:val="24"/>
        </w:rPr>
      </w:pP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r>
      <w:r w:rsidRPr="00D11A78">
        <w:rPr>
          <w:rFonts w:eastAsia="Times New Roman" w:cs="Times New Roman"/>
          <w:szCs w:val="24"/>
        </w:rPr>
        <w:tab/>
      </w:r>
      <w:hyperlink r:id="rId9" w:history="1">
        <w:r w:rsidRPr="00D11A78">
          <w:rPr>
            <w:rStyle w:val="Hyperlink"/>
            <w:rFonts w:eastAsia="Times New Roman" w:cs="Times New Roman"/>
            <w:szCs w:val="24"/>
          </w:rPr>
          <w:t>michele@competitivepower.org</w:t>
        </w:r>
      </w:hyperlink>
    </w:p>
    <w:p w14:paraId="086C9EF3" w14:textId="77777777" w:rsidR="00AE1B92" w:rsidRPr="00D11A78" w:rsidRDefault="00AE1B92" w:rsidP="002249D8">
      <w:pPr>
        <w:spacing w:after="0" w:line="240" w:lineRule="auto"/>
        <w:ind w:firstLine="720"/>
        <w:rPr>
          <w:rStyle w:val="Hyperlink"/>
          <w:rFonts w:eastAsia="Times New Roman" w:cs="Times New Roman"/>
          <w:szCs w:val="24"/>
        </w:rPr>
      </w:pPr>
    </w:p>
    <w:p w14:paraId="75D019B2" w14:textId="77777777" w:rsidR="00AE1B92" w:rsidRPr="00D11A78" w:rsidRDefault="00AE1B92" w:rsidP="002249D8">
      <w:pPr>
        <w:spacing w:after="0" w:line="240" w:lineRule="auto"/>
        <w:ind w:firstLine="720"/>
        <w:rPr>
          <w:rStyle w:val="Hyperlink"/>
          <w:rFonts w:eastAsia="Times New Roman" w:cs="Times New Roman"/>
          <w:szCs w:val="24"/>
        </w:rPr>
      </w:pPr>
    </w:p>
    <w:p w14:paraId="0018FAE8" w14:textId="77777777" w:rsidR="00D5497E" w:rsidRPr="00717DCD" w:rsidRDefault="00D5497E" w:rsidP="00D5497E">
      <w:pPr>
        <w:pStyle w:val="Title"/>
        <w:rPr>
          <w:b/>
          <w:szCs w:val="24"/>
        </w:rPr>
      </w:pPr>
      <w:r w:rsidRPr="00717DCD">
        <w:rPr>
          <w:b/>
          <w:szCs w:val="24"/>
        </w:rPr>
        <w:lastRenderedPageBreak/>
        <w:t>PUC PROJECT NO. 55566</w:t>
      </w:r>
    </w:p>
    <w:p w14:paraId="595E5299" w14:textId="77777777" w:rsidR="00D5497E" w:rsidRPr="00717DCD" w:rsidRDefault="00D5497E" w:rsidP="00D5497E">
      <w:pPr>
        <w:pStyle w:val="Title"/>
        <w:rPr>
          <w:b/>
          <w:szCs w:val="24"/>
        </w:rPr>
      </w:pPr>
    </w:p>
    <w:tbl>
      <w:tblPr>
        <w:tblW w:w="9375" w:type="dxa"/>
        <w:tblLook w:val="04A0" w:firstRow="1" w:lastRow="0" w:firstColumn="1" w:lastColumn="0" w:noHBand="0" w:noVBand="1"/>
      </w:tblPr>
      <w:tblGrid>
        <w:gridCol w:w="4247"/>
        <w:gridCol w:w="989"/>
        <w:gridCol w:w="4139"/>
      </w:tblGrid>
      <w:tr w:rsidR="00D5497E" w:rsidRPr="00D11A78" w14:paraId="4C5C5E4B" w14:textId="77777777" w:rsidTr="00314ED9">
        <w:trPr>
          <w:trHeight w:val="722"/>
        </w:trPr>
        <w:tc>
          <w:tcPr>
            <w:tcW w:w="4247" w:type="dxa"/>
            <w:shd w:val="clear" w:color="auto" w:fill="auto"/>
          </w:tcPr>
          <w:p w14:paraId="129399E4" w14:textId="77777777" w:rsidR="00D5497E" w:rsidRPr="00717DCD" w:rsidRDefault="00D5497E" w:rsidP="00314ED9">
            <w:pPr>
              <w:pStyle w:val="Title"/>
              <w:jc w:val="left"/>
              <w:rPr>
                <w:b/>
                <w:szCs w:val="24"/>
              </w:rPr>
            </w:pPr>
            <w:r w:rsidRPr="00717DCD">
              <w:rPr>
                <w:b/>
                <w:szCs w:val="24"/>
              </w:rPr>
              <w:t>GENERATION INTERCONNECTION</w:t>
            </w:r>
          </w:p>
          <w:p w14:paraId="43838CEE" w14:textId="77777777" w:rsidR="00D5497E" w:rsidRPr="00717DCD" w:rsidRDefault="00D5497E" w:rsidP="00314ED9">
            <w:pPr>
              <w:pStyle w:val="Title"/>
              <w:jc w:val="left"/>
              <w:rPr>
                <w:b/>
                <w:szCs w:val="24"/>
              </w:rPr>
            </w:pPr>
            <w:r w:rsidRPr="00717DCD">
              <w:rPr>
                <w:b/>
                <w:szCs w:val="24"/>
              </w:rPr>
              <w:t>ALLOWANCE</w:t>
            </w:r>
          </w:p>
        </w:tc>
        <w:tc>
          <w:tcPr>
            <w:tcW w:w="989" w:type="dxa"/>
            <w:shd w:val="clear" w:color="auto" w:fill="auto"/>
          </w:tcPr>
          <w:p w14:paraId="28C25CC8" w14:textId="77777777" w:rsidR="00D5497E" w:rsidRPr="00717DCD" w:rsidRDefault="00D5497E" w:rsidP="00314ED9">
            <w:pPr>
              <w:pStyle w:val="Title"/>
              <w:rPr>
                <w:b/>
                <w:szCs w:val="24"/>
              </w:rPr>
            </w:pPr>
            <w:r w:rsidRPr="00717DCD">
              <w:rPr>
                <w:b/>
                <w:szCs w:val="24"/>
              </w:rPr>
              <w:t>§</w:t>
            </w:r>
          </w:p>
          <w:p w14:paraId="436E21B9" w14:textId="77777777" w:rsidR="00D5497E" w:rsidRPr="00717DCD" w:rsidRDefault="00D5497E" w:rsidP="00314ED9">
            <w:pPr>
              <w:pStyle w:val="Title"/>
              <w:rPr>
                <w:b/>
                <w:szCs w:val="24"/>
              </w:rPr>
            </w:pPr>
            <w:r w:rsidRPr="00717DCD">
              <w:rPr>
                <w:b/>
                <w:szCs w:val="24"/>
              </w:rPr>
              <w:t>§</w:t>
            </w:r>
          </w:p>
        </w:tc>
        <w:tc>
          <w:tcPr>
            <w:tcW w:w="4139" w:type="dxa"/>
            <w:shd w:val="clear" w:color="auto" w:fill="auto"/>
          </w:tcPr>
          <w:p w14:paraId="73109178" w14:textId="77777777" w:rsidR="00D5497E" w:rsidRPr="00717DCD" w:rsidRDefault="00D5497E" w:rsidP="00314ED9">
            <w:pPr>
              <w:pStyle w:val="Title"/>
              <w:rPr>
                <w:b/>
                <w:szCs w:val="24"/>
              </w:rPr>
            </w:pPr>
            <w:r w:rsidRPr="00717DCD">
              <w:rPr>
                <w:b/>
                <w:szCs w:val="24"/>
              </w:rPr>
              <w:t>PUBLIC UTILITY COMMISSION</w:t>
            </w:r>
          </w:p>
          <w:p w14:paraId="5DA98B93" w14:textId="77777777" w:rsidR="00D5497E" w:rsidRPr="00717DCD" w:rsidRDefault="00D5497E" w:rsidP="00314ED9">
            <w:pPr>
              <w:pStyle w:val="Title"/>
              <w:rPr>
                <w:b/>
                <w:szCs w:val="24"/>
              </w:rPr>
            </w:pPr>
            <w:r w:rsidRPr="00717DCD">
              <w:rPr>
                <w:b/>
                <w:szCs w:val="24"/>
              </w:rPr>
              <w:t>OF TEXAS</w:t>
            </w:r>
          </w:p>
        </w:tc>
      </w:tr>
    </w:tbl>
    <w:p w14:paraId="1A671839" w14:textId="77777777" w:rsidR="00D5497E" w:rsidRDefault="00D5497E" w:rsidP="00AE1B92">
      <w:pPr>
        <w:spacing w:after="0" w:line="240" w:lineRule="auto"/>
        <w:ind w:firstLine="720"/>
        <w:jc w:val="center"/>
        <w:rPr>
          <w:rStyle w:val="Hyperlink"/>
          <w:rFonts w:eastAsia="Times New Roman" w:cs="Times New Roman"/>
          <w:color w:val="auto"/>
          <w:szCs w:val="24"/>
        </w:rPr>
      </w:pPr>
    </w:p>
    <w:p w14:paraId="4E852265" w14:textId="77777777" w:rsidR="00D5497E" w:rsidRDefault="00D5497E" w:rsidP="00AE1B92">
      <w:pPr>
        <w:spacing w:after="0" w:line="240" w:lineRule="auto"/>
        <w:ind w:firstLine="720"/>
        <w:jc w:val="center"/>
        <w:rPr>
          <w:rStyle w:val="Hyperlink"/>
          <w:rFonts w:eastAsia="Times New Roman" w:cs="Times New Roman"/>
          <w:color w:val="auto"/>
          <w:szCs w:val="24"/>
        </w:rPr>
      </w:pPr>
    </w:p>
    <w:p w14:paraId="7D50016A" w14:textId="2FA65066" w:rsidR="00AE1B92" w:rsidRPr="00D11A78" w:rsidRDefault="00AE1B92" w:rsidP="00AE1B92">
      <w:pPr>
        <w:spacing w:after="0" w:line="240" w:lineRule="auto"/>
        <w:ind w:firstLine="720"/>
        <w:jc w:val="center"/>
        <w:rPr>
          <w:rStyle w:val="Hyperlink"/>
          <w:rFonts w:eastAsia="Times New Roman" w:cs="Times New Roman"/>
          <w:color w:val="auto"/>
          <w:szCs w:val="24"/>
        </w:rPr>
      </w:pPr>
      <w:r w:rsidRPr="00D11A78">
        <w:rPr>
          <w:rStyle w:val="Hyperlink"/>
          <w:rFonts w:eastAsia="Times New Roman" w:cs="Times New Roman"/>
          <w:color w:val="auto"/>
          <w:szCs w:val="24"/>
        </w:rPr>
        <w:t>EXECUTIVE SUMMARY OF TCPA COMMENTS</w:t>
      </w:r>
    </w:p>
    <w:p w14:paraId="064C4822" w14:textId="77777777" w:rsidR="00AE1B92" w:rsidRDefault="00AE1B92" w:rsidP="00AE1B92">
      <w:pPr>
        <w:spacing w:after="0" w:line="240" w:lineRule="auto"/>
        <w:ind w:firstLine="720"/>
        <w:jc w:val="center"/>
        <w:rPr>
          <w:rStyle w:val="Hyperlink"/>
          <w:rFonts w:eastAsia="Times New Roman" w:cs="Times New Roman"/>
          <w:szCs w:val="24"/>
        </w:rPr>
      </w:pPr>
    </w:p>
    <w:p w14:paraId="2951AC85" w14:textId="45300113" w:rsidR="009E1170" w:rsidRDefault="000215B9" w:rsidP="00852E14">
      <w:pPr>
        <w:pStyle w:val="ListParagraph"/>
        <w:numPr>
          <w:ilvl w:val="0"/>
          <w:numId w:val="33"/>
        </w:numPr>
        <w:spacing w:after="0" w:line="360" w:lineRule="auto"/>
        <w:jc w:val="left"/>
        <w:rPr>
          <w:rStyle w:val="Hyperlink"/>
          <w:rFonts w:eastAsia="Times New Roman" w:cs="Times New Roman"/>
          <w:color w:val="auto"/>
          <w:szCs w:val="24"/>
          <w:u w:val="none"/>
        </w:rPr>
      </w:pPr>
      <w:r>
        <w:rPr>
          <w:rStyle w:val="Hyperlink"/>
          <w:rFonts w:eastAsia="Times New Roman" w:cs="Times New Roman"/>
          <w:color w:val="auto"/>
          <w:szCs w:val="24"/>
          <w:u w:val="none"/>
        </w:rPr>
        <w:t xml:space="preserve">The Commission should </w:t>
      </w:r>
      <w:r w:rsidR="00604A69">
        <w:rPr>
          <w:rStyle w:val="Hyperlink"/>
          <w:rFonts w:eastAsia="Times New Roman" w:cs="Times New Roman"/>
          <w:color w:val="auto"/>
          <w:szCs w:val="24"/>
          <w:u w:val="none"/>
        </w:rPr>
        <w:t xml:space="preserve">maintain a narrow scope in this rulemaking to implement </w:t>
      </w:r>
      <w:r w:rsidR="009E1170">
        <w:rPr>
          <w:rStyle w:val="Hyperlink"/>
          <w:rFonts w:eastAsia="Times New Roman" w:cs="Times New Roman"/>
          <w:color w:val="auto"/>
          <w:szCs w:val="24"/>
          <w:u w:val="none"/>
        </w:rPr>
        <w:t xml:space="preserve">and not embellish upon </w:t>
      </w:r>
      <w:r w:rsidR="00604A69">
        <w:rPr>
          <w:rStyle w:val="Hyperlink"/>
          <w:rFonts w:eastAsia="Times New Roman" w:cs="Times New Roman"/>
          <w:color w:val="auto"/>
          <w:szCs w:val="24"/>
          <w:u w:val="none"/>
        </w:rPr>
        <w:t>the statutory directives of HB1500</w:t>
      </w:r>
      <w:r w:rsidR="009E1170">
        <w:rPr>
          <w:rStyle w:val="Hyperlink"/>
          <w:rFonts w:eastAsia="Times New Roman" w:cs="Times New Roman"/>
          <w:color w:val="auto"/>
          <w:szCs w:val="24"/>
          <w:u w:val="none"/>
        </w:rPr>
        <w:t>. This includes:</w:t>
      </w:r>
      <w:r w:rsidR="00604A69">
        <w:rPr>
          <w:rStyle w:val="Hyperlink"/>
          <w:rFonts w:eastAsia="Times New Roman" w:cs="Times New Roman"/>
          <w:color w:val="auto"/>
          <w:szCs w:val="24"/>
          <w:u w:val="none"/>
        </w:rPr>
        <w:t xml:space="preserve"> </w:t>
      </w:r>
    </w:p>
    <w:p w14:paraId="7EF6C75B" w14:textId="2576A90B" w:rsidR="00852E14" w:rsidRDefault="009E1170" w:rsidP="009E1170">
      <w:pPr>
        <w:pStyle w:val="ListParagraph"/>
        <w:numPr>
          <w:ilvl w:val="1"/>
          <w:numId w:val="33"/>
        </w:numPr>
        <w:spacing w:after="0" w:line="360" w:lineRule="auto"/>
        <w:jc w:val="left"/>
        <w:rPr>
          <w:rStyle w:val="Hyperlink"/>
          <w:rFonts w:eastAsia="Times New Roman" w:cs="Times New Roman"/>
          <w:color w:val="auto"/>
          <w:szCs w:val="24"/>
          <w:u w:val="none"/>
        </w:rPr>
      </w:pPr>
      <w:r>
        <w:rPr>
          <w:rStyle w:val="Hyperlink"/>
          <w:rFonts w:eastAsia="Times New Roman" w:cs="Times New Roman"/>
          <w:color w:val="auto"/>
          <w:szCs w:val="24"/>
          <w:u w:val="none"/>
        </w:rPr>
        <w:t>D</w:t>
      </w:r>
      <w:r w:rsidR="000215B9">
        <w:rPr>
          <w:rStyle w:val="Hyperlink"/>
          <w:rFonts w:eastAsia="Times New Roman" w:cs="Times New Roman"/>
          <w:color w:val="auto"/>
          <w:szCs w:val="24"/>
          <w:u w:val="none"/>
        </w:rPr>
        <w:t xml:space="preserve">ecline to include </w:t>
      </w:r>
      <w:r w:rsidR="00852E14" w:rsidRPr="00852E14">
        <w:rPr>
          <w:rStyle w:val="Hyperlink"/>
          <w:rFonts w:eastAsia="Times New Roman" w:cs="Times New Roman"/>
          <w:color w:val="auto"/>
          <w:szCs w:val="24"/>
          <w:u w:val="none"/>
        </w:rPr>
        <w:t xml:space="preserve">the cost sharing </w:t>
      </w:r>
      <w:r w:rsidR="004E652A">
        <w:rPr>
          <w:rStyle w:val="Hyperlink"/>
          <w:rFonts w:eastAsia="Times New Roman" w:cs="Times New Roman"/>
          <w:color w:val="auto"/>
          <w:szCs w:val="24"/>
          <w:u w:val="none"/>
        </w:rPr>
        <w:t xml:space="preserve">and $/MW allowance </w:t>
      </w:r>
      <w:r w:rsidR="00E44D14">
        <w:rPr>
          <w:rStyle w:val="Hyperlink"/>
          <w:rFonts w:eastAsia="Times New Roman" w:cs="Times New Roman"/>
          <w:color w:val="auto"/>
          <w:szCs w:val="24"/>
          <w:u w:val="none"/>
        </w:rPr>
        <w:t xml:space="preserve">format </w:t>
      </w:r>
      <w:r w:rsidR="00852E14" w:rsidRPr="00852E14">
        <w:rPr>
          <w:rStyle w:val="Hyperlink"/>
          <w:rFonts w:eastAsia="Times New Roman" w:cs="Times New Roman"/>
          <w:color w:val="auto"/>
          <w:szCs w:val="24"/>
          <w:u w:val="none"/>
        </w:rPr>
        <w:t>proposal</w:t>
      </w:r>
      <w:r w:rsidR="004E652A">
        <w:rPr>
          <w:rStyle w:val="Hyperlink"/>
          <w:rFonts w:eastAsia="Times New Roman" w:cs="Times New Roman"/>
          <w:color w:val="auto"/>
          <w:szCs w:val="24"/>
          <w:u w:val="none"/>
        </w:rPr>
        <w:t>s</w:t>
      </w:r>
      <w:r w:rsidR="00852E14" w:rsidRPr="00852E14">
        <w:rPr>
          <w:rStyle w:val="Hyperlink"/>
          <w:rFonts w:eastAsia="Times New Roman" w:cs="Times New Roman"/>
          <w:color w:val="auto"/>
          <w:szCs w:val="24"/>
          <w:u w:val="none"/>
        </w:rPr>
        <w:t xml:space="preserve"> from </w:t>
      </w:r>
      <w:proofErr w:type="gramStart"/>
      <w:r w:rsidR="00852E14" w:rsidRPr="00852E14">
        <w:rPr>
          <w:rStyle w:val="Hyperlink"/>
          <w:rFonts w:eastAsia="Times New Roman" w:cs="Times New Roman"/>
          <w:color w:val="auto"/>
          <w:szCs w:val="24"/>
          <w:u w:val="none"/>
        </w:rPr>
        <w:t>OPUC</w:t>
      </w:r>
      <w:proofErr w:type="gramEnd"/>
      <w:r w:rsidR="00852E14" w:rsidRPr="00852E14">
        <w:rPr>
          <w:rStyle w:val="Hyperlink"/>
          <w:rFonts w:eastAsia="Times New Roman" w:cs="Times New Roman"/>
          <w:color w:val="auto"/>
          <w:szCs w:val="24"/>
          <w:u w:val="none"/>
        </w:rPr>
        <w:t xml:space="preserve"> </w:t>
      </w:r>
    </w:p>
    <w:p w14:paraId="1FA0A4AD" w14:textId="29FBB609" w:rsidR="004E652A" w:rsidRPr="00852E14" w:rsidRDefault="004E652A" w:rsidP="005B47D8">
      <w:pPr>
        <w:pStyle w:val="ListParagraph"/>
        <w:numPr>
          <w:ilvl w:val="1"/>
          <w:numId w:val="33"/>
        </w:numPr>
        <w:spacing w:after="0" w:line="360" w:lineRule="auto"/>
        <w:jc w:val="left"/>
        <w:rPr>
          <w:rStyle w:val="Hyperlink"/>
          <w:rFonts w:eastAsia="Times New Roman" w:cs="Times New Roman"/>
          <w:color w:val="auto"/>
          <w:szCs w:val="24"/>
          <w:u w:val="none"/>
        </w:rPr>
      </w:pPr>
      <w:r>
        <w:rPr>
          <w:rStyle w:val="Hyperlink"/>
          <w:rFonts w:eastAsia="Times New Roman" w:cs="Times New Roman"/>
          <w:color w:val="auto"/>
          <w:szCs w:val="24"/>
          <w:u w:val="none"/>
        </w:rPr>
        <w:t xml:space="preserve">Reject the pro-rata cost sharing </w:t>
      </w:r>
      <w:r w:rsidR="004407A2">
        <w:rPr>
          <w:rStyle w:val="Hyperlink"/>
          <w:rFonts w:eastAsia="Times New Roman" w:cs="Times New Roman"/>
          <w:color w:val="auto"/>
          <w:szCs w:val="24"/>
          <w:u w:val="none"/>
        </w:rPr>
        <w:t xml:space="preserve">requirement for subsequent interconnecting resources </w:t>
      </w:r>
      <w:r w:rsidR="00DB4922">
        <w:rPr>
          <w:rStyle w:val="Hyperlink"/>
          <w:rFonts w:eastAsia="Times New Roman" w:cs="Times New Roman"/>
          <w:color w:val="auto"/>
          <w:szCs w:val="24"/>
          <w:u w:val="none"/>
        </w:rPr>
        <w:t xml:space="preserve">proposed by </w:t>
      </w:r>
      <w:proofErr w:type="gramStart"/>
      <w:r w:rsidR="00DB4922">
        <w:rPr>
          <w:rStyle w:val="Hyperlink"/>
          <w:rFonts w:eastAsia="Times New Roman" w:cs="Times New Roman"/>
          <w:color w:val="auto"/>
          <w:szCs w:val="24"/>
          <w:u w:val="none"/>
        </w:rPr>
        <w:t>TSPA</w:t>
      </w:r>
      <w:proofErr w:type="gramEnd"/>
    </w:p>
    <w:p w14:paraId="7CABEC86" w14:textId="7A80D1DE" w:rsidR="00852E14" w:rsidRPr="00852E14" w:rsidRDefault="00DB4922" w:rsidP="00852E14">
      <w:pPr>
        <w:pStyle w:val="ListParagraph"/>
        <w:numPr>
          <w:ilvl w:val="0"/>
          <w:numId w:val="33"/>
        </w:numPr>
        <w:spacing w:after="0" w:line="360" w:lineRule="auto"/>
        <w:jc w:val="left"/>
        <w:rPr>
          <w:rStyle w:val="Hyperlink"/>
          <w:rFonts w:eastAsia="Times New Roman" w:cs="Times New Roman"/>
          <w:color w:val="auto"/>
          <w:szCs w:val="24"/>
          <w:u w:val="none"/>
        </w:rPr>
      </w:pPr>
      <w:r>
        <w:rPr>
          <w:rStyle w:val="Hyperlink"/>
          <w:rFonts w:eastAsia="Times New Roman" w:cs="Times New Roman"/>
          <w:color w:val="auto"/>
          <w:szCs w:val="24"/>
          <w:u w:val="none"/>
        </w:rPr>
        <w:t xml:space="preserve">The Commission should </w:t>
      </w:r>
      <w:r w:rsidR="008E7802">
        <w:rPr>
          <w:rStyle w:val="Hyperlink"/>
          <w:rFonts w:eastAsia="Times New Roman" w:cs="Times New Roman"/>
          <w:color w:val="auto"/>
          <w:szCs w:val="24"/>
          <w:u w:val="none"/>
        </w:rPr>
        <w:t xml:space="preserve">incorporate </w:t>
      </w:r>
      <w:r w:rsidR="00852E14" w:rsidRPr="00852E14">
        <w:rPr>
          <w:rStyle w:val="Hyperlink"/>
          <w:rFonts w:eastAsia="Times New Roman" w:cs="Times New Roman"/>
          <w:color w:val="auto"/>
          <w:szCs w:val="24"/>
          <w:u w:val="none"/>
        </w:rPr>
        <w:t>the good cause ex</w:t>
      </w:r>
      <w:r w:rsidR="008E7802">
        <w:rPr>
          <w:rStyle w:val="Hyperlink"/>
          <w:rFonts w:eastAsia="Times New Roman" w:cs="Times New Roman"/>
          <w:color w:val="auto"/>
          <w:szCs w:val="24"/>
          <w:u w:val="none"/>
        </w:rPr>
        <w:t>ce</w:t>
      </w:r>
      <w:r w:rsidR="00852E14" w:rsidRPr="00852E14">
        <w:rPr>
          <w:rStyle w:val="Hyperlink"/>
          <w:rFonts w:eastAsia="Times New Roman" w:cs="Times New Roman"/>
          <w:color w:val="auto"/>
          <w:szCs w:val="24"/>
          <w:u w:val="none"/>
        </w:rPr>
        <w:t xml:space="preserve">ption </w:t>
      </w:r>
      <w:r w:rsidR="008E7802">
        <w:rPr>
          <w:rStyle w:val="Hyperlink"/>
          <w:rFonts w:eastAsia="Times New Roman" w:cs="Times New Roman"/>
          <w:color w:val="auto"/>
          <w:szCs w:val="24"/>
          <w:u w:val="none"/>
        </w:rPr>
        <w:t xml:space="preserve">proposal from </w:t>
      </w:r>
      <w:r w:rsidR="00852E14" w:rsidRPr="00852E14">
        <w:rPr>
          <w:rStyle w:val="Hyperlink"/>
          <w:rFonts w:eastAsia="Times New Roman" w:cs="Times New Roman"/>
          <w:color w:val="auto"/>
          <w:szCs w:val="24"/>
          <w:u w:val="none"/>
        </w:rPr>
        <w:t>Oncor</w:t>
      </w:r>
      <w:r w:rsidR="008E7802">
        <w:rPr>
          <w:rStyle w:val="Hyperlink"/>
          <w:rFonts w:eastAsia="Times New Roman" w:cs="Times New Roman"/>
          <w:color w:val="auto"/>
          <w:szCs w:val="24"/>
          <w:u w:val="none"/>
        </w:rPr>
        <w:t xml:space="preserve"> in the final </w:t>
      </w:r>
      <w:proofErr w:type="gramStart"/>
      <w:r w:rsidR="008E7802">
        <w:rPr>
          <w:rStyle w:val="Hyperlink"/>
          <w:rFonts w:eastAsia="Times New Roman" w:cs="Times New Roman"/>
          <w:color w:val="auto"/>
          <w:szCs w:val="24"/>
          <w:u w:val="none"/>
        </w:rPr>
        <w:t>rule</w:t>
      </w:r>
      <w:proofErr w:type="gramEnd"/>
    </w:p>
    <w:sectPr w:rsidR="00852E14" w:rsidRPr="00852E14" w:rsidSect="0029549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FBF96" w14:textId="77777777" w:rsidR="00295494" w:rsidRDefault="00295494" w:rsidP="0042771D">
      <w:pPr>
        <w:spacing w:after="0" w:line="240" w:lineRule="auto"/>
      </w:pPr>
      <w:r>
        <w:separator/>
      </w:r>
    </w:p>
  </w:endnote>
  <w:endnote w:type="continuationSeparator" w:id="0">
    <w:p w14:paraId="1F2B7544" w14:textId="77777777" w:rsidR="00295494" w:rsidRDefault="00295494" w:rsidP="0042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31ED" w14:textId="77777777" w:rsidR="00DE39FD" w:rsidRDefault="00DE3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06768"/>
      <w:docPartObj>
        <w:docPartGallery w:val="Page Numbers (Bottom of Page)"/>
        <w:docPartUnique/>
      </w:docPartObj>
    </w:sdtPr>
    <w:sdtEndPr>
      <w:rPr>
        <w:noProof/>
      </w:rPr>
    </w:sdtEndPr>
    <w:sdtContent>
      <w:p w14:paraId="4AEF83AE" w14:textId="3C35C418" w:rsidR="000D4A46" w:rsidRDefault="000D4A46">
        <w:pPr>
          <w:pStyle w:val="Footer"/>
          <w:jc w:val="right"/>
        </w:pPr>
        <w:r>
          <w:fldChar w:fldCharType="begin"/>
        </w:r>
        <w:r>
          <w:instrText xml:space="preserve"> PAGE   \* MERGEFORMAT </w:instrText>
        </w:r>
        <w:r>
          <w:fldChar w:fldCharType="separate"/>
        </w:r>
        <w:r w:rsidR="00560269">
          <w:rPr>
            <w:noProof/>
          </w:rPr>
          <w:t>1</w:t>
        </w:r>
        <w:r>
          <w:rPr>
            <w:noProof/>
          </w:rPr>
          <w:fldChar w:fldCharType="end"/>
        </w:r>
      </w:p>
    </w:sdtContent>
  </w:sdt>
  <w:p w14:paraId="619B8001" w14:textId="77777777" w:rsidR="000D4A46" w:rsidRDefault="000D4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77A0" w14:textId="77777777" w:rsidR="00DE39FD" w:rsidRDefault="00DE3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F0B1" w14:textId="77777777" w:rsidR="00295494" w:rsidRDefault="00295494" w:rsidP="0042771D">
      <w:pPr>
        <w:spacing w:after="0" w:line="240" w:lineRule="auto"/>
      </w:pPr>
      <w:r>
        <w:separator/>
      </w:r>
    </w:p>
  </w:footnote>
  <w:footnote w:type="continuationSeparator" w:id="0">
    <w:p w14:paraId="333CA081" w14:textId="77777777" w:rsidR="00295494" w:rsidRDefault="00295494" w:rsidP="0042771D">
      <w:pPr>
        <w:spacing w:after="0" w:line="240" w:lineRule="auto"/>
      </w:pPr>
      <w:r>
        <w:continuationSeparator/>
      </w:r>
    </w:p>
  </w:footnote>
  <w:footnote w:id="1">
    <w:p w14:paraId="309A9CE7" w14:textId="3991938B" w:rsidR="00552F98" w:rsidRPr="00855095" w:rsidRDefault="00552F98" w:rsidP="00552F98">
      <w:pPr>
        <w:pStyle w:val="FootnoteText"/>
        <w:ind w:firstLine="720"/>
        <w:rPr>
          <w:rFonts w:cs="Times New Roman"/>
        </w:rPr>
      </w:pPr>
      <w:r w:rsidRPr="00855095">
        <w:rPr>
          <w:rStyle w:val="FootnoteReference"/>
        </w:rPr>
        <w:footnoteRef/>
      </w:r>
      <w:r w:rsidRPr="00855095">
        <w:rPr>
          <w:rFonts w:cs="Times New Roman"/>
        </w:rPr>
        <w:t xml:space="preserve"> TCPA is a trade association representing power generation companies and wholesale power marketers with investments in Texas and the Electric Reliability Council of Texas (ERCOT) wholesale electric market. TCPA members and their affiliates provide a wide range of important market functions and services in ERCOT, including development, operation, and management of power generation assets, power scheduling and marketing, energy management services and sales of competitive electric service to consumers. TCPA members participating in this filing </w:t>
      </w:r>
      <w:r>
        <w:rPr>
          <w:rFonts w:cs="Times New Roman"/>
        </w:rPr>
        <w:t>own more than 55,000 MW of</w:t>
      </w:r>
      <w:r w:rsidRPr="00855095">
        <w:rPr>
          <w:rFonts w:cs="Times New Roman"/>
        </w:rPr>
        <w:t xml:space="preserve"> generating capacity in ERCOT, representing billions of dollars of investment in the state, and employing thousands of Texans. </w:t>
      </w:r>
      <w:r w:rsidRPr="0011418A">
        <w:rPr>
          <w:rFonts w:cs="Times New Roman"/>
        </w:rPr>
        <w:t xml:space="preserve">TCPA member companies participating in these comments </w:t>
      </w:r>
      <w:proofErr w:type="gramStart"/>
      <w:r w:rsidRPr="0011418A">
        <w:rPr>
          <w:rFonts w:cs="Times New Roman"/>
        </w:rPr>
        <w:t>include:</w:t>
      </w:r>
      <w:proofErr w:type="gramEnd"/>
      <w:r w:rsidRPr="0011418A">
        <w:rPr>
          <w:rFonts w:cs="Times New Roman"/>
        </w:rPr>
        <w:t xml:space="preserve"> Calpine, </w:t>
      </w:r>
      <w:proofErr w:type="spellStart"/>
      <w:r w:rsidRPr="0011418A">
        <w:rPr>
          <w:rFonts w:cs="Times New Roman"/>
        </w:rPr>
        <w:t>Cogentrix</w:t>
      </w:r>
      <w:proofErr w:type="spellEnd"/>
      <w:r w:rsidRPr="0011418A">
        <w:rPr>
          <w:rFonts w:cs="Times New Roman"/>
        </w:rPr>
        <w:t xml:space="preserve">, Constellation (formerly Exelon), EDF Trading North America, </w:t>
      </w:r>
      <w:r>
        <w:rPr>
          <w:rFonts w:cs="Times New Roman"/>
        </w:rPr>
        <w:t>Hull Street Energy</w:t>
      </w:r>
      <w:r w:rsidRPr="0011418A">
        <w:rPr>
          <w:rFonts w:cs="Times New Roman"/>
        </w:rPr>
        <w:t>,</w:t>
      </w:r>
      <w:r>
        <w:rPr>
          <w:rFonts w:cs="Times New Roman"/>
        </w:rPr>
        <w:t xml:space="preserve"> LS Power,</w:t>
      </w:r>
      <w:r w:rsidRPr="0011418A">
        <w:rPr>
          <w:rFonts w:cs="Times New Roman"/>
        </w:rPr>
        <w:t xml:space="preserve"> </w:t>
      </w:r>
      <w:r w:rsidR="002510A0">
        <w:rPr>
          <w:rFonts w:cs="Times New Roman"/>
        </w:rPr>
        <w:t>Luminant</w:t>
      </w:r>
      <w:r w:rsidR="00717DCD">
        <w:rPr>
          <w:rFonts w:cs="Times New Roman"/>
        </w:rPr>
        <w:t xml:space="preserve"> (a.k.a. Vistra)</w:t>
      </w:r>
      <w:r w:rsidR="002510A0">
        <w:rPr>
          <w:rFonts w:cs="Times New Roman"/>
        </w:rPr>
        <w:t xml:space="preserve">, </w:t>
      </w:r>
      <w:r>
        <w:rPr>
          <w:rFonts w:cs="Times New Roman"/>
        </w:rPr>
        <w:t>NRG, Rockland Capital</w:t>
      </w:r>
      <w:r w:rsidRPr="0011418A">
        <w:rPr>
          <w:rFonts w:cs="Times New Roman"/>
        </w:rPr>
        <w:t xml:space="preserve">, </w:t>
      </w:r>
      <w:r>
        <w:rPr>
          <w:rFonts w:cs="Times New Roman"/>
        </w:rPr>
        <w:t xml:space="preserve">Shell Energy North America, </w:t>
      </w:r>
      <w:r w:rsidRPr="0011418A">
        <w:rPr>
          <w:rFonts w:cs="Times New Roman"/>
        </w:rPr>
        <w:t xml:space="preserve">Talen Energy, Tenaska, </w:t>
      </w:r>
      <w:proofErr w:type="spellStart"/>
      <w:r w:rsidRPr="0011418A">
        <w:rPr>
          <w:rFonts w:cs="Times New Roman"/>
        </w:rPr>
        <w:t>TexGen</w:t>
      </w:r>
      <w:proofErr w:type="spellEnd"/>
      <w:r w:rsidRPr="0011418A">
        <w:rPr>
          <w:rFonts w:cs="Times New Roman"/>
        </w:rPr>
        <w:t xml:space="preserve"> Power</w:t>
      </w:r>
      <w:r w:rsidR="00CE26E6">
        <w:rPr>
          <w:rFonts w:cs="Times New Roman"/>
        </w:rPr>
        <w:t>, and</w:t>
      </w:r>
      <w:r w:rsidRPr="0011418A">
        <w:rPr>
          <w:rFonts w:cs="Times New Roman"/>
        </w:rPr>
        <w:t xml:space="preserve"> </w:t>
      </w:r>
      <w:proofErr w:type="spellStart"/>
      <w:r w:rsidRPr="0011418A">
        <w:rPr>
          <w:rFonts w:cs="Times New Roman"/>
        </w:rPr>
        <w:t>WattBridge</w:t>
      </w:r>
      <w:proofErr w:type="spellEnd"/>
      <w:r w:rsidRPr="0011418A">
        <w:rPr>
          <w:rFonts w:cs="Times New Roman"/>
        </w:rPr>
        <w:t>.</w:t>
      </w:r>
      <w:r>
        <w:rPr>
          <w:rFonts w:cs="Times New Roman"/>
        </w:rPr>
        <w:t xml:space="preserve"> </w:t>
      </w:r>
    </w:p>
  </w:footnote>
  <w:footnote w:id="2">
    <w:p w14:paraId="4E0E41F5" w14:textId="18936514" w:rsidR="000E3EF8" w:rsidRDefault="000E3EF8">
      <w:pPr>
        <w:pStyle w:val="FootnoteText"/>
      </w:pPr>
      <w:r>
        <w:rPr>
          <w:rStyle w:val="FootnoteReference"/>
        </w:rPr>
        <w:footnoteRef/>
      </w:r>
      <w:r>
        <w:t xml:space="preserve"> </w:t>
      </w:r>
      <w:r>
        <w:rPr>
          <w:i/>
          <w:iCs/>
        </w:rPr>
        <w:t>Generation Interconnection Allowance</w:t>
      </w:r>
      <w:r>
        <w:t xml:space="preserve">, Project No. 55566, </w:t>
      </w:r>
      <w:r w:rsidRPr="000E3EF8">
        <w:rPr>
          <w:rFonts w:cs="Times New Roman"/>
          <w:color w:val="333333"/>
          <w:shd w:val="clear" w:color="auto" w:fill="FFFFFF"/>
        </w:rPr>
        <w:t xml:space="preserve">Office </w:t>
      </w:r>
      <w:r>
        <w:rPr>
          <w:rFonts w:cs="Times New Roman"/>
          <w:color w:val="333333"/>
          <w:shd w:val="clear" w:color="auto" w:fill="FFFFFF"/>
        </w:rPr>
        <w:t>o</w:t>
      </w:r>
      <w:r w:rsidRPr="000E3EF8">
        <w:rPr>
          <w:rFonts w:cs="Times New Roman"/>
          <w:color w:val="333333"/>
          <w:shd w:val="clear" w:color="auto" w:fill="FFFFFF"/>
        </w:rPr>
        <w:t xml:space="preserve">f Public Utility Counsel’s Initial Comments </w:t>
      </w:r>
      <w:r>
        <w:rPr>
          <w:rFonts w:cs="Times New Roman"/>
          <w:color w:val="333333"/>
          <w:shd w:val="clear" w:color="auto" w:fill="FFFFFF"/>
        </w:rPr>
        <w:t>o</w:t>
      </w:r>
      <w:r w:rsidRPr="000E3EF8">
        <w:rPr>
          <w:rFonts w:cs="Times New Roman"/>
          <w:color w:val="333333"/>
          <w:shd w:val="clear" w:color="auto" w:fill="FFFFFF"/>
        </w:rPr>
        <w:t>n Proposed Amendments To 16 Tac § 25.195</w:t>
      </w:r>
      <w:r>
        <w:rPr>
          <w:rFonts w:cs="Times New Roman"/>
          <w:color w:val="333333"/>
          <w:shd w:val="clear" w:color="auto" w:fill="FFFFFF"/>
        </w:rPr>
        <w:t xml:space="preserve"> at 2 (January 4, 2024); Public Utility Regulatory Act (PURA) §35.004 (d-</w:t>
      </w:r>
      <w:proofErr w:type="gramStart"/>
      <w:r>
        <w:rPr>
          <w:rFonts w:cs="Times New Roman"/>
          <w:color w:val="333333"/>
          <w:shd w:val="clear" w:color="auto" w:fill="FFFFFF"/>
        </w:rPr>
        <w:t>1)(</w:t>
      </w:r>
      <w:proofErr w:type="gramEnd"/>
      <w:r>
        <w:rPr>
          <w:rFonts w:cs="Times New Roman"/>
          <w:color w:val="333333"/>
          <w:shd w:val="clear" w:color="auto" w:fill="FFFFFF"/>
        </w:rPr>
        <w:t>1).</w:t>
      </w:r>
    </w:p>
  </w:footnote>
  <w:footnote w:id="3">
    <w:p w14:paraId="34C59DFC" w14:textId="192554AD" w:rsidR="008E6147" w:rsidRDefault="008E6147">
      <w:pPr>
        <w:pStyle w:val="FootnoteText"/>
      </w:pPr>
      <w:r>
        <w:rPr>
          <w:rStyle w:val="FootnoteReference"/>
        </w:rPr>
        <w:footnoteRef/>
      </w:r>
      <w:r>
        <w:t xml:space="preserve"> CSSB 1287 Senate Research Center Bill Analysis states “S.B. 1287 seeks to provide for a cap on the amount of capital costs incurred to interconnect generation resources and electric energy storage resources with the ERCOT transmission system that may be socialized and require that any excess costs be borne directly by the applicable generation resource or electric energy storage resource.”</w:t>
      </w:r>
      <w:r w:rsidR="00626B52">
        <w:t xml:space="preserve"> Enrolled HB 1500 bill summary states the bill “requires the PUC to establish a reasonable allowance for costs incurred by transmission-owning utilities to interconnect generation resources to the ERCOT transmission system and </w:t>
      </w:r>
      <w:r w:rsidR="00626B52" w:rsidRPr="00626B52">
        <w:rPr>
          <w:b/>
          <w:bCs/>
          <w:i/>
          <w:iCs/>
        </w:rPr>
        <w:t>requires that costs in excess of the allowance</w:t>
      </w:r>
      <w:r w:rsidR="00626B52">
        <w:t xml:space="preserve"> be directly assigned to and collected from the generation resource.” (emphasis added)</w:t>
      </w:r>
    </w:p>
  </w:footnote>
  <w:footnote w:id="4">
    <w:p w14:paraId="54041A9D" w14:textId="6AC02CC7" w:rsidR="00D224EB" w:rsidRDefault="00D224EB">
      <w:pPr>
        <w:pStyle w:val="FootnoteText"/>
      </w:pPr>
      <w:r>
        <w:rPr>
          <w:rStyle w:val="FootnoteReference"/>
        </w:rPr>
        <w:footnoteRef/>
      </w:r>
      <w:r>
        <w:t xml:space="preserve"> SB 1287, 88</w:t>
      </w:r>
      <w:r w:rsidRPr="00D224EB">
        <w:rPr>
          <w:vertAlign w:val="superscript"/>
        </w:rPr>
        <w:t>th</w:t>
      </w:r>
      <w:r>
        <w:t xml:space="preserve"> Regular Session, House Research Organization Bill Digest at 2.</w:t>
      </w:r>
    </w:p>
  </w:footnote>
  <w:footnote w:id="5">
    <w:p w14:paraId="59A61667" w14:textId="47964472" w:rsidR="00D224EB" w:rsidRDefault="00D224EB">
      <w:pPr>
        <w:pStyle w:val="FootnoteText"/>
      </w:pPr>
      <w:r>
        <w:rPr>
          <w:rStyle w:val="FootnoteReference"/>
        </w:rPr>
        <w:footnoteRef/>
      </w:r>
      <w:r>
        <w:t xml:space="preserve"> PURA </w:t>
      </w:r>
      <w:r>
        <w:rPr>
          <w:rFonts w:cs="Times New Roman"/>
          <w:color w:val="333333"/>
          <w:shd w:val="clear" w:color="auto" w:fill="FFFFFF"/>
        </w:rPr>
        <w:t>35.004 (d-1).</w:t>
      </w:r>
    </w:p>
  </w:footnote>
  <w:footnote w:id="6">
    <w:p w14:paraId="19959624" w14:textId="1F98A844" w:rsidR="00820314" w:rsidRPr="00820314" w:rsidRDefault="00820314">
      <w:pPr>
        <w:pStyle w:val="FootnoteText"/>
        <w:rPr>
          <w:rFonts w:cs="Times New Roman"/>
        </w:rPr>
      </w:pPr>
      <w:r>
        <w:rPr>
          <w:rStyle w:val="FootnoteReference"/>
        </w:rPr>
        <w:footnoteRef/>
      </w:r>
      <w:r>
        <w:t xml:space="preserve"> </w:t>
      </w:r>
      <w:r w:rsidR="00EE724C">
        <w:rPr>
          <w:rFonts w:cs="Times New Roman"/>
          <w:color w:val="333333"/>
          <w:shd w:val="clear" w:color="auto" w:fill="FFFFFF"/>
        </w:rPr>
        <w:t>In the historical data posted in Project No. 55666 at Item No. 44, there are gas projects in CenterPoint’s territory that appear to have a per MW cost</w:t>
      </w:r>
      <w:r w:rsidR="00120817">
        <w:rPr>
          <w:rFonts w:cs="Times New Roman"/>
          <w:color w:val="333333"/>
          <w:shd w:val="clear" w:color="auto" w:fill="FFFFFF"/>
        </w:rPr>
        <w:t xml:space="preserve"> well</w:t>
      </w:r>
      <w:r w:rsidR="00EE724C">
        <w:rPr>
          <w:rFonts w:cs="Times New Roman"/>
          <w:color w:val="333333"/>
          <w:shd w:val="clear" w:color="auto" w:fill="FFFFFF"/>
        </w:rPr>
        <w:t xml:space="preserve"> over $100k per MW, which is on the higher end of the per MW interconnection costs (though not when viewing the data </w:t>
      </w:r>
      <w:r w:rsidR="00120817">
        <w:rPr>
          <w:rFonts w:cs="Times New Roman"/>
          <w:color w:val="333333"/>
          <w:shd w:val="clear" w:color="auto" w:fill="FFFFFF"/>
        </w:rPr>
        <w:t>on a total cost basis)</w:t>
      </w:r>
      <w:r w:rsidR="00EE724C">
        <w:rPr>
          <w:rFonts w:cs="Times New Roman"/>
          <w:color w:val="333333"/>
          <w:shd w:val="clear" w:color="auto" w:fill="FFFFFF"/>
        </w:rPr>
        <w:t xml:space="preserve">. </w:t>
      </w:r>
    </w:p>
  </w:footnote>
  <w:footnote w:id="7">
    <w:p w14:paraId="0708D782" w14:textId="5EA8D444" w:rsidR="000E2CFB" w:rsidRDefault="000E2CFB">
      <w:pPr>
        <w:pStyle w:val="FootnoteText"/>
      </w:pPr>
      <w:r>
        <w:rPr>
          <w:rStyle w:val="FootnoteReference"/>
        </w:rPr>
        <w:footnoteRef/>
      </w:r>
      <w:r>
        <w:t xml:space="preserve"> </w:t>
      </w:r>
      <w:r>
        <w:rPr>
          <w:i/>
          <w:iCs/>
        </w:rPr>
        <w:t>Generation Interconnection Allowance</w:t>
      </w:r>
      <w:r>
        <w:t xml:space="preserve">, Project No. 55566, </w:t>
      </w:r>
      <w:r w:rsidRPr="000E2CFB">
        <w:rPr>
          <w:rFonts w:cs="Times New Roman"/>
          <w:color w:val="333333"/>
          <w:shd w:val="clear" w:color="auto" w:fill="FFFFFF"/>
        </w:rPr>
        <w:t>Oncor Electric Delivery Company L</w:t>
      </w:r>
      <w:r>
        <w:rPr>
          <w:rFonts w:cs="Times New Roman"/>
          <w:color w:val="333333"/>
          <w:shd w:val="clear" w:color="auto" w:fill="FFFFFF"/>
        </w:rPr>
        <w:t>LC</w:t>
      </w:r>
      <w:r w:rsidRPr="000E2CFB">
        <w:rPr>
          <w:rFonts w:cs="Times New Roman"/>
          <w:color w:val="333333"/>
          <w:shd w:val="clear" w:color="auto" w:fill="FFFFFF"/>
        </w:rPr>
        <w:t xml:space="preserve">'s Comments </w:t>
      </w:r>
      <w:r>
        <w:rPr>
          <w:rFonts w:cs="Times New Roman"/>
          <w:color w:val="333333"/>
          <w:shd w:val="clear" w:color="auto" w:fill="FFFFFF"/>
        </w:rPr>
        <w:t>o</w:t>
      </w:r>
      <w:r w:rsidRPr="000E2CFB">
        <w:rPr>
          <w:rFonts w:cs="Times New Roman"/>
          <w:color w:val="333333"/>
          <w:shd w:val="clear" w:color="auto" w:fill="FFFFFF"/>
        </w:rPr>
        <w:t xml:space="preserve">n Proposal </w:t>
      </w:r>
      <w:r>
        <w:rPr>
          <w:rFonts w:cs="Times New Roman"/>
          <w:color w:val="333333"/>
          <w:shd w:val="clear" w:color="auto" w:fill="FFFFFF"/>
        </w:rPr>
        <w:t>f</w:t>
      </w:r>
      <w:r w:rsidRPr="000E2CFB">
        <w:rPr>
          <w:rFonts w:cs="Times New Roman"/>
          <w:color w:val="333333"/>
          <w:shd w:val="clear" w:color="auto" w:fill="FFFFFF"/>
        </w:rPr>
        <w:t xml:space="preserve">or Publication </w:t>
      </w:r>
      <w:r>
        <w:rPr>
          <w:rFonts w:cs="Times New Roman"/>
          <w:color w:val="333333"/>
          <w:shd w:val="clear" w:color="auto" w:fill="FFFFFF"/>
        </w:rPr>
        <w:t>o</w:t>
      </w:r>
      <w:r w:rsidRPr="000E2CFB">
        <w:rPr>
          <w:rFonts w:cs="Times New Roman"/>
          <w:color w:val="333333"/>
          <w:shd w:val="clear" w:color="auto" w:fill="FFFFFF"/>
        </w:rPr>
        <w:t xml:space="preserve">f Amendments </w:t>
      </w:r>
      <w:r>
        <w:rPr>
          <w:rFonts w:cs="Times New Roman"/>
          <w:color w:val="333333"/>
          <w:shd w:val="clear" w:color="auto" w:fill="FFFFFF"/>
        </w:rPr>
        <w:t>t</w:t>
      </w:r>
      <w:r w:rsidRPr="000E2CFB">
        <w:rPr>
          <w:rFonts w:cs="Times New Roman"/>
          <w:color w:val="333333"/>
          <w:shd w:val="clear" w:color="auto" w:fill="FFFFFF"/>
        </w:rPr>
        <w:t>o 16 T</w:t>
      </w:r>
      <w:r>
        <w:rPr>
          <w:rFonts w:cs="Times New Roman"/>
          <w:color w:val="333333"/>
          <w:shd w:val="clear" w:color="auto" w:fill="FFFFFF"/>
        </w:rPr>
        <w:t>AC</w:t>
      </w:r>
      <w:r w:rsidRPr="000E2CFB">
        <w:rPr>
          <w:rFonts w:cs="Times New Roman"/>
          <w:color w:val="333333"/>
          <w:shd w:val="clear" w:color="auto" w:fill="FFFFFF"/>
        </w:rPr>
        <w:t xml:space="preserve"> § 25.195</w:t>
      </w:r>
      <w:r>
        <w:rPr>
          <w:rFonts w:cs="Times New Roman"/>
          <w:color w:val="333333"/>
          <w:shd w:val="clear" w:color="auto" w:fill="FFFFFF"/>
        </w:rPr>
        <w:t xml:space="preserve"> at 5-6 (January 4, 2024)</w:t>
      </w:r>
    </w:p>
  </w:footnote>
  <w:footnote w:id="8">
    <w:p w14:paraId="0FB9219D" w14:textId="2F5A9930" w:rsidR="00A92D39" w:rsidRDefault="00A92D39">
      <w:pPr>
        <w:pStyle w:val="FootnoteText"/>
      </w:pPr>
      <w:r>
        <w:rPr>
          <w:rStyle w:val="FootnoteReference"/>
        </w:rPr>
        <w:footnoteRef/>
      </w:r>
      <w:r>
        <w:t xml:space="preserve"> </w:t>
      </w:r>
      <w:r>
        <w:rPr>
          <w:i/>
          <w:iCs/>
        </w:rPr>
        <w:t>Generation Interconnection Allowance</w:t>
      </w:r>
      <w:r>
        <w:t xml:space="preserve">, Project No. 55566, </w:t>
      </w:r>
      <w:r w:rsidRPr="00820314">
        <w:rPr>
          <w:rFonts w:cs="Times New Roman"/>
          <w:color w:val="333333"/>
          <w:shd w:val="clear" w:color="auto" w:fill="FFFFFF"/>
        </w:rPr>
        <w:t xml:space="preserve">Wattbridge Comments </w:t>
      </w:r>
      <w:r>
        <w:rPr>
          <w:rFonts w:cs="Times New Roman"/>
          <w:color w:val="333333"/>
          <w:shd w:val="clear" w:color="auto" w:fill="FFFFFF"/>
        </w:rPr>
        <w:t>t</w:t>
      </w:r>
      <w:r w:rsidRPr="00820314">
        <w:rPr>
          <w:rFonts w:cs="Times New Roman"/>
          <w:color w:val="333333"/>
          <w:shd w:val="clear" w:color="auto" w:fill="FFFFFF"/>
        </w:rPr>
        <w:t xml:space="preserve">o Proposed Rulemaking </w:t>
      </w:r>
      <w:r>
        <w:rPr>
          <w:rFonts w:cs="Times New Roman"/>
          <w:color w:val="333333"/>
          <w:shd w:val="clear" w:color="auto" w:fill="FFFFFF"/>
        </w:rPr>
        <w:t>f</w:t>
      </w:r>
      <w:r w:rsidRPr="00820314">
        <w:rPr>
          <w:rFonts w:cs="Times New Roman"/>
          <w:color w:val="333333"/>
          <w:shd w:val="clear" w:color="auto" w:fill="FFFFFF"/>
        </w:rPr>
        <w:t>or Transmission Allowance</w:t>
      </w:r>
      <w:r>
        <w:rPr>
          <w:rFonts w:cs="Times New Roman"/>
          <w:color w:val="333333"/>
          <w:shd w:val="clear" w:color="auto" w:fill="FFFFFF"/>
        </w:rPr>
        <w:t xml:space="preserve"> at 2-3 (January 3, 2024) (noting that some of its gas projects in CenterPoint’s territory have interconnection costs up to $22 million, notwithstanding that they involve relatively short interconnections).</w:t>
      </w:r>
    </w:p>
  </w:footnote>
  <w:footnote w:id="9">
    <w:p w14:paraId="20504E1B" w14:textId="463A067B" w:rsidR="00A10CEC" w:rsidRPr="00BC6296" w:rsidRDefault="00A10CEC">
      <w:pPr>
        <w:pStyle w:val="FootnoteText"/>
        <w:rPr>
          <w:rFonts w:cs="Times New Roman"/>
        </w:rPr>
      </w:pPr>
      <w:r>
        <w:rPr>
          <w:rStyle w:val="FootnoteReference"/>
        </w:rPr>
        <w:footnoteRef/>
      </w:r>
      <w:r>
        <w:t xml:space="preserve"> </w:t>
      </w:r>
      <w:r>
        <w:rPr>
          <w:i/>
          <w:iCs/>
        </w:rPr>
        <w:t>Generation Interconnection Allowance</w:t>
      </w:r>
      <w:r>
        <w:t xml:space="preserve">, Project No. 55566, </w:t>
      </w:r>
      <w:r w:rsidR="00BC6296" w:rsidRPr="00BC6296">
        <w:rPr>
          <w:rFonts w:cs="Times New Roman"/>
          <w:color w:val="333333"/>
          <w:shd w:val="clear" w:color="auto" w:fill="FFFFFF"/>
        </w:rPr>
        <w:t>TSPA Initial Comments on Proposal for Publication to Amend 16 TAC § 25.195</w:t>
      </w:r>
      <w:r w:rsidR="00BC6296">
        <w:rPr>
          <w:rFonts w:cs="Times New Roman"/>
          <w:color w:val="333333"/>
          <w:shd w:val="clear" w:color="auto" w:fill="FFFFFF"/>
        </w:rPr>
        <w:t xml:space="preserve"> at 8-10 (January 4,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C9F6" w14:textId="77777777" w:rsidR="00DE39FD" w:rsidRDefault="00DE3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4E26" w14:textId="4CEFE0B1" w:rsidR="00DE39FD" w:rsidRDefault="00DE3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F959" w14:textId="77777777" w:rsidR="00DE39FD" w:rsidRDefault="00DE3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840"/>
    <w:multiLevelType w:val="hybridMultilevel"/>
    <w:tmpl w:val="FC82BE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37317"/>
    <w:multiLevelType w:val="hybridMultilevel"/>
    <w:tmpl w:val="626AFF66"/>
    <w:lvl w:ilvl="0" w:tplc="AD82FC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E6F75"/>
    <w:multiLevelType w:val="hybridMultilevel"/>
    <w:tmpl w:val="68C606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CE14FA"/>
    <w:multiLevelType w:val="hybridMultilevel"/>
    <w:tmpl w:val="0C22C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93F74"/>
    <w:multiLevelType w:val="hybridMultilevel"/>
    <w:tmpl w:val="2C5AE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C0A14"/>
    <w:multiLevelType w:val="hybridMultilevel"/>
    <w:tmpl w:val="9D0C814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311FA8"/>
    <w:multiLevelType w:val="hybridMultilevel"/>
    <w:tmpl w:val="6890D0D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5454C4"/>
    <w:multiLevelType w:val="hybridMultilevel"/>
    <w:tmpl w:val="04FA2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030F9B"/>
    <w:multiLevelType w:val="hybridMultilevel"/>
    <w:tmpl w:val="F8822D0C"/>
    <w:lvl w:ilvl="0" w:tplc="36A824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D1D3E"/>
    <w:multiLevelType w:val="hybridMultilevel"/>
    <w:tmpl w:val="15A0EB6A"/>
    <w:lvl w:ilvl="0" w:tplc="01F8EA62">
      <w:start w:val="1"/>
      <w:numFmt w:val="bullet"/>
      <w:lvlText w:val="•"/>
      <w:lvlJc w:val="left"/>
      <w:pPr>
        <w:tabs>
          <w:tab w:val="num" w:pos="720"/>
        </w:tabs>
        <w:ind w:left="720" w:hanging="360"/>
      </w:pPr>
      <w:rPr>
        <w:rFonts w:ascii="Arial" w:hAnsi="Arial" w:hint="default"/>
      </w:rPr>
    </w:lvl>
    <w:lvl w:ilvl="1" w:tplc="3214AE98">
      <w:numFmt w:val="bullet"/>
      <w:lvlText w:val="–"/>
      <w:lvlJc w:val="left"/>
      <w:pPr>
        <w:tabs>
          <w:tab w:val="num" w:pos="1440"/>
        </w:tabs>
        <w:ind w:left="1440" w:hanging="360"/>
      </w:pPr>
      <w:rPr>
        <w:rFonts w:ascii="Arial" w:hAnsi="Arial" w:hint="default"/>
      </w:rPr>
    </w:lvl>
    <w:lvl w:ilvl="2" w:tplc="952649A0" w:tentative="1">
      <w:start w:val="1"/>
      <w:numFmt w:val="bullet"/>
      <w:lvlText w:val="•"/>
      <w:lvlJc w:val="left"/>
      <w:pPr>
        <w:tabs>
          <w:tab w:val="num" w:pos="2160"/>
        </w:tabs>
        <w:ind w:left="2160" w:hanging="360"/>
      </w:pPr>
      <w:rPr>
        <w:rFonts w:ascii="Arial" w:hAnsi="Arial" w:hint="default"/>
      </w:rPr>
    </w:lvl>
    <w:lvl w:ilvl="3" w:tplc="E4AE625E" w:tentative="1">
      <w:start w:val="1"/>
      <w:numFmt w:val="bullet"/>
      <w:lvlText w:val="•"/>
      <w:lvlJc w:val="left"/>
      <w:pPr>
        <w:tabs>
          <w:tab w:val="num" w:pos="2880"/>
        </w:tabs>
        <w:ind w:left="2880" w:hanging="360"/>
      </w:pPr>
      <w:rPr>
        <w:rFonts w:ascii="Arial" w:hAnsi="Arial" w:hint="default"/>
      </w:rPr>
    </w:lvl>
    <w:lvl w:ilvl="4" w:tplc="0BC0437E" w:tentative="1">
      <w:start w:val="1"/>
      <w:numFmt w:val="bullet"/>
      <w:lvlText w:val="•"/>
      <w:lvlJc w:val="left"/>
      <w:pPr>
        <w:tabs>
          <w:tab w:val="num" w:pos="3600"/>
        </w:tabs>
        <w:ind w:left="3600" w:hanging="360"/>
      </w:pPr>
      <w:rPr>
        <w:rFonts w:ascii="Arial" w:hAnsi="Arial" w:hint="default"/>
      </w:rPr>
    </w:lvl>
    <w:lvl w:ilvl="5" w:tplc="B7D85F80" w:tentative="1">
      <w:start w:val="1"/>
      <w:numFmt w:val="bullet"/>
      <w:lvlText w:val="•"/>
      <w:lvlJc w:val="left"/>
      <w:pPr>
        <w:tabs>
          <w:tab w:val="num" w:pos="4320"/>
        </w:tabs>
        <w:ind w:left="4320" w:hanging="360"/>
      </w:pPr>
      <w:rPr>
        <w:rFonts w:ascii="Arial" w:hAnsi="Arial" w:hint="default"/>
      </w:rPr>
    </w:lvl>
    <w:lvl w:ilvl="6" w:tplc="0F6266E2" w:tentative="1">
      <w:start w:val="1"/>
      <w:numFmt w:val="bullet"/>
      <w:lvlText w:val="•"/>
      <w:lvlJc w:val="left"/>
      <w:pPr>
        <w:tabs>
          <w:tab w:val="num" w:pos="5040"/>
        </w:tabs>
        <w:ind w:left="5040" w:hanging="360"/>
      </w:pPr>
      <w:rPr>
        <w:rFonts w:ascii="Arial" w:hAnsi="Arial" w:hint="default"/>
      </w:rPr>
    </w:lvl>
    <w:lvl w:ilvl="7" w:tplc="5DB66918" w:tentative="1">
      <w:start w:val="1"/>
      <w:numFmt w:val="bullet"/>
      <w:lvlText w:val="•"/>
      <w:lvlJc w:val="left"/>
      <w:pPr>
        <w:tabs>
          <w:tab w:val="num" w:pos="5760"/>
        </w:tabs>
        <w:ind w:left="5760" w:hanging="360"/>
      </w:pPr>
      <w:rPr>
        <w:rFonts w:ascii="Arial" w:hAnsi="Arial" w:hint="default"/>
      </w:rPr>
    </w:lvl>
    <w:lvl w:ilvl="8" w:tplc="38D24C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DF61B8"/>
    <w:multiLevelType w:val="hybridMultilevel"/>
    <w:tmpl w:val="0E227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B347F7"/>
    <w:multiLevelType w:val="hybridMultilevel"/>
    <w:tmpl w:val="12908388"/>
    <w:lvl w:ilvl="0" w:tplc="CA3E522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260608"/>
    <w:multiLevelType w:val="hybridMultilevel"/>
    <w:tmpl w:val="3DD8D81E"/>
    <w:lvl w:ilvl="0" w:tplc="B056543C">
      <w:start w:val="1"/>
      <w:numFmt w:val="decimal"/>
      <w:lvlText w:val="%1."/>
      <w:lvlJc w:val="left"/>
      <w:pPr>
        <w:ind w:left="1440" w:hanging="360"/>
      </w:pPr>
      <w:rPr>
        <w:rFonts w:hint="default"/>
        <w:b/>
        <w:bCs/>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C4DEC"/>
    <w:multiLevelType w:val="hybridMultilevel"/>
    <w:tmpl w:val="FE7C7FD4"/>
    <w:lvl w:ilvl="0" w:tplc="6414D2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69503C"/>
    <w:multiLevelType w:val="hybridMultilevel"/>
    <w:tmpl w:val="BEB49316"/>
    <w:lvl w:ilvl="0" w:tplc="31920566">
      <w:start w:val="1"/>
      <w:numFmt w:val="bullet"/>
      <w:lvlText w:val="•"/>
      <w:lvlJc w:val="left"/>
      <w:pPr>
        <w:tabs>
          <w:tab w:val="num" w:pos="720"/>
        </w:tabs>
        <w:ind w:left="720" w:hanging="360"/>
      </w:pPr>
      <w:rPr>
        <w:rFonts w:ascii="Arial" w:hAnsi="Arial" w:hint="default"/>
      </w:rPr>
    </w:lvl>
    <w:lvl w:ilvl="1" w:tplc="8DFEE1EE" w:tentative="1">
      <w:start w:val="1"/>
      <w:numFmt w:val="bullet"/>
      <w:lvlText w:val="•"/>
      <w:lvlJc w:val="left"/>
      <w:pPr>
        <w:tabs>
          <w:tab w:val="num" w:pos="1440"/>
        </w:tabs>
        <w:ind w:left="1440" w:hanging="360"/>
      </w:pPr>
      <w:rPr>
        <w:rFonts w:ascii="Arial" w:hAnsi="Arial" w:hint="default"/>
      </w:rPr>
    </w:lvl>
    <w:lvl w:ilvl="2" w:tplc="E20EBE08" w:tentative="1">
      <w:start w:val="1"/>
      <w:numFmt w:val="bullet"/>
      <w:lvlText w:val="•"/>
      <w:lvlJc w:val="left"/>
      <w:pPr>
        <w:tabs>
          <w:tab w:val="num" w:pos="2160"/>
        </w:tabs>
        <w:ind w:left="2160" w:hanging="360"/>
      </w:pPr>
      <w:rPr>
        <w:rFonts w:ascii="Arial" w:hAnsi="Arial" w:hint="default"/>
      </w:rPr>
    </w:lvl>
    <w:lvl w:ilvl="3" w:tplc="BDEEFED2" w:tentative="1">
      <w:start w:val="1"/>
      <w:numFmt w:val="bullet"/>
      <w:lvlText w:val="•"/>
      <w:lvlJc w:val="left"/>
      <w:pPr>
        <w:tabs>
          <w:tab w:val="num" w:pos="2880"/>
        </w:tabs>
        <w:ind w:left="2880" w:hanging="360"/>
      </w:pPr>
      <w:rPr>
        <w:rFonts w:ascii="Arial" w:hAnsi="Arial" w:hint="default"/>
      </w:rPr>
    </w:lvl>
    <w:lvl w:ilvl="4" w:tplc="6530510E" w:tentative="1">
      <w:start w:val="1"/>
      <w:numFmt w:val="bullet"/>
      <w:lvlText w:val="•"/>
      <w:lvlJc w:val="left"/>
      <w:pPr>
        <w:tabs>
          <w:tab w:val="num" w:pos="3600"/>
        </w:tabs>
        <w:ind w:left="3600" w:hanging="360"/>
      </w:pPr>
      <w:rPr>
        <w:rFonts w:ascii="Arial" w:hAnsi="Arial" w:hint="default"/>
      </w:rPr>
    </w:lvl>
    <w:lvl w:ilvl="5" w:tplc="EFB0D0EC" w:tentative="1">
      <w:start w:val="1"/>
      <w:numFmt w:val="bullet"/>
      <w:lvlText w:val="•"/>
      <w:lvlJc w:val="left"/>
      <w:pPr>
        <w:tabs>
          <w:tab w:val="num" w:pos="4320"/>
        </w:tabs>
        <w:ind w:left="4320" w:hanging="360"/>
      </w:pPr>
      <w:rPr>
        <w:rFonts w:ascii="Arial" w:hAnsi="Arial" w:hint="default"/>
      </w:rPr>
    </w:lvl>
    <w:lvl w:ilvl="6" w:tplc="6818E4E6" w:tentative="1">
      <w:start w:val="1"/>
      <w:numFmt w:val="bullet"/>
      <w:lvlText w:val="•"/>
      <w:lvlJc w:val="left"/>
      <w:pPr>
        <w:tabs>
          <w:tab w:val="num" w:pos="5040"/>
        </w:tabs>
        <w:ind w:left="5040" w:hanging="360"/>
      </w:pPr>
      <w:rPr>
        <w:rFonts w:ascii="Arial" w:hAnsi="Arial" w:hint="default"/>
      </w:rPr>
    </w:lvl>
    <w:lvl w:ilvl="7" w:tplc="0E74D28C" w:tentative="1">
      <w:start w:val="1"/>
      <w:numFmt w:val="bullet"/>
      <w:lvlText w:val="•"/>
      <w:lvlJc w:val="left"/>
      <w:pPr>
        <w:tabs>
          <w:tab w:val="num" w:pos="5760"/>
        </w:tabs>
        <w:ind w:left="5760" w:hanging="360"/>
      </w:pPr>
      <w:rPr>
        <w:rFonts w:ascii="Arial" w:hAnsi="Arial" w:hint="default"/>
      </w:rPr>
    </w:lvl>
    <w:lvl w:ilvl="8" w:tplc="FA36837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055C3D"/>
    <w:multiLevelType w:val="hybridMultilevel"/>
    <w:tmpl w:val="D5BC3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81C25"/>
    <w:multiLevelType w:val="hybridMultilevel"/>
    <w:tmpl w:val="0E82D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6A3239D"/>
    <w:multiLevelType w:val="hybridMultilevel"/>
    <w:tmpl w:val="909E7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43CB9"/>
    <w:multiLevelType w:val="hybridMultilevel"/>
    <w:tmpl w:val="BDBEAD18"/>
    <w:lvl w:ilvl="0" w:tplc="DEE20C9A">
      <w:start w:val="1"/>
      <w:numFmt w:val="decimal"/>
      <w:lvlText w:val="%1."/>
      <w:lvlJc w:val="left"/>
      <w:pPr>
        <w:ind w:left="720" w:hanging="360"/>
      </w:pPr>
      <w:rPr>
        <w:rFonts w:hint="default"/>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D2190"/>
    <w:multiLevelType w:val="hybridMultilevel"/>
    <w:tmpl w:val="A554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5B779E"/>
    <w:multiLevelType w:val="hybridMultilevel"/>
    <w:tmpl w:val="3A70574E"/>
    <w:lvl w:ilvl="0" w:tplc="313E5EC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D0B75"/>
    <w:multiLevelType w:val="hybridMultilevel"/>
    <w:tmpl w:val="70A03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B1539F"/>
    <w:multiLevelType w:val="hybridMultilevel"/>
    <w:tmpl w:val="7C207A4A"/>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23" w15:restartNumberingAfterBreak="0">
    <w:nsid w:val="5F1B4A1E"/>
    <w:multiLevelType w:val="hybridMultilevel"/>
    <w:tmpl w:val="F59ADF52"/>
    <w:lvl w:ilvl="0" w:tplc="36A824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396102"/>
    <w:multiLevelType w:val="hybridMultilevel"/>
    <w:tmpl w:val="98EC34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D93CBC"/>
    <w:multiLevelType w:val="hybridMultilevel"/>
    <w:tmpl w:val="5D481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4A4449D"/>
    <w:multiLevelType w:val="hybridMultilevel"/>
    <w:tmpl w:val="13CE3DE6"/>
    <w:lvl w:ilvl="0" w:tplc="F4C24D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8030AA"/>
    <w:multiLevelType w:val="hybridMultilevel"/>
    <w:tmpl w:val="4A28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3775B"/>
    <w:multiLevelType w:val="hybridMultilevel"/>
    <w:tmpl w:val="FD5699C6"/>
    <w:lvl w:ilvl="0" w:tplc="A57290A8">
      <w:start w:val="1"/>
      <w:numFmt w:val="decimal"/>
      <w:lvlText w:val="%1)"/>
      <w:lvlJc w:val="left"/>
      <w:pPr>
        <w:ind w:left="1080" w:hanging="360"/>
      </w:pPr>
      <w:rPr>
        <w:rFonts w:ascii="Times New Roman" w:hAnsi="Times New Roman"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C3679F"/>
    <w:multiLevelType w:val="hybridMultilevel"/>
    <w:tmpl w:val="ABDC8AC4"/>
    <w:lvl w:ilvl="0" w:tplc="F09E7A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B06803"/>
    <w:multiLevelType w:val="hybridMultilevel"/>
    <w:tmpl w:val="25A80E54"/>
    <w:lvl w:ilvl="0" w:tplc="04090001">
      <w:start w:val="1"/>
      <w:numFmt w:val="bullet"/>
      <w:lvlText w:val=""/>
      <w:lvlJc w:val="left"/>
      <w:pPr>
        <w:ind w:left="1622" w:hanging="360"/>
      </w:pPr>
      <w:rPr>
        <w:rFonts w:ascii="Symbol" w:hAnsi="Symbol" w:hint="default"/>
      </w:rPr>
    </w:lvl>
    <w:lvl w:ilvl="1" w:tplc="04090003">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31" w15:restartNumberingAfterBreak="0">
    <w:nsid w:val="75EB7DD9"/>
    <w:multiLevelType w:val="hybridMultilevel"/>
    <w:tmpl w:val="543CE608"/>
    <w:lvl w:ilvl="0" w:tplc="4CE44E54">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7E0BA9"/>
    <w:multiLevelType w:val="hybridMultilevel"/>
    <w:tmpl w:val="34A883D6"/>
    <w:lvl w:ilvl="0" w:tplc="36A824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5136198">
    <w:abstractNumId w:val="20"/>
  </w:num>
  <w:num w:numId="2" w16cid:durableId="1707291323">
    <w:abstractNumId w:val="1"/>
  </w:num>
  <w:num w:numId="3" w16cid:durableId="1029525312">
    <w:abstractNumId w:val="18"/>
  </w:num>
  <w:num w:numId="4" w16cid:durableId="1634368541">
    <w:abstractNumId w:val="30"/>
  </w:num>
  <w:num w:numId="5" w16cid:durableId="1720862531">
    <w:abstractNumId w:val="4"/>
  </w:num>
  <w:num w:numId="6" w16cid:durableId="521476632">
    <w:abstractNumId w:val="0"/>
  </w:num>
  <w:num w:numId="7" w16cid:durableId="991373274">
    <w:abstractNumId w:val="3"/>
  </w:num>
  <w:num w:numId="8" w16cid:durableId="1799763163">
    <w:abstractNumId w:val="17"/>
  </w:num>
  <w:num w:numId="9" w16cid:durableId="1758865883">
    <w:abstractNumId w:val="28"/>
  </w:num>
  <w:num w:numId="10" w16cid:durableId="1631276577">
    <w:abstractNumId w:val="15"/>
  </w:num>
  <w:num w:numId="11" w16cid:durableId="356583039">
    <w:abstractNumId w:val="24"/>
  </w:num>
  <w:num w:numId="12" w16cid:durableId="702630024">
    <w:abstractNumId w:val="8"/>
  </w:num>
  <w:num w:numId="13" w16cid:durableId="167671657">
    <w:abstractNumId w:val="27"/>
  </w:num>
  <w:num w:numId="14" w16cid:durableId="547571133">
    <w:abstractNumId w:val="32"/>
  </w:num>
  <w:num w:numId="15" w16cid:durableId="510728791">
    <w:abstractNumId w:val="22"/>
  </w:num>
  <w:num w:numId="16" w16cid:durableId="820271307">
    <w:abstractNumId w:val="23"/>
  </w:num>
  <w:num w:numId="17" w16cid:durableId="1777556554">
    <w:abstractNumId w:val="9"/>
  </w:num>
  <w:num w:numId="18" w16cid:durableId="191651665">
    <w:abstractNumId w:val="31"/>
  </w:num>
  <w:num w:numId="19" w16cid:durableId="652567623">
    <w:abstractNumId w:val="26"/>
  </w:num>
  <w:num w:numId="20" w16cid:durableId="1023361770">
    <w:abstractNumId w:val="11"/>
  </w:num>
  <w:num w:numId="21" w16cid:durableId="1230530297">
    <w:abstractNumId w:val="12"/>
  </w:num>
  <w:num w:numId="22" w16cid:durableId="607275461">
    <w:abstractNumId w:val="19"/>
  </w:num>
  <w:num w:numId="23" w16cid:durableId="501892093">
    <w:abstractNumId w:val="13"/>
  </w:num>
  <w:num w:numId="24" w16cid:durableId="1859813223">
    <w:abstractNumId w:val="29"/>
  </w:num>
  <w:num w:numId="25" w16cid:durableId="983311852">
    <w:abstractNumId w:val="5"/>
  </w:num>
  <w:num w:numId="26" w16cid:durableId="8147454">
    <w:abstractNumId w:val="6"/>
  </w:num>
  <w:num w:numId="27" w16cid:durableId="565065595">
    <w:abstractNumId w:val="14"/>
  </w:num>
  <w:num w:numId="28" w16cid:durableId="32005398">
    <w:abstractNumId w:val="10"/>
  </w:num>
  <w:num w:numId="29" w16cid:durableId="1228758619">
    <w:abstractNumId w:val="16"/>
  </w:num>
  <w:num w:numId="30" w16cid:durableId="2044481624">
    <w:abstractNumId w:val="25"/>
  </w:num>
  <w:num w:numId="31" w16cid:durableId="1841504193">
    <w:abstractNumId w:val="21"/>
  </w:num>
  <w:num w:numId="32" w16cid:durableId="701514183">
    <w:abstractNumId w:val="7"/>
  </w:num>
  <w:num w:numId="33" w16cid:durableId="1412195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2C"/>
    <w:rsid w:val="00005293"/>
    <w:rsid w:val="000124C0"/>
    <w:rsid w:val="0001267D"/>
    <w:rsid w:val="000134D5"/>
    <w:rsid w:val="00014A00"/>
    <w:rsid w:val="00014D09"/>
    <w:rsid w:val="00016180"/>
    <w:rsid w:val="000215B9"/>
    <w:rsid w:val="0002383A"/>
    <w:rsid w:val="0002528C"/>
    <w:rsid w:val="000253AC"/>
    <w:rsid w:val="000256EA"/>
    <w:rsid w:val="00025770"/>
    <w:rsid w:val="00026AEF"/>
    <w:rsid w:val="000277FC"/>
    <w:rsid w:val="00033000"/>
    <w:rsid w:val="00036011"/>
    <w:rsid w:val="00036BDC"/>
    <w:rsid w:val="000401CA"/>
    <w:rsid w:val="00044C58"/>
    <w:rsid w:val="000458AB"/>
    <w:rsid w:val="00047133"/>
    <w:rsid w:val="00052054"/>
    <w:rsid w:val="0005216E"/>
    <w:rsid w:val="00053AD1"/>
    <w:rsid w:val="000567BE"/>
    <w:rsid w:val="00056D15"/>
    <w:rsid w:val="00063BC3"/>
    <w:rsid w:val="00072077"/>
    <w:rsid w:val="0007595A"/>
    <w:rsid w:val="00077A91"/>
    <w:rsid w:val="000815BA"/>
    <w:rsid w:val="00084352"/>
    <w:rsid w:val="0009064B"/>
    <w:rsid w:val="0009281F"/>
    <w:rsid w:val="0009426D"/>
    <w:rsid w:val="00096BDC"/>
    <w:rsid w:val="0009760C"/>
    <w:rsid w:val="000A13C9"/>
    <w:rsid w:val="000A2A8A"/>
    <w:rsid w:val="000A618B"/>
    <w:rsid w:val="000B019A"/>
    <w:rsid w:val="000B2AE6"/>
    <w:rsid w:val="000B2B08"/>
    <w:rsid w:val="000B478C"/>
    <w:rsid w:val="000B5111"/>
    <w:rsid w:val="000B529F"/>
    <w:rsid w:val="000B5702"/>
    <w:rsid w:val="000B6CB9"/>
    <w:rsid w:val="000C03F5"/>
    <w:rsid w:val="000C1286"/>
    <w:rsid w:val="000C3B93"/>
    <w:rsid w:val="000D2FA4"/>
    <w:rsid w:val="000D40C6"/>
    <w:rsid w:val="000D4A46"/>
    <w:rsid w:val="000D51A0"/>
    <w:rsid w:val="000D53D6"/>
    <w:rsid w:val="000D72A4"/>
    <w:rsid w:val="000E1768"/>
    <w:rsid w:val="000E2CFB"/>
    <w:rsid w:val="000E3167"/>
    <w:rsid w:val="000E3EF8"/>
    <w:rsid w:val="000E4EE3"/>
    <w:rsid w:val="000E75C5"/>
    <w:rsid w:val="000F0489"/>
    <w:rsid w:val="000F15FC"/>
    <w:rsid w:val="00100327"/>
    <w:rsid w:val="00101D49"/>
    <w:rsid w:val="001035A9"/>
    <w:rsid w:val="00113ABA"/>
    <w:rsid w:val="0011512E"/>
    <w:rsid w:val="00120817"/>
    <w:rsid w:val="00122989"/>
    <w:rsid w:val="00124F50"/>
    <w:rsid w:val="00126633"/>
    <w:rsid w:val="00126F9F"/>
    <w:rsid w:val="0013131B"/>
    <w:rsid w:val="00140D9F"/>
    <w:rsid w:val="00142A77"/>
    <w:rsid w:val="00143126"/>
    <w:rsid w:val="00146A41"/>
    <w:rsid w:val="001522F7"/>
    <w:rsid w:val="001569EC"/>
    <w:rsid w:val="00156EBA"/>
    <w:rsid w:val="00157DDD"/>
    <w:rsid w:val="00162D41"/>
    <w:rsid w:val="0016395E"/>
    <w:rsid w:val="0017428F"/>
    <w:rsid w:val="00174642"/>
    <w:rsid w:val="00175286"/>
    <w:rsid w:val="00177B68"/>
    <w:rsid w:val="001800CC"/>
    <w:rsid w:val="0019396E"/>
    <w:rsid w:val="001A0C3F"/>
    <w:rsid w:val="001A10C4"/>
    <w:rsid w:val="001A18C6"/>
    <w:rsid w:val="001A38D4"/>
    <w:rsid w:val="001A52A6"/>
    <w:rsid w:val="001B327D"/>
    <w:rsid w:val="001B48FC"/>
    <w:rsid w:val="001B5E4A"/>
    <w:rsid w:val="001B72BE"/>
    <w:rsid w:val="001B7F1E"/>
    <w:rsid w:val="001C0FC7"/>
    <w:rsid w:val="001C4D2E"/>
    <w:rsid w:val="001C4E09"/>
    <w:rsid w:val="001C7A7E"/>
    <w:rsid w:val="001D2144"/>
    <w:rsid w:val="001D3208"/>
    <w:rsid w:val="001D4743"/>
    <w:rsid w:val="001D70AA"/>
    <w:rsid w:val="001E18B2"/>
    <w:rsid w:val="001E2EA2"/>
    <w:rsid w:val="001E3AC7"/>
    <w:rsid w:val="001E41CA"/>
    <w:rsid w:val="001E4207"/>
    <w:rsid w:val="001E6F81"/>
    <w:rsid w:val="001F012E"/>
    <w:rsid w:val="001F38E6"/>
    <w:rsid w:val="001F7301"/>
    <w:rsid w:val="002049E2"/>
    <w:rsid w:val="00204B7B"/>
    <w:rsid w:val="00204D3E"/>
    <w:rsid w:val="0020550C"/>
    <w:rsid w:val="002075C7"/>
    <w:rsid w:val="00210859"/>
    <w:rsid w:val="002129EE"/>
    <w:rsid w:val="0022424C"/>
    <w:rsid w:val="002249D8"/>
    <w:rsid w:val="002261DC"/>
    <w:rsid w:val="00231754"/>
    <w:rsid w:val="00236997"/>
    <w:rsid w:val="00243202"/>
    <w:rsid w:val="00243517"/>
    <w:rsid w:val="0024529B"/>
    <w:rsid w:val="00245908"/>
    <w:rsid w:val="0024633F"/>
    <w:rsid w:val="002510A0"/>
    <w:rsid w:val="00251261"/>
    <w:rsid w:val="00255C23"/>
    <w:rsid w:val="00257F7A"/>
    <w:rsid w:val="0026104A"/>
    <w:rsid w:val="00270842"/>
    <w:rsid w:val="00272042"/>
    <w:rsid w:val="00274B19"/>
    <w:rsid w:val="00276E9D"/>
    <w:rsid w:val="00281FC9"/>
    <w:rsid w:val="002910C1"/>
    <w:rsid w:val="00295494"/>
    <w:rsid w:val="00295A08"/>
    <w:rsid w:val="00296389"/>
    <w:rsid w:val="00296DC9"/>
    <w:rsid w:val="002976BE"/>
    <w:rsid w:val="002A02D5"/>
    <w:rsid w:val="002A19FD"/>
    <w:rsid w:val="002A6CBE"/>
    <w:rsid w:val="002A7392"/>
    <w:rsid w:val="002B375D"/>
    <w:rsid w:val="002B480D"/>
    <w:rsid w:val="002C2556"/>
    <w:rsid w:val="002D466A"/>
    <w:rsid w:val="002D5222"/>
    <w:rsid w:val="002D5369"/>
    <w:rsid w:val="002E12D3"/>
    <w:rsid w:val="002E414A"/>
    <w:rsid w:val="002E4365"/>
    <w:rsid w:val="002E44F0"/>
    <w:rsid w:val="002F2CAB"/>
    <w:rsid w:val="002F4D09"/>
    <w:rsid w:val="002F5542"/>
    <w:rsid w:val="002F63E6"/>
    <w:rsid w:val="002F7D83"/>
    <w:rsid w:val="00305352"/>
    <w:rsid w:val="00305ADF"/>
    <w:rsid w:val="003068C7"/>
    <w:rsid w:val="003133D7"/>
    <w:rsid w:val="00320FC6"/>
    <w:rsid w:val="00321A7B"/>
    <w:rsid w:val="00322AF8"/>
    <w:rsid w:val="0032722A"/>
    <w:rsid w:val="0033461E"/>
    <w:rsid w:val="003367C7"/>
    <w:rsid w:val="00350EDF"/>
    <w:rsid w:val="00351979"/>
    <w:rsid w:val="00352EC2"/>
    <w:rsid w:val="003551F6"/>
    <w:rsid w:val="00355213"/>
    <w:rsid w:val="00355442"/>
    <w:rsid w:val="00355D72"/>
    <w:rsid w:val="00360425"/>
    <w:rsid w:val="00360BE6"/>
    <w:rsid w:val="00360F5D"/>
    <w:rsid w:val="003635ED"/>
    <w:rsid w:val="00364F74"/>
    <w:rsid w:val="00372DC9"/>
    <w:rsid w:val="00374758"/>
    <w:rsid w:val="00382911"/>
    <w:rsid w:val="00383083"/>
    <w:rsid w:val="00383EB0"/>
    <w:rsid w:val="0038480A"/>
    <w:rsid w:val="00384EFC"/>
    <w:rsid w:val="003913F2"/>
    <w:rsid w:val="003920D6"/>
    <w:rsid w:val="0039362A"/>
    <w:rsid w:val="00395351"/>
    <w:rsid w:val="00397899"/>
    <w:rsid w:val="003A08FB"/>
    <w:rsid w:val="003A489B"/>
    <w:rsid w:val="003A5428"/>
    <w:rsid w:val="003A66A5"/>
    <w:rsid w:val="003B233D"/>
    <w:rsid w:val="003B38F1"/>
    <w:rsid w:val="003B3F91"/>
    <w:rsid w:val="003B41DC"/>
    <w:rsid w:val="003B565F"/>
    <w:rsid w:val="003C1B03"/>
    <w:rsid w:val="003D0A0C"/>
    <w:rsid w:val="003D6089"/>
    <w:rsid w:val="003D6440"/>
    <w:rsid w:val="003D6757"/>
    <w:rsid w:val="003D733F"/>
    <w:rsid w:val="003E11CD"/>
    <w:rsid w:val="003E4FCC"/>
    <w:rsid w:val="003E53F4"/>
    <w:rsid w:val="003E5CD4"/>
    <w:rsid w:val="003E73D6"/>
    <w:rsid w:val="003F5936"/>
    <w:rsid w:val="003F5FA0"/>
    <w:rsid w:val="003F6804"/>
    <w:rsid w:val="0040373A"/>
    <w:rsid w:val="00403FBD"/>
    <w:rsid w:val="0040689A"/>
    <w:rsid w:val="00407D0B"/>
    <w:rsid w:val="00423267"/>
    <w:rsid w:val="00423875"/>
    <w:rsid w:val="0042771D"/>
    <w:rsid w:val="00431187"/>
    <w:rsid w:val="00431CAA"/>
    <w:rsid w:val="00432955"/>
    <w:rsid w:val="00433A01"/>
    <w:rsid w:val="00436028"/>
    <w:rsid w:val="00440645"/>
    <w:rsid w:val="004407A2"/>
    <w:rsid w:val="004425DC"/>
    <w:rsid w:val="00443D48"/>
    <w:rsid w:val="004446E2"/>
    <w:rsid w:val="00445C4C"/>
    <w:rsid w:val="00447237"/>
    <w:rsid w:val="0044736D"/>
    <w:rsid w:val="00450053"/>
    <w:rsid w:val="004501EE"/>
    <w:rsid w:val="00453825"/>
    <w:rsid w:val="0045451E"/>
    <w:rsid w:val="004607CC"/>
    <w:rsid w:val="004623B6"/>
    <w:rsid w:val="0046399F"/>
    <w:rsid w:val="00465176"/>
    <w:rsid w:val="0046735D"/>
    <w:rsid w:val="00472C19"/>
    <w:rsid w:val="00474F4C"/>
    <w:rsid w:val="004753DF"/>
    <w:rsid w:val="00475B15"/>
    <w:rsid w:val="004763A8"/>
    <w:rsid w:val="00487F6C"/>
    <w:rsid w:val="004903D4"/>
    <w:rsid w:val="004A0B17"/>
    <w:rsid w:val="004B2C88"/>
    <w:rsid w:val="004B521C"/>
    <w:rsid w:val="004B5449"/>
    <w:rsid w:val="004C0C77"/>
    <w:rsid w:val="004C1873"/>
    <w:rsid w:val="004C51C8"/>
    <w:rsid w:val="004D0593"/>
    <w:rsid w:val="004D2307"/>
    <w:rsid w:val="004D2BD4"/>
    <w:rsid w:val="004D3E50"/>
    <w:rsid w:val="004D4291"/>
    <w:rsid w:val="004D685F"/>
    <w:rsid w:val="004E0F23"/>
    <w:rsid w:val="004E3674"/>
    <w:rsid w:val="004E5575"/>
    <w:rsid w:val="004E62BB"/>
    <w:rsid w:val="004E652A"/>
    <w:rsid w:val="004E7339"/>
    <w:rsid w:val="004F0561"/>
    <w:rsid w:val="004F56EE"/>
    <w:rsid w:val="004F5E28"/>
    <w:rsid w:val="004F77DA"/>
    <w:rsid w:val="0050231F"/>
    <w:rsid w:val="00502A43"/>
    <w:rsid w:val="00516264"/>
    <w:rsid w:val="00521B29"/>
    <w:rsid w:val="00521D04"/>
    <w:rsid w:val="00523E90"/>
    <w:rsid w:val="00525872"/>
    <w:rsid w:val="00526C5F"/>
    <w:rsid w:val="0053111E"/>
    <w:rsid w:val="00531E3E"/>
    <w:rsid w:val="00532E8A"/>
    <w:rsid w:val="00534DE7"/>
    <w:rsid w:val="00535A34"/>
    <w:rsid w:val="005372F6"/>
    <w:rsid w:val="00543573"/>
    <w:rsid w:val="00543707"/>
    <w:rsid w:val="00545AFD"/>
    <w:rsid w:val="00552F98"/>
    <w:rsid w:val="00554645"/>
    <w:rsid w:val="00560269"/>
    <w:rsid w:val="00561449"/>
    <w:rsid w:val="005666ED"/>
    <w:rsid w:val="0056735F"/>
    <w:rsid w:val="00572402"/>
    <w:rsid w:val="00572C1D"/>
    <w:rsid w:val="00574880"/>
    <w:rsid w:val="005758C3"/>
    <w:rsid w:val="005807F9"/>
    <w:rsid w:val="00581852"/>
    <w:rsid w:val="005848C4"/>
    <w:rsid w:val="00590B61"/>
    <w:rsid w:val="0059731D"/>
    <w:rsid w:val="005B0D3B"/>
    <w:rsid w:val="005B2BDF"/>
    <w:rsid w:val="005B2C8A"/>
    <w:rsid w:val="005B374C"/>
    <w:rsid w:val="005B47D8"/>
    <w:rsid w:val="005B5496"/>
    <w:rsid w:val="005B5F99"/>
    <w:rsid w:val="005B7D3C"/>
    <w:rsid w:val="005B7F4D"/>
    <w:rsid w:val="005C17A8"/>
    <w:rsid w:val="005C3D1F"/>
    <w:rsid w:val="005C5F1D"/>
    <w:rsid w:val="005D1EFB"/>
    <w:rsid w:val="005D6598"/>
    <w:rsid w:val="005D6671"/>
    <w:rsid w:val="005E00F4"/>
    <w:rsid w:val="005E0516"/>
    <w:rsid w:val="005E3C2D"/>
    <w:rsid w:val="005E5BE5"/>
    <w:rsid w:val="005F7386"/>
    <w:rsid w:val="00601919"/>
    <w:rsid w:val="00601B12"/>
    <w:rsid w:val="0060430B"/>
    <w:rsid w:val="00604A69"/>
    <w:rsid w:val="00605479"/>
    <w:rsid w:val="006064D9"/>
    <w:rsid w:val="00606B33"/>
    <w:rsid w:val="00610E73"/>
    <w:rsid w:val="00611305"/>
    <w:rsid w:val="006170B3"/>
    <w:rsid w:val="00620C6E"/>
    <w:rsid w:val="0062172E"/>
    <w:rsid w:val="00626B52"/>
    <w:rsid w:val="006338B2"/>
    <w:rsid w:val="00636FC0"/>
    <w:rsid w:val="00637FC2"/>
    <w:rsid w:val="00640E16"/>
    <w:rsid w:val="0064167E"/>
    <w:rsid w:val="00642BAB"/>
    <w:rsid w:val="00650D65"/>
    <w:rsid w:val="00651A67"/>
    <w:rsid w:val="006546A4"/>
    <w:rsid w:val="00656DE9"/>
    <w:rsid w:val="00660A4A"/>
    <w:rsid w:val="006636B9"/>
    <w:rsid w:val="006650E1"/>
    <w:rsid w:val="006656E0"/>
    <w:rsid w:val="006658D8"/>
    <w:rsid w:val="006659D3"/>
    <w:rsid w:val="00666F1D"/>
    <w:rsid w:val="0067202A"/>
    <w:rsid w:val="006740F8"/>
    <w:rsid w:val="00674EB8"/>
    <w:rsid w:val="0068185A"/>
    <w:rsid w:val="00684129"/>
    <w:rsid w:val="00685C4E"/>
    <w:rsid w:val="006902E9"/>
    <w:rsid w:val="006928F9"/>
    <w:rsid w:val="006A0D47"/>
    <w:rsid w:val="006B3FBA"/>
    <w:rsid w:val="006D3A6E"/>
    <w:rsid w:val="006D499E"/>
    <w:rsid w:val="006D55CB"/>
    <w:rsid w:val="006D5C91"/>
    <w:rsid w:val="006D5F01"/>
    <w:rsid w:val="006D70F5"/>
    <w:rsid w:val="006E537A"/>
    <w:rsid w:val="006E5CCC"/>
    <w:rsid w:val="006F2560"/>
    <w:rsid w:val="006F2902"/>
    <w:rsid w:val="00700792"/>
    <w:rsid w:val="00702067"/>
    <w:rsid w:val="00703A87"/>
    <w:rsid w:val="00705445"/>
    <w:rsid w:val="00706BCE"/>
    <w:rsid w:val="00710E02"/>
    <w:rsid w:val="00712F7B"/>
    <w:rsid w:val="00713A09"/>
    <w:rsid w:val="00713EF8"/>
    <w:rsid w:val="00717DCD"/>
    <w:rsid w:val="0072063D"/>
    <w:rsid w:val="00720841"/>
    <w:rsid w:val="00723F15"/>
    <w:rsid w:val="007260BE"/>
    <w:rsid w:val="00727EE0"/>
    <w:rsid w:val="007318F3"/>
    <w:rsid w:val="00734546"/>
    <w:rsid w:val="00734BC9"/>
    <w:rsid w:val="0073585C"/>
    <w:rsid w:val="00736A01"/>
    <w:rsid w:val="0074522C"/>
    <w:rsid w:val="00747303"/>
    <w:rsid w:val="00752749"/>
    <w:rsid w:val="00752C69"/>
    <w:rsid w:val="00752FC6"/>
    <w:rsid w:val="0075369A"/>
    <w:rsid w:val="00756936"/>
    <w:rsid w:val="007616F8"/>
    <w:rsid w:val="00762CE6"/>
    <w:rsid w:val="00763DA7"/>
    <w:rsid w:val="0076531D"/>
    <w:rsid w:val="00771090"/>
    <w:rsid w:val="0077137B"/>
    <w:rsid w:val="0077182D"/>
    <w:rsid w:val="00771FC6"/>
    <w:rsid w:val="00772161"/>
    <w:rsid w:val="00775292"/>
    <w:rsid w:val="007834DC"/>
    <w:rsid w:val="00784C2E"/>
    <w:rsid w:val="007913F5"/>
    <w:rsid w:val="00791435"/>
    <w:rsid w:val="007947B0"/>
    <w:rsid w:val="00796916"/>
    <w:rsid w:val="007A0415"/>
    <w:rsid w:val="007A293A"/>
    <w:rsid w:val="007A31D2"/>
    <w:rsid w:val="007A6094"/>
    <w:rsid w:val="007B0611"/>
    <w:rsid w:val="007B06FD"/>
    <w:rsid w:val="007B4249"/>
    <w:rsid w:val="007B53D8"/>
    <w:rsid w:val="007B557C"/>
    <w:rsid w:val="007C0C90"/>
    <w:rsid w:val="007C0DFD"/>
    <w:rsid w:val="007C103F"/>
    <w:rsid w:val="007C34FC"/>
    <w:rsid w:val="007C72FB"/>
    <w:rsid w:val="007D597E"/>
    <w:rsid w:val="007D60CF"/>
    <w:rsid w:val="007E0381"/>
    <w:rsid w:val="007E18B5"/>
    <w:rsid w:val="007F0C32"/>
    <w:rsid w:val="007F2057"/>
    <w:rsid w:val="00802F73"/>
    <w:rsid w:val="00803EB6"/>
    <w:rsid w:val="00807819"/>
    <w:rsid w:val="00810571"/>
    <w:rsid w:val="00812449"/>
    <w:rsid w:val="00814B22"/>
    <w:rsid w:val="00820314"/>
    <w:rsid w:val="008219DF"/>
    <w:rsid w:val="008274A1"/>
    <w:rsid w:val="0082778C"/>
    <w:rsid w:val="00832072"/>
    <w:rsid w:val="00841533"/>
    <w:rsid w:val="00842CC4"/>
    <w:rsid w:val="00844333"/>
    <w:rsid w:val="00852441"/>
    <w:rsid w:val="00852E14"/>
    <w:rsid w:val="008750FE"/>
    <w:rsid w:val="00877337"/>
    <w:rsid w:val="0088097B"/>
    <w:rsid w:val="00882EAD"/>
    <w:rsid w:val="00886737"/>
    <w:rsid w:val="00887B31"/>
    <w:rsid w:val="00892892"/>
    <w:rsid w:val="00892F1D"/>
    <w:rsid w:val="00895973"/>
    <w:rsid w:val="008A0ED5"/>
    <w:rsid w:val="008A2ACF"/>
    <w:rsid w:val="008A34AF"/>
    <w:rsid w:val="008B28C4"/>
    <w:rsid w:val="008C16E8"/>
    <w:rsid w:val="008C3300"/>
    <w:rsid w:val="008C3327"/>
    <w:rsid w:val="008C3377"/>
    <w:rsid w:val="008C4268"/>
    <w:rsid w:val="008C5057"/>
    <w:rsid w:val="008D2F95"/>
    <w:rsid w:val="008E14CB"/>
    <w:rsid w:val="008E444F"/>
    <w:rsid w:val="008E537E"/>
    <w:rsid w:val="008E6147"/>
    <w:rsid w:val="008E7489"/>
    <w:rsid w:val="008E7802"/>
    <w:rsid w:val="008F347F"/>
    <w:rsid w:val="008F3E36"/>
    <w:rsid w:val="008F4DF3"/>
    <w:rsid w:val="008F5C3A"/>
    <w:rsid w:val="009012AC"/>
    <w:rsid w:val="0090166E"/>
    <w:rsid w:val="00903CD9"/>
    <w:rsid w:val="0092329B"/>
    <w:rsid w:val="009243EC"/>
    <w:rsid w:val="00926FC3"/>
    <w:rsid w:val="00932412"/>
    <w:rsid w:val="00935DC1"/>
    <w:rsid w:val="00936B3D"/>
    <w:rsid w:val="009374F7"/>
    <w:rsid w:val="009413D5"/>
    <w:rsid w:val="00941603"/>
    <w:rsid w:val="00941F4A"/>
    <w:rsid w:val="009422F7"/>
    <w:rsid w:val="00942AC4"/>
    <w:rsid w:val="00946454"/>
    <w:rsid w:val="00953EE0"/>
    <w:rsid w:val="009563BC"/>
    <w:rsid w:val="00956A21"/>
    <w:rsid w:val="00966DAB"/>
    <w:rsid w:val="00970873"/>
    <w:rsid w:val="00974EA3"/>
    <w:rsid w:val="00975D0A"/>
    <w:rsid w:val="00977D8B"/>
    <w:rsid w:val="0098006E"/>
    <w:rsid w:val="00980C0E"/>
    <w:rsid w:val="00983471"/>
    <w:rsid w:val="00983AC7"/>
    <w:rsid w:val="00985840"/>
    <w:rsid w:val="009909A6"/>
    <w:rsid w:val="00991657"/>
    <w:rsid w:val="00993C46"/>
    <w:rsid w:val="0099467E"/>
    <w:rsid w:val="00995DDF"/>
    <w:rsid w:val="00995F32"/>
    <w:rsid w:val="009979AC"/>
    <w:rsid w:val="009A263D"/>
    <w:rsid w:val="009A6E92"/>
    <w:rsid w:val="009B0E5B"/>
    <w:rsid w:val="009B145A"/>
    <w:rsid w:val="009B197D"/>
    <w:rsid w:val="009C52F8"/>
    <w:rsid w:val="009C5CA1"/>
    <w:rsid w:val="009D37B8"/>
    <w:rsid w:val="009D4587"/>
    <w:rsid w:val="009D55B3"/>
    <w:rsid w:val="009D5B89"/>
    <w:rsid w:val="009D7802"/>
    <w:rsid w:val="009E1170"/>
    <w:rsid w:val="009E2B23"/>
    <w:rsid w:val="009E65AF"/>
    <w:rsid w:val="009E6CA7"/>
    <w:rsid w:val="009E7106"/>
    <w:rsid w:val="009F097D"/>
    <w:rsid w:val="009F1ADA"/>
    <w:rsid w:val="009F5EA9"/>
    <w:rsid w:val="009F690F"/>
    <w:rsid w:val="009F756D"/>
    <w:rsid w:val="00A01922"/>
    <w:rsid w:val="00A02450"/>
    <w:rsid w:val="00A041C3"/>
    <w:rsid w:val="00A10CEC"/>
    <w:rsid w:val="00A10FAE"/>
    <w:rsid w:val="00A15936"/>
    <w:rsid w:val="00A17529"/>
    <w:rsid w:val="00A20E18"/>
    <w:rsid w:val="00A23EAC"/>
    <w:rsid w:val="00A2445E"/>
    <w:rsid w:val="00A24F1F"/>
    <w:rsid w:val="00A24F49"/>
    <w:rsid w:val="00A338C1"/>
    <w:rsid w:val="00A35066"/>
    <w:rsid w:val="00A350D3"/>
    <w:rsid w:val="00A3760D"/>
    <w:rsid w:val="00A4176F"/>
    <w:rsid w:val="00A42EA2"/>
    <w:rsid w:val="00A46899"/>
    <w:rsid w:val="00A506CB"/>
    <w:rsid w:val="00A51F74"/>
    <w:rsid w:val="00A52E33"/>
    <w:rsid w:val="00A53E86"/>
    <w:rsid w:val="00A7001C"/>
    <w:rsid w:val="00A72462"/>
    <w:rsid w:val="00A736B5"/>
    <w:rsid w:val="00A775D6"/>
    <w:rsid w:val="00A903E4"/>
    <w:rsid w:val="00A92D39"/>
    <w:rsid w:val="00AA2C03"/>
    <w:rsid w:val="00AA38A3"/>
    <w:rsid w:val="00AB2248"/>
    <w:rsid w:val="00AB27F2"/>
    <w:rsid w:val="00AC00D2"/>
    <w:rsid w:val="00AC046F"/>
    <w:rsid w:val="00AC2170"/>
    <w:rsid w:val="00AC2CAD"/>
    <w:rsid w:val="00AC68E3"/>
    <w:rsid w:val="00AD08BA"/>
    <w:rsid w:val="00AD08EC"/>
    <w:rsid w:val="00AD2D8A"/>
    <w:rsid w:val="00AE02CA"/>
    <w:rsid w:val="00AE1B92"/>
    <w:rsid w:val="00AE2808"/>
    <w:rsid w:val="00AE2CD6"/>
    <w:rsid w:val="00AF1AC7"/>
    <w:rsid w:val="00AF3DEE"/>
    <w:rsid w:val="00AF4CEC"/>
    <w:rsid w:val="00AF5459"/>
    <w:rsid w:val="00B00C51"/>
    <w:rsid w:val="00B03245"/>
    <w:rsid w:val="00B12B68"/>
    <w:rsid w:val="00B1350D"/>
    <w:rsid w:val="00B1439A"/>
    <w:rsid w:val="00B150D1"/>
    <w:rsid w:val="00B2091B"/>
    <w:rsid w:val="00B216A2"/>
    <w:rsid w:val="00B21C42"/>
    <w:rsid w:val="00B22487"/>
    <w:rsid w:val="00B243E2"/>
    <w:rsid w:val="00B24889"/>
    <w:rsid w:val="00B24F5A"/>
    <w:rsid w:val="00B25B64"/>
    <w:rsid w:val="00B25E3F"/>
    <w:rsid w:val="00B264DF"/>
    <w:rsid w:val="00B26BD6"/>
    <w:rsid w:val="00B27BBC"/>
    <w:rsid w:val="00B405D1"/>
    <w:rsid w:val="00B426BF"/>
    <w:rsid w:val="00B52907"/>
    <w:rsid w:val="00B5418F"/>
    <w:rsid w:val="00B57155"/>
    <w:rsid w:val="00B610A4"/>
    <w:rsid w:val="00B612FE"/>
    <w:rsid w:val="00B62D71"/>
    <w:rsid w:val="00B63CA3"/>
    <w:rsid w:val="00B71234"/>
    <w:rsid w:val="00B72069"/>
    <w:rsid w:val="00B74F24"/>
    <w:rsid w:val="00B75373"/>
    <w:rsid w:val="00B804BD"/>
    <w:rsid w:val="00B83A3B"/>
    <w:rsid w:val="00B86BD2"/>
    <w:rsid w:val="00B91837"/>
    <w:rsid w:val="00B92BC3"/>
    <w:rsid w:val="00B9340B"/>
    <w:rsid w:val="00B94755"/>
    <w:rsid w:val="00B94860"/>
    <w:rsid w:val="00BA0576"/>
    <w:rsid w:val="00BA3905"/>
    <w:rsid w:val="00BA4957"/>
    <w:rsid w:val="00BA65EB"/>
    <w:rsid w:val="00BB33F9"/>
    <w:rsid w:val="00BB5882"/>
    <w:rsid w:val="00BB7712"/>
    <w:rsid w:val="00BB7BE2"/>
    <w:rsid w:val="00BC1A1E"/>
    <w:rsid w:val="00BC1F32"/>
    <w:rsid w:val="00BC2860"/>
    <w:rsid w:val="00BC5C76"/>
    <w:rsid w:val="00BC6296"/>
    <w:rsid w:val="00BD1D2C"/>
    <w:rsid w:val="00BD2FC6"/>
    <w:rsid w:val="00BD3EE3"/>
    <w:rsid w:val="00BD550C"/>
    <w:rsid w:val="00BD5EA2"/>
    <w:rsid w:val="00BD683D"/>
    <w:rsid w:val="00BE0492"/>
    <w:rsid w:val="00BE0DA4"/>
    <w:rsid w:val="00BE3C57"/>
    <w:rsid w:val="00BF2DCA"/>
    <w:rsid w:val="00BF4F12"/>
    <w:rsid w:val="00BF69FA"/>
    <w:rsid w:val="00BF7D3A"/>
    <w:rsid w:val="00C01119"/>
    <w:rsid w:val="00C01760"/>
    <w:rsid w:val="00C03B07"/>
    <w:rsid w:val="00C128BF"/>
    <w:rsid w:val="00C13287"/>
    <w:rsid w:val="00C14522"/>
    <w:rsid w:val="00C15B4B"/>
    <w:rsid w:val="00C16A33"/>
    <w:rsid w:val="00C20837"/>
    <w:rsid w:val="00C2097A"/>
    <w:rsid w:val="00C32BEA"/>
    <w:rsid w:val="00C43CB8"/>
    <w:rsid w:val="00C52EA6"/>
    <w:rsid w:val="00C55B79"/>
    <w:rsid w:val="00C57FC5"/>
    <w:rsid w:val="00C6188C"/>
    <w:rsid w:val="00C6690C"/>
    <w:rsid w:val="00C670E8"/>
    <w:rsid w:val="00C67A1F"/>
    <w:rsid w:val="00C67AB8"/>
    <w:rsid w:val="00C67D68"/>
    <w:rsid w:val="00C704B3"/>
    <w:rsid w:val="00C704FA"/>
    <w:rsid w:val="00C70980"/>
    <w:rsid w:val="00C724C8"/>
    <w:rsid w:val="00C734D6"/>
    <w:rsid w:val="00C73516"/>
    <w:rsid w:val="00C746A5"/>
    <w:rsid w:val="00C75811"/>
    <w:rsid w:val="00C76F1A"/>
    <w:rsid w:val="00C8137D"/>
    <w:rsid w:val="00C93E36"/>
    <w:rsid w:val="00C9494A"/>
    <w:rsid w:val="00C95DF6"/>
    <w:rsid w:val="00C95FFB"/>
    <w:rsid w:val="00C96BFB"/>
    <w:rsid w:val="00C97F6D"/>
    <w:rsid w:val="00CA248A"/>
    <w:rsid w:val="00CA3D83"/>
    <w:rsid w:val="00CA4F7E"/>
    <w:rsid w:val="00CA5C05"/>
    <w:rsid w:val="00CB2B12"/>
    <w:rsid w:val="00CB4E3F"/>
    <w:rsid w:val="00CB6FC8"/>
    <w:rsid w:val="00CC045D"/>
    <w:rsid w:val="00CC182F"/>
    <w:rsid w:val="00CC4055"/>
    <w:rsid w:val="00CC41CC"/>
    <w:rsid w:val="00CD1437"/>
    <w:rsid w:val="00CD1445"/>
    <w:rsid w:val="00CD320A"/>
    <w:rsid w:val="00CD676B"/>
    <w:rsid w:val="00CD6778"/>
    <w:rsid w:val="00CE26E6"/>
    <w:rsid w:val="00CE2F31"/>
    <w:rsid w:val="00CF25D8"/>
    <w:rsid w:val="00CF466A"/>
    <w:rsid w:val="00CF6F5E"/>
    <w:rsid w:val="00CF7776"/>
    <w:rsid w:val="00CF77F6"/>
    <w:rsid w:val="00D06D43"/>
    <w:rsid w:val="00D07308"/>
    <w:rsid w:val="00D07DB6"/>
    <w:rsid w:val="00D103C8"/>
    <w:rsid w:val="00D11A78"/>
    <w:rsid w:val="00D15867"/>
    <w:rsid w:val="00D15D72"/>
    <w:rsid w:val="00D1703B"/>
    <w:rsid w:val="00D2032F"/>
    <w:rsid w:val="00D2041F"/>
    <w:rsid w:val="00D22165"/>
    <w:rsid w:val="00D224EB"/>
    <w:rsid w:val="00D22C91"/>
    <w:rsid w:val="00D2374F"/>
    <w:rsid w:val="00D2509A"/>
    <w:rsid w:val="00D333B1"/>
    <w:rsid w:val="00D36DBF"/>
    <w:rsid w:val="00D40B34"/>
    <w:rsid w:val="00D4498C"/>
    <w:rsid w:val="00D51892"/>
    <w:rsid w:val="00D52F9F"/>
    <w:rsid w:val="00D5497E"/>
    <w:rsid w:val="00D55E55"/>
    <w:rsid w:val="00D62E40"/>
    <w:rsid w:val="00D66B70"/>
    <w:rsid w:val="00D71501"/>
    <w:rsid w:val="00D73BF3"/>
    <w:rsid w:val="00D776BC"/>
    <w:rsid w:val="00D81CE0"/>
    <w:rsid w:val="00D849F1"/>
    <w:rsid w:val="00D9049E"/>
    <w:rsid w:val="00D94049"/>
    <w:rsid w:val="00D94DE3"/>
    <w:rsid w:val="00DA2E83"/>
    <w:rsid w:val="00DA5025"/>
    <w:rsid w:val="00DA5621"/>
    <w:rsid w:val="00DB0CB6"/>
    <w:rsid w:val="00DB0DF5"/>
    <w:rsid w:val="00DB1C92"/>
    <w:rsid w:val="00DB4922"/>
    <w:rsid w:val="00DB5962"/>
    <w:rsid w:val="00DB7033"/>
    <w:rsid w:val="00DC0723"/>
    <w:rsid w:val="00DC1155"/>
    <w:rsid w:val="00DC2014"/>
    <w:rsid w:val="00DC2B1F"/>
    <w:rsid w:val="00DC5EEB"/>
    <w:rsid w:val="00DC6BA2"/>
    <w:rsid w:val="00DC786F"/>
    <w:rsid w:val="00DD21EC"/>
    <w:rsid w:val="00DD3F62"/>
    <w:rsid w:val="00DD4379"/>
    <w:rsid w:val="00DD4543"/>
    <w:rsid w:val="00DD6DB9"/>
    <w:rsid w:val="00DD7BB2"/>
    <w:rsid w:val="00DE39FD"/>
    <w:rsid w:val="00DE4BA8"/>
    <w:rsid w:val="00DE560D"/>
    <w:rsid w:val="00DE74FA"/>
    <w:rsid w:val="00DF680B"/>
    <w:rsid w:val="00E02629"/>
    <w:rsid w:val="00E0272F"/>
    <w:rsid w:val="00E031D6"/>
    <w:rsid w:val="00E05168"/>
    <w:rsid w:val="00E07631"/>
    <w:rsid w:val="00E07B77"/>
    <w:rsid w:val="00E171D6"/>
    <w:rsid w:val="00E20554"/>
    <w:rsid w:val="00E2185F"/>
    <w:rsid w:val="00E23859"/>
    <w:rsid w:val="00E2387B"/>
    <w:rsid w:val="00E2663C"/>
    <w:rsid w:val="00E30A86"/>
    <w:rsid w:val="00E32A39"/>
    <w:rsid w:val="00E34A0B"/>
    <w:rsid w:val="00E40EDE"/>
    <w:rsid w:val="00E41EE3"/>
    <w:rsid w:val="00E44D14"/>
    <w:rsid w:val="00E45847"/>
    <w:rsid w:val="00E4644A"/>
    <w:rsid w:val="00E46BBF"/>
    <w:rsid w:val="00E53585"/>
    <w:rsid w:val="00E55741"/>
    <w:rsid w:val="00E57A41"/>
    <w:rsid w:val="00E6070F"/>
    <w:rsid w:val="00E63BEC"/>
    <w:rsid w:val="00E642C6"/>
    <w:rsid w:val="00E66BBA"/>
    <w:rsid w:val="00E74A78"/>
    <w:rsid w:val="00E75278"/>
    <w:rsid w:val="00E81177"/>
    <w:rsid w:val="00E8770D"/>
    <w:rsid w:val="00E90C22"/>
    <w:rsid w:val="00E969D2"/>
    <w:rsid w:val="00EA33A5"/>
    <w:rsid w:val="00EB111A"/>
    <w:rsid w:val="00EB2625"/>
    <w:rsid w:val="00EB2A16"/>
    <w:rsid w:val="00EB3A43"/>
    <w:rsid w:val="00EB5F85"/>
    <w:rsid w:val="00EB7238"/>
    <w:rsid w:val="00EC4157"/>
    <w:rsid w:val="00ED0609"/>
    <w:rsid w:val="00ED2B24"/>
    <w:rsid w:val="00ED3179"/>
    <w:rsid w:val="00ED4067"/>
    <w:rsid w:val="00EE05ED"/>
    <w:rsid w:val="00EE1AF6"/>
    <w:rsid w:val="00EE47CC"/>
    <w:rsid w:val="00EE5958"/>
    <w:rsid w:val="00EE6833"/>
    <w:rsid w:val="00EE724C"/>
    <w:rsid w:val="00EF1660"/>
    <w:rsid w:val="00EF241D"/>
    <w:rsid w:val="00F07BE7"/>
    <w:rsid w:val="00F117A9"/>
    <w:rsid w:val="00F11CE5"/>
    <w:rsid w:val="00F1727A"/>
    <w:rsid w:val="00F17385"/>
    <w:rsid w:val="00F20535"/>
    <w:rsid w:val="00F221C6"/>
    <w:rsid w:val="00F23381"/>
    <w:rsid w:val="00F2603C"/>
    <w:rsid w:val="00F305C4"/>
    <w:rsid w:val="00F32EDD"/>
    <w:rsid w:val="00F334BA"/>
    <w:rsid w:val="00F33C9C"/>
    <w:rsid w:val="00F367E1"/>
    <w:rsid w:val="00F4071F"/>
    <w:rsid w:val="00F42D64"/>
    <w:rsid w:val="00F43BBB"/>
    <w:rsid w:val="00F44180"/>
    <w:rsid w:val="00F50DD3"/>
    <w:rsid w:val="00F54BEE"/>
    <w:rsid w:val="00F5718A"/>
    <w:rsid w:val="00F57199"/>
    <w:rsid w:val="00F6423D"/>
    <w:rsid w:val="00F65C4E"/>
    <w:rsid w:val="00F6740A"/>
    <w:rsid w:val="00F724D1"/>
    <w:rsid w:val="00F72650"/>
    <w:rsid w:val="00F7283B"/>
    <w:rsid w:val="00F72EA7"/>
    <w:rsid w:val="00F747FC"/>
    <w:rsid w:val="00F7704B"/>
    <w:rsid w:val="00F85253"/>
    <w:rsid w:val="00F855CF"/>
    <w:rsid w:val="00F86EC3"/>
    <w:rsid w:val="00F8773C"/>
    <w:rsid w:val="00F9204E"/>
    <w:rsid w:val="00F941EF"/>
    <w:rsid w:val="00FA4440"/>
    <w:rsid w:val="00FA5896"/>
    <w:rsid w:val="00FA5FCE"/>
    <w:rsid w:val="00FA734E"/>
    <w:rsid w:val="00FB2442"/>
    <w:rsid w:val="00FB3A2D"/>
    <w:rsid w:val="00FB3D6A"/>
    <w:rsid w:val="00FB4C1C"/>
    <w:rsid w:val="00FB6999"/>
    <w:rsid w:val="00FC0999"/>
    <w:rsid w:val="00FC1625"/>
    <w:rsid w:val="00FC414E"/>
    <w:rsid w:val="00FD11B6"/>
    <w:rsid w:val="00FD133D"/>
    <w:rsid w:val="00FD436A"/>
    <w:rsid w:val="00FD6062"/>
    <w:rsid w:val="00FD75C9"/>
    <w:rsid w:val="00FE1019"/>
    <w:rsid w:val="00FE41D9"/>
    <w:rsid w:val="00FE5130"/>
    <w:rsid w:val="00FE6DF3"/>
    <w:rsid w:val="00FE71B4"/>
    <w:rsid w:val="00FF0488"/>
    <w:rsid w:val="00FF0CC3"/>
    <w:rsid w:val="00FF0E29"/>
    <w:rsid w:val="00FF25DA"/>
    <w:rsid w:val="00FF4CA9"/>
    <w:rsid w:val="00FF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817BD"/>
  <w15:chartTrackingRefBased/>
  <w15:docId w15:val="{50213DCA-EBD9-42A0-A24B-7A5AB05B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22C"/>
    <w:pPr>
      <w:spacing w:after="120" w:line="276"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01267D"/>
    <w:pPr>
      <w:spacing w:after="0" w:line="240" w:lineRule="auto"/>
      <w:ind w:left="720"/>
      <w:jc w:val="left"/>
    </w:pPr>
    <w:rPr>
      <w:rFonts w:cs="Times New Roman"/>
      <w:szCs w:val="24"/>
    </w:rPr>
  </w:style>
  <w:style w:type="paragraph" w:styleId="FootnoteText">
    <w:name w:val="footnote text"/>
    <w:basedOn w:val="Normal"/>
    <w:link w:val="FootnoteTextChar"/>
    <w:uiPriority w:val="99"/>
    <w:unhideWhenUsed/>
    <w:rsid w:val="0042771D"/>
    <w:pPr>
      <w:spacing w:after="0" w:line="240" w:lineRule="auto"/>
    </w:pPr>
    <w:rPr>
      <w:sz w:val="20"/>
      <w:szCs w:val="20"/>
    </w:rPr>
  </w:style>
  <w:style w:type="character" w:customStyle="1" w:styleId="FootnoteTextChar">
    <w:name w:val="Footnote Text Char"/>
    <w:basedOn w:val="DefaultParagraphFont"/>
    <w:link w:val="FootnoteText"/>
    <w:uiPriority w:val="99"/>
    <w:rsid w:val="0042771D"/>
    <w:rPr>
      <w:rFonts w:ascii="Times New Roman" w:hAnsi="Times New Roman"/>
      <w:sz w:val="20"/>
      <w:szCs w:val="20"/>
    </w:rPr>
  </w:style>
  <w:style w:type="character" w:styleId="FootnoteReference">
    <w:name w:val="footnote reference"/>
    <w:basedOn w:val="DefaultParagraphFont"/>
    <w:uiPriority w:val="99"/>
    <w:unhideWhenUsed/>
    <w:rsid w:val="0042771D"/>
    <w:rPr>
      <w:vertAlign w:val="superscript"/>
    </w:rPr>
  </w:style>
  <w:style w:type="character" w:styleId="Hyperlink">
    <w:name w:val="Hyperlink"/>
    <w:basedOn w:val="DefaultParagraphFont"/>
    <w:uiPriority w:val="99"/>
    <w:unhideWhenUsed/>
    <w:rsid w:val="00BB5882"/>
    <w:rPr>
      <w:color w:val="0563C1" w:themeColor="hyperlink"/>
      <w:u w:val="single"/>
    </w:rPr>
  </w:style>
  <w:style w:type="paragraph" w:styleId="ListParagraph">
    <w:name w:val="List Paragraph"/>
    <w:basedOn w:val="Normal"/>
    <w:uiPriority w:val="34"/>
    <w:qFormat/>
    <w:rsid w:val="00DB0CB6"/>
    <w:pPr>
      <w:ind w:left="720"/>
      <w:contextualSpacing/>
    </w:pPr>
  </w:style>
  <w:style w:type="paragraph" w:styleId="Title">
    <w:name w:val="Title"/>
    <w:basedOn w:val="Normal"/>
    <w:link w:val="TitleChar"/>
    <w:qFormat/>
    <w:rsid w:val="00CF7776"/>
    <w:pPr>
      <w:spacing w:after="0" w:line="240" w:lineRule="auto"/>
      <w:jc w:val="center"/>
    </w:pPr>
    <w:rPr>
      <w:rFonts w:eastAsia="Times New Roman" w:cs="Times New Roman"/>
      <w:szCs w:val="20"/>
    </w:rPr>
  </w:style>
  <w:style w:type="character" w:customStyle="1" w:styleId="TitleChar">
    <w:name w:val="Title Char"/>
    <w:basedOn w:val="DefaultParagraphFont"/>
    <w:link w:val="Title"/>
    <w:rsid w:val="00CF7776"/>
    <w:rPr>
      <w:rFonts w:ascii="Times New Roman" w:eastAsia="Times New Roman" w:hAnsi="Times New Roman" w:cs="Times New Roman"/>
      <w:sz w:val="24"/>
      <w:szCs w:val="20"/>
    </w:rPr>
  </w:style>
  <w:style w:type="paragraph" w:styleId="Caption">
    <w:name w:val="caption"/>
    <w:basedOn w:val="Normal"/>
    <w:next w:val="Normal"/>
    <w:qFormat/>
    <w:rsid w:val="00CF7776"/>
    <w:pPr>
      <w:spacing w:after="0" w:line="240" w:lineRule="auto"/>
      <w:jc w:val="center"/>
    </w:pPr>
    <w:rPr>
      <w:rFonts w:eastAsia="Times New Roman" w:cs="Times New Roman"/>
      <w:b/>
      <w:szCs w:val="20"/>
    </w:rPr>
  </w:style>
  <w:style w:type="paragraph" w:styleId="BalloonText">
    <w:name w:val="Balloon Text"/>
    <w:basedOn w:val="Normal"/>
    <w:link w:val="BalloonTextChar"/>
    <w:uiPriority w:val="99"/>
    <w:semiHidden/>
    <w:unhideWhenUsed/>
    <w:rsid w:val="00CF7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776"/>
    <w:rPr>
      <w:rFonts w:ascii="Segoe UI" w:hAnsi="Segoe UI" w:cs="Segoe UI"/>
      <w:sz w:val="18"/>
      <w:szCs w:val="18"/>
    </w:rPr>
  </w:style>
  <w:style w:type="paragraph" w:styleId="Header">
    <w:name w:val="header"/>
    <w:basedOn w:val="Normal"/>
    <w:link w:val="HeaderChar"/>
    <w:uiPriority w:val="99"/>
    <w:unhideWhenUsed/>
    <w:rsid w:val="00C76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F1A"/>
    <w:rPr>
      <w:rFonts w:ascii="Times New Roman" w:hAnsi="Times New Roman"/>
      <w:sz w:val="24"/>
    </w:rPr>
  </w:style>
  <w:style w:type="paragraph" w:styleId="Footer">
    <w:name w:val="footer"/>
    <w:basedOn w:val="Normal"/>
    <w:link w:val="FooterChar"/>
    <w:uiPriority w:val="99"/>
    <w:unhideWhenUsed/>
    <w:rsid w:val="00C76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F1A"/>
    <w:rPr>
      <w:rFonts w:ascii="Times New Roman" w:hAnsi="Times New Roman"/>
      <w:sz w:val="24"/>
    </w:rPr>
  </w:style>
  <w:style w:type="character" w:styleId="CommentReference">
    <w:name w:val="annotation reference"/>
    <w:basedOn w:val="DefaultParagraphFont"/>
    <w:uiPriority w:val="99"/>
    <w:semiHidden/>
    <w:unhideWhenUsed/>
    <w:rsid w:val="00525872"/>
    <w:rPr>
      <w:sz w:val="16"/>
      <w:szCs w:val="16"/>
    </w:rPr>
  </w:style>
  <w:style w:type="paragraph" w:styleId="CommentText">
    <w:name w:val="annotation text"/>
    <w:basedOn w:val="Normal"/>
    <w:link w:val="CommentTextChar"/>
    <w:uiPriority w:val="99"/>
    <w:unhideWhenUsed/>
    <w:rsid w:val="00525872"/>
    <w:pPr>
      <w:spacing w:line="240" w:lineRule="auto"/>
    </w:pPr>
    <w:rPr>
      <w:sz w:val="20"/>
      <w:szCs w:val="20"/>
    </w:rPr>
  </w:style>
  <w:style w:type="character" w:customStyle="1" w:styleId="CommentTextChar">
    <w:name w:val="Comment Text Char"/>
    <w:basedOn w:val="DefaultParagraphFont"/>
    <w:link w:val="CommentText"/>
    <w:uiPriority w:val="99"/>
    <w:rsid w:val="0052587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25872"/>
    <w:rPr>
      <w:b/>
      <w:bCs/>
    </w:rPr>
  </w:style>
  <w:style w:type="character" w:customStyle="1" w:styleId="CommentSubjectChar">
    <w:name w:val="Comment Subject Char"/>
    <w:basedOn w:val="CommentTextChar"/>
    <w:link w:val="CommentSubject"/>
    <w:uiPriority w:val="99"/>
    <w:semiHidden/>
    <w:rsid w:val="00525872"/>
    <w:rPr>
      <w:rFonts w:ascii="Times New Roman" w:hAnsi="Times New Roman"/>
      <w:b/>
      <w:bCs/>
      <w:sz w:val="20"/>
      <w:szCs w:val="20"/>
    </w:rPr>
  </w:style>
  <w:style w:type="paragraph" w:styleId="BodyText">
    <w:name w:val="Body Text"/>
    <w:basedOn w:val="Normal"/>
    <w:link w:val="BodyTextChar"/>
    <w:rsid w:val="00B62D71"/>
    <w:pPr>
      <w:spacing w:after="0" w:line="480" w:lineRule="auto"/>
    </w:pPr>
    <w:rPr>
      <w:rFonts w:eastAsia="Times New Roman" w:cs="Times New Roman"/>
      <w:szCs w:val="20"/>
    </w:rPr>
  </w:style>
  <w:style w:type="character" w:customStyle="1" w:styleId="BodyTextChar">
    <w:name w:val="Body Text Char"/>
    <w:basedOn w:val="DefaultParagraphFont"/>
    <w:link w:val="BodyText"/>
    <w:rsid w:val="00B62D71"/>
    <w:rPr>
      <w:rFonts w:ascii="Times New Roman" w:eastAsia="Times New Roman" w:hAnsi="Times New Roman" w:cs="Times New Roman"/>
      <w:sz w:val="24"/>
      <w:szCs w:val="20"/>
    </w:rPr>
  </w:style>
  <w:style w:type="paragraph" w:styleId="Signature">
    <w:name w:val="Signature"/>
    <w:basedOn w:val="Normal"/>
    <w:link w:val="SignatureChar"/>
    <w:rsid w:val="00B62D71"/>
    <w:pPr>
      <w:keepNext/>
      <w:keepLines/>
      <w:tabs>
        <w:tab w:val="right" w:pos="9360"/>
      </w:tabs>
      <w:spacing w:after="0" w:line="240" w:lineRule="auto"/>
      <w:ind w:left="4680"/>
      <w:jc w:val="left"/>
    </w:pPr>
    <w:rPr>
      <w:rFonts w:eastAsia="MS Mincho" w:cs="Times New Roman"/>
      <w:szCs w:val="20"/>
    </w:rPr>
  </w:style>
  <w:style w:type="character" w:customStyle="1" w:styleId="SignatureChar">
    <w:name w:val="Signature Char"/>
    <w:basedOn w:val="DefaultParagraphFont"/>
    <w:link w:val="Signature"/>
    <w:rsid w:val="00B62D71"/>
    <w:rPr>
      <w:rFonts w:ascii="Times New Roman" w:eastAsia="MS Mincho" w:hAnsi="Times New Roman" w:cs="Times New Roman"/>
      <w:sz w:val="24"/>
      <w:szCs w:val="20"/>
    </w:rPr>
  </w:style>
  <w:style w:type="character" w:customStyle="1" w:styleId="UnresolvedMention1">
    <w:name w:val="Unresolved Mention1"/>
    <w:basedOn w:val="DefaultParagraphFont"/>
    <w:uiPriority w:val="99"/>
    <w:semiHidden/>
    <w:unhideWhenUsed/>
    <w:rsid w:val="00360F5D"/>
    <w:rPr>
      <w:color w:val="605E5C"/>
      <w:shd w:val="clear" w:color="auto" w:fill="E1DFDD"/>
    </w:rPr>
  </w:style>
  <w:style w:type="table" w:styleId="TableGrid">
    <w:name w:val="Table Grid"/>
    <w:basedOn w:val="TableNormal"/>
    <w:uiPriority w:val="39"/>
    <w:rsid w:val="00D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07819"/>
    <w:pPr>
      <w:spacing w:after="0" w:line="240" w:lineRule="auto"/>
      <w:jc w:val="left"/>
    </w:pPr>
    <w:rPr>
      <w:rFonts w:ascii="Calibri" w:hAnsi="Calibri" w:cs="Calibri"/>
      <w:sz w:val="22"/>
    </w:rPr>
  </w:style>
  <w:style w:type="character" w:styleId="FollowedHyperlink">
    <w:name w:val="FollowedHyperlink"/>
    <w:basedOn w:val="DefaultParagraphFont"/>
    <w:uiPriority w:val="99"/>
    <w:semiHidden/>
    <w:unhideWhenUsed/>
    <w:rsid w:val="008E537E"/>
    <w:rPr>
      <w:color w:val="954F72" w:themeColor="followedHyperlink"/>
      <w:u w:val="single"/>
    </w:rPr>
  </w:style>
  <w:style w:type="paragraph" w:styleId="Revision">
    <w:name w:val="Revision"/>
    <w:hidden/>
    <w:uiPriority w:val="99"/>
    <w:semiHidden/>
    <w:rsid w:val="006D70F5"/>
    <w:pPr>
      <w:spacing w:after="0" w:line="240" w:lineRule="auto"/>
    </w:pPr>
    <w:rPr>
      <w:rFonts w:ascii="Times New Roman" w:hAnsi="Times New Roman"/>
      <w:sz w:val="24"/>
    </w:rPr>
  </w:style>
  <w:style w:type="paragraph" w:customStyle="1" w:styleId="Default">
    <w:name w:val="Default"/>
    <w:rsid w:val="00841533"/>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257F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7685">
      <w:bodyDiv w:val="1"/>
      <w:marLeft w:val="0"/>
      <w:marRight w:val="0"/>
      <w:marTop w:val="0"/>
      <w:marBottom w:val="0"/>
      <w:divBdr>
        <w:top w:val="none" w:sz="0" w:space="0" w:color="auto"/>
        <w:left w:val="none" w:sz="0" w:space="0" w:color="auto"/>
        <w:bottom w:val="none" w:sz="0" w:space="0" w:color="auto"/>
        <w:right w:val="none" w:sz="0" w:space="0" w:color="auto"/>
      </w:divBdr>
      <w:divsChild>
        <w:div w:id="728576107">
          <w:marLeft w:val="274"/>
          <w:marRight w:val="0"/>
          <w:marTop w:val="150"/>
          <w:marBottom w:val="0"/>
          <w:divBdr>
            <w:top w:val="none" w:sz="0" w:space="0" w:color="auto"/>
            <w:left w:val="none" w:sz="0" w:space="0" w:color="auto"/>
            <w:bottom w:val="none" w:sz="0" w:space="0" w:color="auto"/>
            <w:right w:val="none" w:sz="0" w:space="0" w:color="auto"/>
          </w:divBdr>
        </w:div>
      </w:divsChild>
    </w:div>
    <w:div w:id="298075943">
      <w:bodyDiv w:val="1"/>
      <w:marLeft w:val="0"/>
      <w:marRight w:val="0"/>
      <w:marTop w:val="0"/>
      <w:marBottom w:val="0"/>
      <w:divBdr>
        <w:top w:val="none" w:sz="0" w:space="0" w:color="auto"/>
        <w:left w:val="none" w:sz="0" w:space="0" w:color="auto"/>
        <w:bottom w:val="none" w:sz="0" w:space="0" w:color="auto"/>
        <w:right w:val="none" w:sz="0" w:space="0" w:color="auto"/>
      </w:divBdr>
    </w:div>
    <w:div w:id="399787026">
      <w:bodyDiv w:val="1"/>
      <w:marLeft w:val="0"/>
      <w:marRight w:val="0"/>
      <w:marTop w:val="0"/>
      <w:marBottom w:val="0"/>
      <w:divBdr>
        <w:top w:val="none" w:sz="0" w:space="0" w:color="auto"/>
        <w:left w:val="none" w:sz="0" w:space="0" w:color="auto"/>
        <w:bottom w:val="none" w:sz="0" w:space="0" w:color="auto"/>
        <w:right w:val="none" w:sz="0" w:space="0" w:color="auto"/>
      </w:divBdr>
    </w:div>
    <w:div w:id="615479607">
      <w:bodyDiv w:val="1"/>
      <w:marLeft w:val="0"/>
      <w:marRight w:val="0"/>
      <w:marTop w:val="0"/>
      <w:marBottom w:val="0"/>
      <w:divBdr>
        <w:top w:val="none" w:sz="0" w:space="0" w:color="auto"/>
        <w:left w:val="none" w:sz="0" w:space="0" w:color="auto"/>
        <w:bottom w:val="none" w:sz="0" w:space="0" w:color="auto"/>
        <w:right w:val="none" w:sz="0" w:space="0" w:color="auto"/>
      </w:divBdr>
    </w:div>
    <w:div w:id="892234813">
      <w:bodyDiv w:val="1"/>
      <w:marLeft w:val="0"/>
      <w:marRight w:val="0"/>
      <w:marTop w:val="0"/>
      <w:marBottom w:val="0"/>
      <w:divBdr>
        <w:top w:val="none" w:sz="0" w:space="0" w:color="auto"/>
        <w:left w:val="none" w:sz="0" w:space="0" w:color="auto"/>
        <w:bottom w:val="none" w:sz="0" w:space="0" w:color="auto"/>
        <w:right w:val="none" w:sz="0" w:space="0" w:color="auto"/>
      </w:divBdr>
    </w:div>
    <w:div w:id="1007172016">
      <w:bodyDiv w:val="1"/>
      <w:marLeft w:val="0"/>
      <w:marRight w:val="0"/>
      <w:marTop w:val="0"/>
      <w:marBottom w:val="0"/>
      <w:divBdr>
        <w:top w:val="none" w:sz="0" w:space="0" w:color="auto"/>
        <w:left w:val="none" w:sz="0" w:space="0" w:color="auto"/>
        <w:bottom w:val="none" w:sz="0" w:space="0" w:color="auto"/>
        <w:right w:val="none" w:sz="0" w:space="0" w:color="auto"/>
      </w:divBdr>
    </w:div>
    <w:div w:id="1134443735">
      <w:bodyDiv w:val="1"/>
      <w:marLeft w:val="0"/>
      <w:marRight w:val="0"/>
      <w:marTop w:val="0"/>
      <w:marBottom w:val="0"/>
      <w:divBdr>
        <w:top w:val="none" w:sz="0" w:space="0" w:color="auto"/>
        <w:left w:val="none" w:sz="0" w:space="0" w:color="auto"/>
        <w:bottom w:val="none" w:sz="0" w:space="0" w:color="auto"/>
        <w:right w:val="none" w:sz="0" w:space="0" w:color="auto"/>
      </w:divBdr>
    </w:div>
    <w:div w:id="1305158317">
      <w:bodyDiv w:val="1"/>
      <w:marLeft w:val="0"/>
      <w:marRight w:val="0"/>
      <w:marTop w:val="0"/>
      <w:marBottom w:val="0"/>
      <w:divBdr>
        <w:top w:val="none" w:sz="0" w:space="0" w:color="auto"/>
        <w:left w:val="none" w:sz="0" w:space="0" w:color="auto"/>
        <w:bottom w:val="none" w:sz="0" w:space="0" w:color="auto"/>
        <w:right w:val="none" w:sz="0" w:space="0" w:color="auto"/>
      </w:divBdr>
      <w:divsChild>
        <w:div w:id="476848234">
          <w:marLeft w:val="374"/>
          <w:marRight w:val="0"/>
          <w:marTop w:val="0"/>
          <w:marBottom w:val="0"/>
          <w:divBdr>
            <w:top w:val="none" w:sz="0" w:space="0" w:color="auto"/>
            <w:left w:val="none" w:sz="0" w:space="0" w:color="auto"/>
            <w:bottom w:val="none" w:sz="0" w:space="0" w:color="auto"/>
            <w:right w:val="none" w:sz="0" w:space="0" w:color="auto"/>
          </w:divBdr>
        </w:div>
        <w:div w:id="884218209">
          <w:marLeft w:val="821"/>
          <w:marRight w:val="0"/>
          <w:marTop w:val="0"/>
          <w:marBottom w:val="0"/>
          <w:divBdr>
            <w:top w:val="none" w:sz="0" w:space="0" w:color="auto"/>
            <w:left w:val="none" w:sz="0" w:space="0" w:color="auto"/>
            <w:bottom w:val="none" w:sz="0" w:space="0" w:color="auto"/>
            <w:right w:val="none" w:sz="0" w:space="0" w:color="auto"/>
          </w:divBdr>
        </w:div>
        <w:div w:id="1048645922">
          <w:marLeft w:val="821"/>
          <w:marRight w:val="0"/>
          <w:marTop w:val="0"/>
          <w:marBottom w:val="0"/>
          <w:divBdr>
            <w:top w:val="none" w:sz="0" w:space="0" w:color="auto"/>
            <w:left w:val="none" w:sz="0" w:space="0" w:color="auto"/>
            <w:bottom w:val="none" w:sz="0" w:space="0" w:color="auto"/>
            <w:right w:val="none" w:sz="0" w:space="0" w:color="auto"/>
          </w:divBdr>
        </w:div>
        <w:div w:id="1699744021">
          <w:marLeft w:val="374"/>
          <w:marRight w:val="0"/>
          <w:marTop w:val="0"/>
          <w:marBottom w:val="0"/>
          <w:divBdr>
            <w:top w:val="none" w:sz="0" w:space="0" w:color="auto"/>
            <w:left w:val="none" w:sz="0" w:space="0" w:color="auto"/>
            <w:bottom w:val="none" w:sz="0" w:space="0" w:color="auto"/>
            <w:right w:val="none" w:sz="0" w:space="0" w:color="auto"/>
          </w:divBdr>
        </w:div>
        <w:div w:id="1333601023">
          <w:marLeft w:val="821"/>
          <w:marRight w:val="0"/>
          <w:marTop w:val="0"/>
          <w:marBottom w:val="0"/>
          <w:divBdr>
            <w:top w:val="none" w:sz="0" w:space="0" w:color="auto"/>
            <w:left w:val="none" w:sz="0" w:space="0" w:color="auto"/>
            <w:bottom w:val="none" w:sz="0" w:space="0" w:color="auto"/>
            <w:right w:val="none" w:sz="0" w:space="0" w:color="auto"/>
          </w:divBdr>
        </w:div>
        <w:div w:id="1752896087">
          <w:marLeft w:val="821"/>
          <w:marRight w:val="0"/>
          <w:marTop w:val="0"/>
          <w:marBottom w:val="0"/>
          <w:divBdr>
            <w:top w:val="none" w:sz="0" w:space="0" w:color="auto"/>
            <w:left w:val="none" w:sz="0" w:space="0" w:color="auto"/>
            <w:bottom w:val="none" w:sz="0" w:space="0" w:color="auto"/>
            <w:right w:val="none" w:sz="0" w:space="0" w:color="auto"/>
          </w:divBdr>
        </w:div>
        <w:div w:id="1994291397">
          <w:marLeft w:val="821"/>
          <w:marRight w:val="0"/>
          <w:marTop w:val="0"/>
          <w:marBottom w:val="0"/>
          <w:divBdr>
            <w:top w:val="none" w:sz="0" w:space="0" w:color="auto"/>
            <w:left w:val="none" w:sz="0" w:space="0" w:color="auto"/>
            <w:bottom w:val="none" w:sz="0" w:space="0" w:color="auto"/>
            <w:right w:val="none" w:sz="0" w:space="0" w:color="auto"/>
          </w:divBdr>
        </w:div>
      </w:divsChild>
    </w:div>
    <w:div w:id="20156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ele@competitivepower.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0EB27-6C5E-49FC-A46A-45C6593B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Calpine</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Schleimer</dc:creator>
  <cp:keywords/>
  <dc:description/>
  <cp:lastModifiedBy>TCPA - TX Competitive Power Advocates</cp:lastModifiedBy>
  <cp:revision>2</cp:revision>
  <cp:lastPrinted>2023-10-13T15:50:00Z</cp:lastPrinted>
  <dcterms:created xsi:type="dcterms:W3CDTF">2024-01-18T18:57:00Z</dcterms:created>
  <dcterms:modified xsi:type="dcterms:W3CDTF">2024-01-18T18:57:00Z</dcterms:modified>
</cp:coreProperties>
</file>