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45DD" w14:textId="1EC1B451" w:rsidR="00FF5059" w:rsidRPr="0011730F" w:rsidRDefault="001B5E4A" w:rsidP="00B22487">
      <w:pPr>
        <w:pStyle w:val="Title"/>
        <w:rPr>
          <w:b/>
          <w:szCs w:val="24"/>
        </w:rPr>
      </w:pPr>
      <w:r w:rsidRPr="0011730F">
        <w:rPr>
          <w:b/>
          <w:szCs w:val="24"/>
        </w:rPr>
        <w:t xml:space="preserve">PUC PROJECT NO. </w:t>
      </w:r>
      <w:r w:rsidR="00C44F40" w:rsidRPr="0011730F">
        <w:rPr>
          <w:b/>
          <w:szCs w:val="24"/>
        </w:rPr>
        <w:t>55984</w:t>
      </w:r>
    </w:p>
    <w:p w14:paraId="31DDE53C" w14:textId="77777777" w:rsidR="00FF5059" w:rsidRPr="0011730F" w:rsidRDefault="00FF5059" w:rsidP="00B22487">
      <w:pPr>
        <w:pStyle w:val="Title"/>
        <w:rPr>
          <w:b/>
          <w:szCs w:val="24"/>
        </w:rPr>
      </w:pPr>
    </w:p>
    <w:tbl>
      <w:tblPr>
        <w:tblW w:w="9375" w:type="dxa"/>
        <w:tblLook w:val="04A0" w:firstRow="1" w:lastRow="0" w:firstColumn="1" w:lastColumn="0" w:noHBand="0" w:noVBand="1"/>
      </w:tblPr>
      <w:tblGrid>
        <w:gridCol w:w="4247"/>
        <w:gridCol w:w="989"/>
        <w:gridCol w:w="4139"/>
      </w:tblGrid>
      <w:tr w:rsidR="00FF5059" w:rsidRPr="0011730F" w14:paraId="672ADAD5" w14:textId="77777777" w:rsidTr="00DB5962">
        <w:trPr>
          <w:trHeight w:val="722"/>
        </w:trPr>
        <w:tc>
          <w:tcPr>
            <w:tcW w:w="4247" w:type="dxa"/>
            <w:shd w:val="clear" w:color="auto" w:fill="auto"/>
          </w:tcPr>
          <w:p w14:paraId="28B0003F" w14:textId="6A050F91" w:rsidR="001B5E4A" w:rsidRPr="0011730F" w:rsidRDefault="00654241" w:rsidP="00B22487">
            <w:pPr>
              <w:pStyle w:val="Title"/>
              <w:jc w:val="left"/>
              <w:rPr>
                <w:b/>
                <w:szCs w:val="24"/>
              </w:rPr>
            </w:pPr>
            <w:r w:rsidRPr="0011730F">
              <w:rPr>
                <w:b/>
                <w:szCs w:val="24"/>
              </w:rPr>
              <w:t>REVIEW OF DC TIE ISSUES IN TRANSMISSION PLANNING</w:t>
            </w:r>
          </w:p>
        </w:tc>
        <w:tc>
          <w:tcPr>
            <w:tcW w:w="989" w:type="dxa"/>
            <w:shd w:val="clear" w:color="auto" w:fill="auto"/>
          </w:tcPr>
          <w:p w14:paraId="03063560" w14:textId="77777777" w:rsidR="00FF5059" w:rsidRPr="0011730F" w:rsidRDefault="00FF5059" w:rsidP="00B22487">
            <w:pPr>
              <w:pStyle w:val="Title"/>
              <w:rPr>
                <w:b/>
                <w:szCs w:val="24"/>
              </w:rPr>
            </w:pPr>
            <w:r w:rsidRPr="0011730F">
              <w:rPr>
                <w:b/>
                <w:szCs w:val="24"/>
              </w:rPr>
              <w:t>§</w:t>
            </w:r>
          </w:p>
          <w:p w14:paraId="203A581A" w14:textId="77777777" w:rsidR="00FF5059" w:rsidRPr="0011730F" w:rsidRDefault="00FF5059" w:rsidP="00B22487">
            <w:pPr>
              <w:pStyle w:val="Title"/>
              <w:rPr>
                <w:b/>
                <w:szCs w:val="24"/>
              </w:rPr>
            </w:pPr>
            <w:r w:rsidRPr="0011730F">
              <w:rPr>
                <w:b/>
                <w:szCs w:val="24"/>
              </w:rPr>
              <w:t>§</w:t>
            </w:r>
          </w:p>
        </w:tc>
        <w:tc>
          <w:tcPr>
            <w:tcW w:w="4139" w:type="dxa"/>
            <w:shd w:val="clear" w:color="auto" w:fill="auto"/>
          </w:tcPr>
          <w:p w14:paraId="7952A813" w14:textId="77777777" w:rsidR="00FF5059" w:rsidRPr="0011730F" w:rsidRDefault="00FF5059" w:rsidP="00B22487">
            <w:pPr>
              <w:pStyle w:val="Title"/>
              <w:rPr>
                <w:b/>
                <w:szCs w:val="24"/>
              </w:rPr>
            </w:pPr>
            <w:r w:rsidRPr="0011730F">
              <w:rPr>
                <w:b/>
                <w:szCs w:val="24"/>
              </w:rPr>
              <w:t>PUBLIC UTILITY COMMISSION</w:t>
            </w:r>
          </w:p>
          <w:p w14:paraId="7306CE72" w14:textId="77777777" w:rsidR="00FF5059" w:rsidRPr="0011730F" w:rsidRDefault="00FF5059" w:rsidP="00B22487">
            <w:pPr>
              <w:pStyle w:val="Title"/>
              <w:rPr>
                <w:b/>
                <w:szCs w:val="24"/>
              </w:rPr>
            </w:pPr>
            <w:r w:rsidRPr="0011730F">
              <w:rPr>
                <w:b/>
                <w:szCs w:val="24"/>
              </w:rPr>
              <w:t>OF TEXAS</w:t>
            </w:r>
          </w:p>
        </w:tc>
      </w:tr>
    </w:tbl>
    <w:p w14:paraId="7219FB1D" w14:textId="77777777" w:rsidR="00CF7776" w:rsidRPr="006E537A" w:rsidRDefault="00CF7776" w:rsidP="00B22487">
      <w:pPr>
        <w:pStyle w:val="Caption"/>
        <w:ind w:right="-270"/>
        <w:jc w:val="both"/>
        <w:rPr>
          <w:sz w:val="22"/>
          <w:szCs w:val="22"/>
        </w:rPr>
      </w:pPr>
    </w:p>
    <w:p w14:paraId="69C36A4A" w14:textId="6A74E0F3" w:rsidR="00CF7776" w:rsidRPr="0011730F" w:rsidRDefault="00552F98" w:rsidP="00B22487">
      <w:pPr>
        <w:pStyle w:val="Caption"/>
        <w:ind w:right="-270"/>
        <w:rPr>
          <w:rFonts w:ascii="Times New Roman Bold" w:hAnsi="Times New Roman Bold"/>
          <w:caps/>
          <w:szCs w:val="24"/>
          <w:u w:val="single"/>
        </w:rPr>
      </w:pPr>
      <w:r w:rsidRPr="0011730F">
        <w:rPr>
          <w:caps/>
          <w:szCs w:val="24"/>
          <w:u w:val="single"/>
        </w:rPr>
        <w:t>TCPA’s</w:t>
      </w:r>
      <w:r w:rsidR="00CF7776" w:rsidRPr="0011730F">
        <w:rPr>
          <w:caps/>
          <w:szCs w:val="24"/>
          <w:u w:val="single"/>
        </w:rPr>
        <w:t xml:space="preserve"> </w:t>
      </w:r>
      <w:r w:rsidR="004D3E50" w:rsidRPr="0011730F">
        <w:rPr>
          <w:caps/>
          <w:szCs w:val="24"/>
          <w:u w:val="single"/>
        </w:rPr>
        <w:t xml:space="preserve">COMMENTS </w:t>
      </w:r>
      <w:r w:rsidR="009A6E92" w:rsidRPr="0011730F">
        <w:rPr>
          <w:caps/>
          <w:szCs w:val="24"/>
          <w:u w:val="single"/>
        </w:rPr>
        <w:t xml:space="preserve">ON </w:t>
      </w:r>
      <w:r w:rsidR="00654241" w:rsidRPr="0011730F">
        <w:rPr>
          <w:caps/>
          <w:szCs w:val="24"/>
          <w:u w:val="single"/>
        </w:rPr>
        <w:t>STAFF QUESTIONS</w:t>
      </w:r>
      <w:r w:rsidR="009A6E92" w:rsidRPr="0011730F">
        <w:rPr>
          <w:caps/>
          <w:szCs w:val="24"/>
          <w:u w:val="single"/>
        </w:rPr>
        <w:t xml:space="preserve"> </w:t>
      </w:r>
    </w:p>
    <w:p w14:paraId="08D18250" w14:textId="50544C67" w:rsidR="00CF7776" w:rsidRPr="006E537A" w:rsidRDefault="00CF7776" w:rsidP="00B22487">
      <w:pPr>
        <w:spacing w:after="0" w:line="480" w:lineRule="auto"/>
        <w:jc w:val="center"/>
        <w:rPr>
          <w:sz w:val="22"/>
        </w:rPr>
      </w:pPr>
    </w:p>
    <w:p w14:paraId="798273E6" w14:textId="6197D457" w:rsidR="001D0BF5" w:rsidRDefault="00552F98" w:rsidP="00A53E86">
      <w:pPr>
        <w:spacing w:line="480" w:lineRule="auto"/>
        <w:ind w:firstLine="360"/>
        <w:rPr>
          <w:rFonts w:cs="Times New Roman"/>
        </w:rPr>
      </w:pPr>
      <w:r>
        <w:rPr>
          <w:rFonts w:cs="Times New Roman"/>
        </w:rPr>
        <w:t>Texas Competitive Power Advocates (TCPA)</w:t>
      </w:r>
      <w:r>
        <w:rPr>
          <w:rStyle w:val="FootnoteReference"/>
        </w:rPr>
        <w:footnoteReference w:id="1"/>
      </w:r>
      <w:r w:rsidRPr="00C36738">
        <w:rPr>
          <w:rFonts w:cs="Times New Roman"/>
        </w:rPr>
        <w:t xml:space="preserve"> </w:t>
      </w:r>
      <w:r>
        <w:rPr>
          <w:rFonts w:cs="Times New Roman"/>
        </w:rPr>
        <w:t>appreciates the opportunity to provide comment</w:t>
      </w:r>
      <w:r w:rsidR="00BC1A1E">
        <w:rPr>
          <w:rFonts w:cs="Times New Roman"/>
        </w:rPr>
        <w:t>s</w:t>
      </w:r>
      <w:r>
        <w:rPr>
          <w:rFonts w:cs="Times New Roman"/>
        </w:rPr>
        <w:t xml:space="preserve"> </w:t>
      </w:r>
      <w:r w:rsidR="009A6E92">
        <w:rPr>
          <w:rFonts w:cs="Times New Roman"/>
        </w:rPr>
        <w:t xml:space="preserve">on the </w:t>
      </w:r>
      <w:r w:rsidR="00654241">
        <w:rPr>
          <w:rFonts w:cs="Times New Roman"/>
        </w:rPr>
        <w:t>questions staff issued for comment on January 18, 2024.</w:t>
      </w:r>
      <w:r>
        <w:rPr>
          <w:rFonts w:cs="Times New Roman"/>
        </w:rPr>
        <w:t xml:space="preserve"> </w:t>
      </w:r>
      <w:r w:rsidR="00996046">
        <w:rPr>
          <w:rFonts w:cs="Times New Roman"/>
        </w:rPr>
        <w:t xml:space="preserve">The </w:t>
      </w:r>
      <w:r w:rsidR="00945BD8">
        <w:rPr>
          <w:rFonts w:cs="Times New Roman"/>
        </w:rPr>
        <w:t xml:space="preserve">Commission and Stakeholders at ERCOT underwent an extensive process to implement directives </w:t>
      </w:r>
      <w:r w:rsidR="00670759">
        <w:rPr>
          <w:rFonts w:cs="Times New Roman"/>
        </w:rPr>
        <w:t>ordered by the Commission in the</w:t>
      </w:r>
      <w:r w:rsidR="00151FF2">
        <w:rPr>
          <w:rFonts w:cs="Times New Roman"/>
        </w:rPr>
        <w:t xml:space="preserve"> City of Garland </w:t>
      </w:r>
      <w:r w:rsidR="00FD3A88">
        <w:rPr>
          <w:rFonts w:cs="Times New Roman"/>
        </w:rPr>
        <w:t>certificate of convenience and necessity (</w:t>
      </w:r>
      <w:r w:rsidR="00151FF2">
        <w:rPr>
          <w:rFonts w:cs="Times New Roman"/>
        </w:rPr>
        <w:t>CCN</w:t>
      </w:r>
      <w:r w:rsidR="00FD3A88">
        <w:rPr>
          <w:rFonts w:cs="Times New Roman"/>
        </w:rPr>
        <w:t>)</w:t>
      </w:r>
      <w:r w:rsidR="00151FF2">
        <w:rPr>
          <w:rFonts w:cs="Times New Roman"/>
        </w:rPr>
        <w:t xml:space="preserve"> Docket authorizing the Southern Cross </w:t>
      </w:r>
      <w:r w:rsidR="004E5915">
        <w:rPr>
          <w:rFonts w:cs="Times New Roman"/>
        </w:rPr>
        <w:t xml:space="preserve">Transmission (SCT) </w:t>
      </w:r>
      <w:r w:rsidR="00151FF2">
        <w:rPr>
          <w:rFonts w:cs="Times New Roman"/>
        </w:rPr>
        <w:t>DC Tie</w:t>
      </w:r>
      <w:r w:rsidR="004E5915">
        <w:rPr>
          <w:rStyle w:val="FootnoteReference"/>
          <w:rFonts w:cs="Times New Roman"/>
        </w:rPr>
        <w:footnoteReference w:id="2"/>
      </w:r>
      <w:r w:rsidR="00151FF2">
        <w:rPr>
          <w:rFonts w:cs="Times New Roman"/>
        </w:rPr>
        <w:t xml:space="preserve"> as well as the subsequent project</w:t>
      </w:r>
      <w:r w:rsidR="004E5915">
        <w:rPr>
          <w:rFonts w:cs="Times New Roman"/>
        </w:rPr>
        <w:t xml:space="preserve"> to oversee the ERCOT matters associated with the</w:t>
      </w:r>
      <w:r w:rsidR="00670759">
        <w:rPr>
          <w:rFonts w:cs="Times New Roman"/>
        </w:rPr>
        <w:t xml:space="preserve"> </w:t>
      </w:r>
      <w:r w:rsidR="004E5915">
        <w:rPr>
          <w:rFonts w:cs="Times New Roman"/>
        </w:rPr>
        <w:t>SCT</w:t>
      </w:r>
      <w:r w:rsidR="00670759">
        <w:rPr>
          <w:rFonts w:cs="Times New Roman"/>
        </w:rPr>
        <w:t xml:space="preserve"> DC Tie</w:t>
      </w:r>
      <w:r w:rsidR="00155CE7">
        <w:rPr>
          <w:rFonts w:cs="Times New Roman"/>
        </w:rPr>
        <w:t>.</w:t>
      </w:r>
      <w:r w:rsidR="005F378B">
        <w:rPr>
          <w:rStyle w:val="FootnoteReference"/>
          <w:rFonts w:cs="Times New Roman"/>
        </w:rPr>
        <w:footnoteReference w:id="3"/>
      </w:r>
      <w:r w:rsidR="00155CE7">
        <w:rPr>
          <w:rFonts w:cs="Times New Roman"/>
        </w:rPr>
        <w:t xml:space="preserve"> The multi-year process included </w:t>
      </w:r>
      <w:r w:rsidR="00F56D21">
        <w:rPr>
          <w:rFonts w:cs="Times New Roman"/>
        </w:rPr>
        <w:t xml:space="preserve">many </w:t>
      </w:r>
      <w:r w:rsidR="00155CE7">
        <w:rPr>
          <w:rFonts w:cs="Times New Roman"/>
        </w:rPr>
        <w:t>analyses, studies</w:t>
      </w:r>
      <w:r w:rsidR="0015165E">
        <w:rPr>
          <w:rFonts w:cs="Times New Roman"/>
        </w:rPr>
        <w:t>,</w:t>
      </w:r>
      <w:r w:rsidR="00155CE7">
        <w:rPr>
          <w:rFonts w:cs="Times New Roman"/>
        </w:rPr>
        <w:t xml:space="preserve"> and recommendations </w:t>
      </w:r>
      <w:r w:rsidR="009A48A2">
        <w:rPr>
          <w:rFonts w:cs="Times New Roman"/>
        </w:rPr>
        <w:t xml:space="preserve">on </w:t>
      </w:r>
      <w:r w:rsidR="00560075">
        <w:rPr>
          <w:rFonts w:cs="Times New Roman"/>
        </w:rPr>
        <w:t xml:space="preserve">how </w:t>
      </w:r>
      <w:r w:rsidR="009A48A2">
        <w:rPr>
          <w:rFonts w:cs="Times New Roman"/>
        </w:rPr>
        <w:t xml:space="preserve">to incorporate the 2,100 MW </w:t>
      </w:r>
      <w:r w:rsidR="0015165E">
        <w:rPr>
          <w:rFonts w:cs="Times New Roman"/>
        </w:rPr>
        <w:t xml:space="preserve">SCT </w:t>
      </w:r>
      <w:r w:rsidR="009A48A2">
        <w:rPr>
          <w:rFonts w:cs="Times New Roman"/>
        </w:rPr>
        <w:t>DC tie</w:t>
      </w:r>
      <w:r w:rsidR="003E7191">
        <w:rPr>
          <w:rFonts w:cs="Times New Roman"/>
        </w:rPr>
        <w:t xml:space="preserve"> and ultimately the Commission’s directives</w:t>
      </w:r>
      <w:r w:rsidR="009A48A2">
        <w:rPr>
          <w:rFonts w:cs="Times New Roman"/>
        </w:rPr>
        <w:t xml:space="preserve"> into ERCOT’s planning models </w:t>
      </w:r>
      <w:r w:rsidR="00D51E08">
        <w:rPr>
          <w:rFonts w:cs="Times New Roman"/>
        </w:rPr>
        <w:t xml:space="preserve">“so that the reliability of the </w:t>
      </w:r>
      <w:r w:rsidR="00F60B4B">
        <w:rPr>
          <w:rFonts w:cs="Times New Roman"/>
        </w:rPr>
        <w:t>ERCOT system is not jeopardized and cost responsibilities are properly placed on market participants</w:t>
      </w:r>
      <w:r w:rsidR="009A48A2">
        <w:rPr>
          <w:rFonts w:cs="Times New Roman"/>
        </w:rPr>
        <w:t>.</w:t>
      </w:r>
      <w:r w:rsidR="00F60B4B">
        <w:rPr>
          <w:rFonts w:cs="Times New Roman"/>
        </w:rPr>
        <w:t>”</w:t>
      </w:r>
      <w:r w:rsidR="00F60B4B">
        <w:rPr>
          <w:rStyle w:val="FootnoteReference"/>
          <w:rFonts w:cs="Times New Roman"/>
        </w:rPr>
        <w:footnoteReference w:id="4"/>
      </w:r>
      <w:r w:rsidR="009A48A2">
        <w:rPr>
          <w:rFonts w:cs="Times New Roman"/>
        </w:rPr>
        <w:t xml:space="preserve"> </w:t>
      </w:r>
    </w:p>
    <w:p w14:paraId="04208538" w14:textId="29161C26" w:rsidR="001D5695" w:rsidRDefault="009A48A2" w:rsidP="00A53E86">
      <w:pPr>
        <w:spacing w:line="480" w:lineRule="auto"/>
        <w:ind w:firstLine="360"/>
        <w:rPr>
          <w:rFonts w:cs="Times New Roman"/>
        </w:rPr>
      </w:pPr>
      <w:r>
        <w:rPr>
          <w:rFonts w:cs="Times New Roman"/>
        </w:rPr>
        <w:lastRenderedPageBreak/>
        <w:t xml:space="preserve">The </w:t>
      </w:r>
      <w:r w:rsidR="00EA399A">
        <w:rPr>
          <w:rFonts w:cs="Times New Roman"/>
        </w:rPr>
        <w:t xml:space="preserve">process </w:t>
      </w:r>
      <w:r w:rsidR="001D0BF5">
        <w:rPr>
          <w:rFonts w:cs="Times New Roman"/>
        </w:rPr>
        <w:t xml:space="preserve">included </w:t>
      </w:r>
      <w:r w:rsidR="00EA399A">
        <w:rPr>
          <w:rFonts w:cs="Times New Roman"/>
        </w:rPr>
        <w:t xml:space="preserve">multiple </w:t>
      </w:r>
      <w:r w:rsidR="001D0BF5">
        <w:rPr>
          <w:rFonts w:cs="Times New Roman"/>
        </w:rPr>
        <w:t xml:space="preserve">reviews and recommendations </w:t>
      </w:r>
      <w:r w:rsidR="00EA399A">
        <w:rPr>
          <w:rFonts w:cs="Times New Roman"/>
        </w:rPr>
        <w:t xml:space="preserve">by stakeholders at various </w:t>
      </w:r>
      <w:r w:rsidR="003E566B">
        <w:rPr>
          <w:rFonts w:cs="Times New Roman"/>
        </w:rPr>
        <w:t>work groups, subcommittees, committees</w:t>
      </w:r>
      <w:r w:rsidR="0011730F">
        <w:rPr>
          <w:rFonts w:cs="Times New Roman"/>
        </w:rPr>
        <w:t>,</w:t>
      </w:r>
      <w:r w:rsidR="003E566B">
        <w:rPr>
          <w:rFonts w:cs="Times New Roman"/>
        </w:rPr>
        <w:t xml:space="preserve"> and the Board at ERCOT and ultimately by the Commission, most </w:t>
      </w:r>
      <w:r w:rsidR="008C04F8">
        <w:rPr>
          <w:rFonts w:cs="Times New Roman"/>
        </w:rPr>
        <w:t xml:space="preserve">recently on September </w:t>
      </w:r>
      <w:r w:rsidR="00C126C2">
        <w:rPr>
          <w:rFonts w:cs="Times New Roman"/>
        </w:rPr>
        <w:t xml:space="preserve">29, 2022 when the Commission instructed Docket Management to “issue an order </w:t>
      </w:r>
      <w:r w:rsidR="00F006E3">
        <w:rPr>
          <w:rFonts w:cs="Times New Roman"/>
        </w:rPr>
        <w:t xml:space="preserve">finding that the Commission agrees with ERCOT’s solutions to the 14 directives in Project No. 46304, closing out </w:t>
      </w:r>
      <w:r w:rsidR="007A3C01">
        <w:rPr>
          <w:rFonts w:cs="Times New Roman"/>
        </w:rPr>
        <w:t>Project No. 46304, and opening a new project.”</w:t>
      </w:r>
      <w:r w:rsidR="007A3C01">
        <w:rPr>
          <w:rStyle w:val="FootnoteReference"/>
          <w:rFonts w:cs="Times New Roman"/>
        </w:rPr>
        <w:footnoteReference w:id="5"/>
      </w:r>
      <w:r w:rsidR="00C26907">
        <w:rPr>
          <w:rFonts w:cs="Times New Roman"/>
        </w:rPr>
        <w:t xml:space="preserve"> </w:t>
      </w:r>
      <w:r w:rsidR="00805815">
        <w:rPr>
          <w:rFonts w:cs="Times New Roman"/>
        </w:rPr>
        <w:t>The closing of Project No. 46304 was premised, in key part for two of the directives, on the assumption that ERCOT would curtail DC ties to manage congestion in its planning models and therefore need</w:t>
      </w:r>
      <w:r w:rsidR="003E7191">
        <w:rPr>
          <w:rFonts w:cs="Times New Roman"/>
        </w:rPr>
        <w:t xml:space="preserve"> not</w:t>
      </w:r>
      <w:r w:rsidR="00805815">
        <w:rPr>
          <w:rFonts w:cs="Times New Roman"/>
        </w:rPr>
        <w:t xml:space="preserve"> build transmission to support full import deliverability of the SCT DC Tie</w:t>
      </w:r>
      <w:r w:rsidR="00805815">
        <w:rPr>
          <w:rStyle w:val="FootnoteReference"/>
          <w:rFonts w:cs="Times New Roman"/>
        </w:rPr>
        <w:footnoteReference w:id="6"/>
      </w:r>
      <w:r w:rsidR="00805815">
        <w:rPr>
          <w:rFonts w:cs="Times New Roman"/>
        </w:rPr>
        <w:t xml:space="preserve"> </w:t>
      </w:r>
      <w:r w:rsidR="003E7191">
        <w:rPr>
          <w:rFonts w:cs="Times New Roman"/>
        </w:rPr>
        <w:t>or</w:t>
      </w:r>
      <w:r w:rsidR="00805815">
        <w:rPr>
          <w:rFonts w:cs="Times New Roman"/>
        </w:rPr>
        <w:t xml:space="preserve"> assign such costs to the SCT DC Tie</w:t>
      </w:r>
      <w:r w:rsidR="003E7191">
        <w:rPr>
          <w:rFonts w:cs="Times New Roman"/>
        </w:rPr>
        <w:t>.</w:t>
      </w:r>
      <w:r w:rsidR="00805815">
        <w:rPr>
          <w:rStyle w:val="FootnoteReference"/>
          <w:rFonts w:cs="Times New Roman"/>
        </w:rPr>
        <w:footnoteReference w:id="7"/>
      </w:r>
      <w:r w:rsidR="00805815">
        <w:rPr>
          <w:rFonts w:cs="Times New Roman"/>
        </w:rPr>
        <w:t xml:space="preserve"> </w:t>
      </w:r>
    </w:p>
    <w:p w14:paraId="06F5A126" w14:textId="06D24614" w:rsidR="001D5695" w:rsidRDefault="00805815">
      <w:pPr>
        <w:spacing w:line="480" w:lineRule="auto"/>
        <w:ind w:firstLine="360"/>
        <w:rPr>
          <w:rFonts w:cs="Times New Roman"/>
        </w:rPr>
      </w:pPr>
      <w:r>
        <w:rPr>
          <w:rFonts w:cs="Times New Roman"/>
        </w:rPr>
        <w:t>Planning Guide Revision Request 105 (PGRR105)</w:t>
      </w:r>
      <w:r w:rsidR="001D5695">
        <w:rPr>
          <w:rFonts w:cs="Times New Roman"/>
        </w:rPr>
        <w:t xml:space="preserve"> was </w:t>
      </w:r>
      <w:r w:rsidR="003E7191">
        <w:rPr>
          <w:rFonts w:cs="Times New Roman"/>
        </w:rPr>
        <w:t xml:space="preserve">proposed following the closing of Project No. 46304 and </w:t>
      </w:r>
      <w:r w:rsidR="001D5695">
        <w:rPr>
          <w:rFonts w:cs="Times New Roman"/>
        </w:rPr>
        <w:t>is</w:t>
      </w:r>
      <w:r w:rsidR="003E7191">
        <w:rPr>
          <w:rFonts w:cs="Times New Roman"/>
        </w:rPr>
        <w:t xml:space="preserve"> pending at the Technical Advisory Committee (TAC)</w:t>
      </w:r>
      <w:r w:rsidR="001D5695">
        <w:rPr>
          <w:rFonts w:cs="Times New Roman"/>
        </w:rPr>
        <w:t xml:space="preserve">. PGRR105 </w:t>
      </w:r>
      <w:r>
        <w:rPr>
          <w:rFonts w:cs="Times New Roman"/>
        </w:rPr>
        <w:t>proposes to reverse the curtailment assumption upon which</w:t>
      </w:r>
      <w:r w:rsidR="003E7191">
        <w:rPr>
          <w:rFonts w:cs="Times New Roman"/>
        </w:rPr>
        <w:t xml:space="preserve"> </w:t>
      </w:r>
      <w:r w:rsidR="001D5695">
        <w:rPr>
          <w:rFonts w:cs="Times New Roman"/>
        </w:rPr>
        <w:t>prior</w:t>
      </w:r>
      <w:r>
        <w:rPr>
          <w:rFonts w:cs="Times New Roman"/>
        </w:rPr>
        <w:t xml:space="preserve"> directives were concluded</w:t>
      </w:r>
      <w:r w:rsidR="001D5695">
        <w:rPr>
          <w:rFonts w:cs="Times New Roman"/>
        </w:rPr>
        <w:t xml:space="preserve"> </w:t>
      </w:r>
      <w:r>
        <w:rPr>
          <w:rFonts w:cs="Times New Roman"/>
        </w:rPr>
        <w:t>and instead</w:t>
      </w:r>
      <w:r w:rsidR="001D5695">
        <w:rPr>
          <w:rFonts w:cs="Times New Roman"/>
        </w:rPr>
        <w:t xml:space="preserve"> would require ERCOT to</w:t>
      </w:r>
      <w:r>
        <w:rPr>
          <w:rFonts w:cs="Times New Roman"/>
        </w:rPr>
        <w:t xml:space="preserve"> plan for full import deliverability from a DC tie </w:t>
      </w:r>
      <w:r w:rsidR="001D5695">
        <w:rPr>
          <w:rFonts w:cs="Times New Roman"/>
        </w:rPr>
        <w:t>thus</w:t>
      </w:r>
      <w:r>
        <w:rPr>
          <w:rFonts w:cs="Times New Roman"/>
        </w:rPr>
        <w:t xml:space="preserve"> rendering the cost allocation policies </w:t>
      </w:r>
      <w:r w:rsidR="00C06035" w:rsidRPr="002162A4">
        <w:rPr>
          <w:rFonts w:cs="Times New Roman"/>
        </w:rPr>
        <w:t>mooted by the resolution of the issues</w:t>
      </w:r>
      <w:r>
        <w:rPr>
          <w:rFonts w:cs="Times New Roman"/>
        </w:rPr>
        <w:t xml:space="preserve"> in Project No. 46304 once again relevant for the Commission to take up.</w:t>
      </w:r>
      <w:r w:rsidR="001D5695">
        <w:rPr>
          <w:rFonts w:cs="Times New Roman"/>
        </w:rPr>
        <w:t xml:space="preserve">  </w:t>
      </w:r>
      <w:r w:rsidR="00C26907">
        <w:rPr>
          <w:rFonts w:cs="Times New Roman"/>
        </w:rPr>
        <w:t xml:space="preserve">TCPA </w:t>
      </w:r>
      <w:r w:rsidR="009D51FD">
        <w:rPr>
          <w:rFonts w:cs="Times New Roman"/>
        </w:rPr>
        <w:t xml:space="preserve">recommends the Commission </w:t>
      </w:r>
      <w:r w:rsidR="0015165E">
        <w:rPr>
          <w:rFonts w:cs="Times New Roman"/>
        </w:rPr>
        <w:t xml:space="preserve">approach its current review of DC Ties transmission planning issues consistent </w:t>
      </w:r>
      <w:r w:rsidR="005B3477">
        <w:rPr>
          <w:rFonts w:cs="Times New Roman"/>
        </w:rPr>
        <w:t xml:space="preserve">with </w:t>
      </w:r>
      <w:r w:rsidR="003C3F90">
        <w:rPr>
          <w:rFonts w:cs="Times New Roman"/>
        </w:rPr>
        <w:t xml:space="preserve">its </w:t>
      </w:r>
      <w:r w:rsidR="00B579F8">
        <w:rPr>
          <w:rFonts w:cs="Times New Roman"/>
        </w:rPr>
        <w:t>order in the SCT DC Tie case</w:t>
      </w:r>
      <w:r w:rsidR="009E52EC">
        <w:rPr>
          <w:rFonts w:cs="Times New Roman"/>
        </w:rPr>
        <w:t xml:space="preserve"> and uphold the spirit of </w:t>
      </w:r>
      <w:r w:rsidR="005B3477">
        <w:rPr>
          <w:rFonts w:cs="Times New Roman"/>
        </w:rPr>
        <w:t>the recent resolution of</w:t>
      </w:r>
      <w:r w:rsidR="00442731">
        <w:rPr>
          <w:rFonts w:cs="Times New Roman"/>
        </w:rPr>
        <w:t xml:space="preserve"> </w:t>
      </w:r>
      <w:r w:rsidR="0015165E">
        <w:rPr>
          <w:rFonts w:cs="Times New Roman"/>
        </w:rPr>
        <w:t>the</w:t>
      </w:r>
      <w:r w:rsidR="001540A5">
        <w:rPr>
          <w:rFonts w:cs="Times New Roman"/>
        </w:rPr>
        <w:t xml:space="preserve"> applicable</w:t>
      </w:r>
      <w:r w:rsidR="0015165E">
        <w:rPr>
          <w:rFonts w:cs="Times New Roman"/>
        </w:rPr>
        <w:t xml:space="preserve"> SCT DC Tie</w:t>
      </w:r>
      <w:r w:rsidR="001540A5">
        <w:rPr>
          <w:rFonts w:cs="Times New Roman"/>
        </w:rPr>
        <w:t xml:space="preserve"> directives</w:t>
      </w:r>
      <w:r w:rsidR="0015165E">
        <w:rPr>
          <w:rFonts w:cs="Times New Roman"/>
        </w:rPr>
        <w:t xml:space="preserve">. </w:t>
      </w:r>
    </w:p>
    <w:p w14:paraId="71FAB065" w14:textId="37D8D8F5" w:rsidR="00D71501" w:rsidRDefault="004E7917">
      <w:pPr>
        <w:spacing w:line="480" w:lineRule="auto"/>
        <w:ind w:firstLine="360"/>
        <w:rPr>
          <w:rFonts w:cs="Times New Roman"/>
        </w:rPr>
      </w:pPr>
      <w:r>
        <w:rPr>
          <w:rFonts w:cs="Times New Roman"/>
        </w:rPr>
        <w:lastRenderedPageBreak/>
        <w:t>Fundamentally</w:t>
      </w:r>
      <w:r w:rsidR="0015165E">
        <w:rPr>
          <w:rFonts w:cs="Times New Roman"/>
        </w:rPr>
        <w:t xml:space="preserve">, the Commission should </w:t>
      </w:r>
      <w:r w:rsidR="009D51FD">
        <w:rPr>
          <w:szCs w:val="24"/>
        </w:rPr>
        <w:t xml:space="preserve">view this project holistically in terms of the overall resource adequacy goals established by the Texas Legislature and the Commission to ensure </w:t>
      </w:r>
      <w:r w:rsidR="00F57573">
        <w:rPr>
          <w:szCs w:val="24"/>
        </w:rPr>
        <w:t xml:space="preserve">that policies regarding DC ties </w:t>
      </w:r>
      <w:r w:rsidR="009D51FD">
        <w:rPr>
          <w:szCs w:val="24"/>
        </w:rPr>
        <w:t xml:space="preserve">do not undermine the overall goal of </w:t>
      </w:r>
      <w:r w:rsidR="00681895">
        <w:rPr>
          <w:szCs w:val="24"/>
        </w:rPr>
        <w:t xml:space="preserve">supporting (and </w:t>
      </w:r>
      <w:r w:rsidR="009D51FD">
        <w:rPr>
          <w:szCs w:val="24"/>
        </w:rPr>
        <w:t>increasing</w:t>
      </w:r>
      <w:r w:rsidR="00681895">
        <w:rPr>
          <w:szCs w:val="24"/>
        </w:rPr>
        <w:t>)</w:t>
      </w:r>
      <w:r w:rsidR="009D51FD">
        <w:rPr>
          <w:szCs w:val="24"/>
        </w:rPr>
        <w:t xml:space="preserve"> reliable dispatchable generation capacity in ERCOT.</w:t>
      </w:r>
      <w:r w:rsidR="00DF2826">
        <w:rPr>
          <w:szCs w:val="24"/>
        </w:rPr>
        <w:t xml:space="preserve"> Similarly, TCPA is concerned with the additional regulatory uncertainty that </w:t>
      </w:r>
      <w:r w:rsidR="00765076">
        <w:rPr>
          <w:szCs w:val="24"/>
        </w:rPr>
        <w:t>w</w:t>
      </w:r>
      <w:r w:rsidR="00203D7B">
        <w:rPr>
          <w:szCs w:val="24"/>
        </w:rPr>
        <w:t>ould</w:t>
      </w:r>
      <w:r w:rsidR="00765076">
        <w:rPr>
          <w:szCs w:val="24"/>
        </w:rPr>
        <w:t xml:space="preserve"> be added to this market, already in flux, </w:t>
      </w:r>
      <w:r w:rsidR="0015165E">
        <w:rPr>
          <w:szCs w:val="24"/>
        </w:rPr>
        <w:t xml:space="preserve">if the Commission were to </w:t>
      </w:r>
      <w:r w:rsidR="00E0311E">
        <w:rPr>
          <w:szCs w:val="24"/>
        </w:rPr>
        <w:t xml:space="preserve">depart from the </w:t>
      </w:r>
      <w:r w:rsidR="00CB6BB0">
        <w:rPr>
          <w:szCs w:val="24"/>
        </w:rPr>
        <w:t xml:space="preserve">policy </w:t>
      </w:r>
      <w:r w:rsidR="00E0311E">
        <w:rPr>
          <w:szCs w:val="24"/>
        </w:rPr>
        <w:t xml:space="preserve">decisions that </w:t>
      </w:r>
      <w:r w:rsidR="00A10875">
        <w:rPr>
          <w:szCs w:val="24"/>
        </w:rPr>
        <w:t xml:space="preserve">the Commission </w:t>
      </w:r>
      <w:r w:rsidR="00CB6BB0">
        <w:rPr>
          <w:szCs w:val="24"/>
        </w:rPr>
        <w:t xml:space="preserve">established in the SCT DC Tie case and </w:t>
      </w:r>
      <w:r w:rsidR="00110087">
        <w:rPr>
          <w:szCs w:val="24"/>
        </w:rPr>
        <w:t>conceptually re</w:t>
      </w:r>
      <w:r w:rsidR="00A10875">
        <w:rPr>
          <w:szCs w:val="24"/>
        </w:rPr>
        <w:t xml:space="preserve">affirmed </w:t>
      </w:r>
      <w:r w:rsidR="00E0311E">
        <w:rPr>
          <w:szCs w:val="24"/>
        </w:rPr>
        <w:t>just over a year</w:t>
      </w:r>
      <w:r w:rsidR="003746DE">
        <w:rPr>
          <w:szCs w:val="24"/>
        </w:rPr>
        <w:t xml:space="preserve"> ago</w:t>
      </w:r>
      <w:r w:rsidR="00E0311E">
        <w:rPr>
          <w:szCs w:val="24"/>
        </w:rPr>
        <w:t>.</w:t>
      </w:r>
      <w:r w:rsidR="00CA40F2">
        <w:rPr>
          <w:szCs w:val="24"/>
        </w:rPr>
        <w:t xml:space="preserve"> </w:t>
      </w:r>
      <w:r w:rsidR="00F05C5D">
        <w:rPr>
          <w:szCs w:val="24"/>
        </w:rPr>
        <w:t xml:space="preserve">The Commission was clear in its order in the SCT DC Tie case that the operation of the DC tie could not </w:t>
      </w:r>
      <w:r w:rsidR="00F05C5D">
        <w:t>operate “in a manner that would impair ERCOT’s reliability” or “that imperils the thermal capacity of the ERCOT system</w:t>
      </w:r>
      <w:r w:rsidR="00F05C5D" w:rsidRPr="003E47E8">
        <w:t>.</w:t>
      </w:r>
      <w:r w:rsidR="00F05C5D">
        <w:t>”</w:t>
      </w:r>
      <w:r w:rsidR="00F05C5D">
        <w:rPr>
          <w:rStyle w:val="FootnoteReference"/>
        </w:rPr>
        <w:footnoteReference w:id="8"/>
      </w:r>
      <w:r w:rsidR="00F05C5D">
        <w:t xml:space="preserve"> </w:t>
      </w:r>
      <w:r w:rsidR="00CA40F2">
        <w:rPr>
          <w:szCs w:val="24"/>
        </w:rPr>
        <w:t xml:space="preserve">TCPA </w:t>
      </w:r>
      <w:r w:rsidR="004411EB">
        <w:rPr>
          <w:szCs w:val="24"/>
        </w:rPr>
        <w:t xml:space="preserve">supports </w:t>
      </w:r>
      <w:r w:rsidR="00C76468">
        <w:rPr>
          <w:szCs w:val="24"/>
        </w:rPr>
        <w:t xml:space="preserve">the </w:t>
      </w:r>
      <w:r w:rsidR="004411EB">
        <w:rPr>
          <w:szCs w:val="24"/>
        </w:rPr>
        <w:t>Commission’s original findings</w:t>
      </w:r>
      <w:r w:rsidR="00C76468">
        <w:rPr>
          <w:szCs w:val="24"/>
        </w:rPr>
        <w:t xml:space="preserve"> in the SCT DC Tie case and </w:t>
      </w:r>
      <w:r w:rsidR="00A042B0">
        <w:rPr>
          <w:szCs w:val="24"/>
        </w:rPr>
        <w:t xml:space="preserve">thus </w:t>
      </w:r>
      <w:r w:rsidR="00CA40F2">
        <w:rPr>
          <w:szCs w:val="24"/>
        </w:rPr>
        <w:t xml:space="preserve">offers the following responses to </w:t>
      </w:r>
      <w:r w:rsidR="00C76468">
        <w:rPr>
          <w:szCs w:val="24"/>
        </w:rPr>
        <w:t>S</w:t>
      </w:r>
      <w:r w:rsidR="00CA40F2">
        <w:rPr>
          <w:szCs w:val="24"/>
        </w:rPr>
        <w:t>taff</w:t>
      </w:r>
      <w:r w:rsidR="00C76468">
        <w:rPr>
          <w:szCs w:val="24"/>
        </w:rPr>
        <w:t>’s</w:t>
      </w:r>
      <w:r w:rsidR="00CA40F2">
        <w:rPr>
          <w:szCs w:val="24"/>
        </w:rPr>
        <w:t xml:space="preserve"> questions with an eye toward market stability and reliability in light of the resource adequacy goals established by the Legislature in 2021 and </w:t>
      </w:r>
      <w:r w:rsidR="00085215">
        <w:rPr>
          <w:szCs w:val="24"/>
        </w:rPr>
        <w:t>reaffirmed in 2023 through the many pieces of legislation currently undergoing implementation at the PUC and ERCOT.</w:t>
      </w:r>
    </w:p>
    <w:p w14:paraId="53205073" w14:textId="6C1294AC" w:rsidR="004D2307" w:rsidRPr="004D2307" w:rsidRDefault="00085215" w:rsidP="004D2307">
      <w:pPr>
        <w:spacing w:line="480" w:lineRule="auto"/>
        <w:ind w:firstLine="360"/>
        <w:jc w:val="center"/>
        <w:rPr>
          <w:rFonts w:cs="Times New Roman"/>
          <w:b/>
          <w:bCs/>
        </w:rPr>
      </w:pPr>
      <w:r>
        <w:rPr>
          <w:rFonts w:cs="Times New Roman"/>
          <w:b/>
          <w:bCs/>
        </w:rPr>
        <w:t>Responses to Questions</w:t>
      </w:r>
    </w:p>
    <w:p w14:paraId="1974C053" w14:textId="57E553A2" w:rsidR="0063765A" w:rsidRPr="00930DE0" w:rsidRDefault="0063765A" w:rsidP="0073492A">
      <w:pPr>
        <w:pStyle w:val="ListParagraph"/>
        <w:numPr>
          <w:ilvl w:val="0"/>
          <w:numId w:val="32"/>
        </w:numPr>
        <w:spacing w:after="160" w:line="257" w:lineRule="auto"/>
        <w:rPr>
          <w:b/>
          <w:bCs/>
          <w:szCs w:val="24"/>
        </w:rPr>
      </w:pPr>
      <w:r w:rsidRPr="00930DE0">
        <w:rPr>
          <w:b/>
          <w:bCs/>
          <w:szCs w:val="24"/>
        </w:rPr>
        <w:t xml:space="preserve">Should a policy change regarding Direct Current (DC) tie minimum deliverability and planning assumptions be addressed in a Commission rulemaking project or in the ERCOT stakeholder process via a Nodal Protocol revision request or a Planning Guide revision request? </w:t>
      </w:r>
    </w:p>
    <w:p w14:paraId="391222B0" w14:textId="77777777" w:rsidR="0073492A" w:rsidRDefault="0073492A" w:rsidP="0073492A">
      <w:pPr>
        <w:pStyle w:val="ListParagraph"/>
        <w:spacing w:after="160" w:line="256" w:lineRule="auto"/>
        <w:ind w:left="1080"/>
        <w:rPr>
          <w:szCs w:val="24"/>
        </w:rPr>
      </w:pPr>
    </w:p>
    <w:p w14:paraId="38348922" w14:textId="6339E13A" w:rsidR="002C7790" w:rsidRDefault="00930DE0" w:rsidP="00A042B0">
      <w:pPr>
        <w:spacing w:line="480" w:lineRule="auto"/>
        <w:ind w:firstLine="360"/>
      </w:pPr>
      <w:r w:rsidRPr="002162A4">
        <w:rPr>
          <w:szCs w:val="24"/>
          <w:u w:val="single"/>
        </w:rPr>
        <w:t>TCPA Response</w:t>
      </w:r>
      <w:r>
        <w:rPr>
          <w:szCs w:val="24"/>
        </w:rPr>
        <w:t xml:space="preserve">: </w:t>
      </w:r>
      <w:r w:rsidR="00B1424B">
        <w:rPr>
          <w:szCs w:val="24"/>
        </w:rPr>
        <w:t>Such a policy change</w:t>
      </w:r>
      <w:r w:rsidR="0055798E">
        <w:rPr>
          <w:szCs w:val="24"/>
        </w:rPr>
        <w:t xml:space="preserve"> could be addressed </w:t>
      </w:r>
      <w:r w:rsidR="00BD01DF">
        <w:rPr>
          <w:szCs w:val="24"/>
        </w:rPr>
        <w:t xml:space="preserve">either </w:t>
      </w:r>
      <w:r w:rsidR="0055798E">
        <w:rPr>
          <w:szCs w:val="24"/>
        </w:rPr>
        <w:t xml:space="preserve">in a PUC rulemaking project </w:t>
      </w:r>
      <w:r w:rsidR="00B1424B">
        <w:rPr>
          <w:szCs w:val="24"/>
        </w:rPr>
        <w:t xml:space="preserve">or via </w:t>
      </w:r>
      <w:r w:rsidR="0055798E">
        <w:rPr>
          <w:szCs w:val="24"/>
        </w:rPr>
        <w:t>revisions to the ERCOT Nodal Protocols and Planning Guides</w:t>
      </w:r>
      <w:r w:rsidR="00B1424B">
        <w:rPr>
          <w:szCs w:val="24"/>
        </w:rPr>
        <w:t>, which</w:t>
      </w:r>
      <w:r w:rsidR="0055798E">
        <w:rPr>
          <w:szCs w:val="24"/>
        </w:rPr>
        <w:t xml:space="preserve"> are also subject to Commission review and approval before taking effect. However,</w:t>
      </w:r>
      <w:r w:rsidR="00500AB3">
        <w:rPr>
          <w:szCs w:val="24"/>
        </w:rPr>
        <w:t xml:space="preserve"> TCPA believes</w:t>
      </w:r>
      <w:r w:rsidR="0055798E">
        <w:rPr>
          <w:szCs w:val="24"/>
        </w:rPr>
        <w:t xml:space="preserve"> this policy change is appropriate for the Commission to consider because of the interaction between </w:t>
      </w:r>
      <w:r w:rsidR="00110A58">
        <w:rPr>
          <w:szCs w:val="24"/>
        </w:rPr>
        <w:t xml:space="preserve">pending </w:t>
      </w:r>
      <w:r w:rsidR="0055798E">
        <w:rPr>
          <w:szCs w:val="24"/>
        </w:rPr>
        <w:t xml:space="preserve">PGRR105 </w:t>
      </w:r>
      <w:r w:rsidR="00500AB3">
        <w:rPr>
          <w:szCs w:val="24"/>
        </w:rPr>
        <w:t>(recently tabled</w:t>
      </w:r>
      <w:r w:rsidR="001F23E1">
        <w:rPr>
          <w:szCs w:val="24"/>
        </w:rPr>
        <w:t xml:space="preserve"> by the TAC</w:t>
      </w:r>
      <w:r w:rsidR="00500AB3">
        <w:rPr>
          <w:szCs w:val="24"/>
        </w:rPr>
        <w:t xml:space="preserve">) </w:t>
      </w:r>
      <w:r w:rsidR="0055798E">
        <w:rPr>
          <w:szCs w:val="24"/>
        </w:rPr>
        <w:t>and</w:t>
      </w:r>
      <w:r w:rsidR="00FA448B">
        <w:rPr>
          <w:szCs w:val="24"/>
        </w:rPr>
        <w:t xml:space="preserve"> ERCOT’s previous resolution of Directive 6 </w:t>
      </w:r>
      <w:r w:rsidR="0012474E">
        <w:rPr>
          <w:szCs w:val="24"/>
        </w:rPr>
        <w:t xml:space="preserve">(and in </w:t>
      </w:r>
      <w:r w:rsidR="0012474E">
        <w:rPr>
          <w:szCs w:val="24"/>
        </w:rPr>
        <w:lastRenderedPageBreak/>
        <w:t>part</w:t>
      </w:r>
      <w:r w:rsidR="00703850">
        <w:rPr>
          <w:szCs w:val="24"/>
        </w:rPr>
        <w:t xml:space="preserve"> Directive 11) </w:t>
      </w:r>
      <w:r w:rsidR="00FA448B">
        <w:rPr>
          <w:szCs w:val="24"/>
        </w:rPr>
        <w:t>from</w:t>
      </w:r>
      <w:r w:rsidR="0055798E">
        <w:rPr>
          <w:szCs w:val="24"/>
        </w:rPr>
        <w:t xml:space="preserve"> </w:t>
      </w:r>
      <w:r w:rsidR="007A6CDD">
        <w:rPr>
          <w:szCs w:val="24"/>
        </w:rPr>
        <w:t>the</w:t>
      </w:r>
      <w:r w:rsidR="0055798E">
        <w:rPr>
          <w:szCs w:val="24"/>
        </w:rPr>
        <w:t xml:space="preserve"> prior Commission order regarding DC ties</w:t>
      </w:r>
      <w:r w:rsidR="007A6CDD">
        <w:rPr>
          <w:szCs w:val="24"/>
        </w:rPr>
        <w:t xml:space="preserve"> described above</w:t>
      </w:r>
      <w:r w:rsidR="0055798E">
        <w:rPr>
          <w:szCs w:val="24"/>
        </w:rPr>
        <w:t xml:space="preserve">. </w:t>
      </w:r>
      <w:r w:rsidR="007A6CDD">
        <w:rPr>
          <w:szCs w:val="24"/>
        </w:rPr>
        <w:t>Specifically, i</w:t>
      </w:r>
      <w:r w:rsidR="0055798E">
        <w:rPr>
          <w:szCs w:val="24"/>
        </w:rPr>
        <w:t>n the Southern Cross order</w:t>
      </w:r>
      <w:r w:rsidR="00D329A3">
        <w:rPr>
          <w:szCs w:val="24"/>
        </w:rPr>
        <w:t>,</w:t>
      </w:r>
      <w:r w:rsidR="005579CC">
        <w:rPr>
          <w:rStyle w:val="FootnoteReference"/>
          <w:szCs w:val="24"/>
        </w:rPr>
        <w:footnoteReference w:id="9"/>
      </w:r>
      <w:r w:rsidR="0055798E">
        <w:rPr>
          <w:szCs w:val="24"/>
        </w:rPr>
        <w:t xml:space="preserve"> ERCOT was directed by the Commission to establish numerous policy issues related to DC ties including how to treat DC ties in transmission planning</w:t>
      </w:r>
      <w:r w:rsidR="00230377">
        <w:rPr>
          <w:szCs w:val="24"/>
        </w:rPr>
        <w:t xml:space="preserve"> for purposes of determining cost allocation</w:t>
      </w:r>
      <w:r w:rsidR="006E2064">
        <w:rPr>
          <w:szCs w:val="24"/>
        </w:rPr>
        <w:t xml:space="preserve"> for transmission upgrades necessary to manage congestion caused by the DC ties</w:t>
      </w:r>
      <w:r w:rsidR="0055798E">
        <w:rPr>
          <w:szCs w:val="24"/>
        </w:rPr>
        <w:t>. Following significant study and deliberation, the ERCOT Board approved Directive 6</w:t>
      </w:r>
      <w:r w:rsidR="003D2863">
        <w:rPr>
          <w:szCs w:val="24"/>
        </w:rPr>
        <w:t>,</w:t>
      </w:r>
      <w:r w:rsidR="0055798E">
        <w:rPr>
          <w:szCs w:val="24"/>
        </w:rPr>
        <w:t xml:space="preserve"> which requires </w:t>
      </w:r>
      <w:r w:rsidR="0055798E">
        <w:t>ERCOT to assume</w:t>
      </w:r>
      <w:r w:rsidR="00B54D1D">
        <w:t xml:space="preserve"> curtailment of</w:t>
      </w:r>
      <w:r w:rsidR="0055798E">
        <w:t xml:space="preserve"> DC Tie flows in its transmission planning studies when necessary to meet reliability criteria.</w:t>
      </w:r>
      <w:r w:rsidR="004B3B02">
        <w:rPr>
          <w:rStyle w:val="FootnoteReference"/>
        </w:rPr>
        <w:footnoteReference w:id="10"/>
      </w:r>
      <w:r w:rsidR="0055798E">
        <w:t xml:space="preserve"> The justification for this decision is </w:t>
      </w:r>
      <w:r w:rsidR="004B3B02">
        <w:t xml:space="preserve">to ensure </w:t>
      </w:r>
      <w:r w:rsidR="0055798E">
        <w:t>consistency with ERCOT</w:t>
      </w:r>
      <w:r w:rsidR="00B54D1D">
        <w:t xml:space="preserve">’s ability to curtail DC ties </w:t>
      </w:r>
      <w:r w:rsidR="00CD029F">
        <w:t>as it</w:t>
      </w:r>
      <w:r w:rsidR="0055798E">
        <w:t xml:space="preserve"> operates the transmission system. </w:t>
      </w:r>
    </w:p>
    <w:p w14:paraId="5496F718" w14:textId="1970E4FF" w:rsidR="00343984" w:rsidRDefault="0055798E">
      <w:pPr>
        <w:spacing w:line="480" w:lineRule="auto"/>
        <w:ind w:firstLine="360"/>
        <w:rPr>
          <w:szCs w:val="24"/>
        </w:rPr>
      </w:pPr>
      <w:r>
        <w:rPr>
          <w:szCs w:val="24"/>
        </w:rPr>
        <w:t>Therefore, one path to reconciling the issues the Commission is addressing in this project is to ensure that ERCOT operates as</w:t>
      </w:r>
      <w:r w:rsidR="00E650FD">
        <w:rPr>
          <w:szCs w:val="24"/>
        </w:rPr>
        <w:t xml:space="preserve"> the resolution to Directive 6 and associated PGRR 077</w:t>
      </w:r>
      <w:r w:rsidR="00F03FFE">
        <w:rPr>
          <w:szCs w:val="24"/>
        </w:rPr>
        <w:t xml:space="preserve"> assumes it will</w:t>
      </w:r>
      <w:r>
        <w:rPr>
          <w:szCs w:val="24"/>
        </w:rPr>
        <w:t>, and simply curtails DC ties when their import results in congestion of in-ERCOT generation resources, consistent with prior policies established through Board approval of the Southern Cross directives</w:t>
      </w:r>
      <w:r>
        <w:rPr>
          <w:rStyle w:val="FootnoteReference"/>
          <w:szCs w:val="24"/>
        </w:rPr>
        <w:footnoteReference w:id="11"/>
      </w:r>
      <w:r w:rsidR="0046574C">
        <w:rPr>
          <w:szCs w:val="24"/>
        </w:rPr>
        <w:t xml:space="preserve"> and the Commission’s </w:t>
      </w:r>
      <w:r w:rsidR="001C4346">
        <w:rPr>
          <w:szCs w:val="24"/>
        </w:rPr>
        <w:t xml:space="preserve">Southern Cross order’s </w:t>
      </w:r>
      <w:r w:rsidR="008200B3">
        <w:rPr>
          <w:szCs w:val="24"/>
        </w:rPr>
        <w:t>dictates to not harm ERCOT reliability and/or the ERCOT thermal fleet</w:t>
      </w:r>
      <w:r>
        <w:rPr>
          <w:szCs w:val="24"/>
        </w:rPr>
        <w:t xml:space="preserve">. The Commission should avoid altering </w:t>
      </w:r>
      <w:r w:rsidR="00B04F6E">
        <w:rPr>
          <w:szCs w:val="24"/>
        </w:rPr>
        <w:t xml:space="preserve">these </w:t>
      </w:r>
      <w:r>
        <w:rPr>
          <w:szCs w:val="24"/>
        </w:rPr>
        <w:t>polic</w:t>
      </w:r>
      <w:r w:rsidR="00B04F6E">
        <w:rPr>
          <w:szCs w:val="24"/>
        </w:rPr>
        <w:t>ies</w:t>
      </w:r>
      <w:r w:rsidR="00BD2FC7">
        <w:rPr>
          <w:szCs w:val="24"/>
        </w:rPr>
        <w:t>. I</w:t>
      </w:r>
      <w:r w:rsidR="00FA0121">
        <w:rPr>
          <w:szCs w:val="24"/>
        </w:rPr>
        <w:t xml:space="preserve">f </w:t>
      </w:r>
      <w:r w:rsidR="00BD2FC7">
        <w:rPr>
          <w:szCs w:val="24"/>
        </w:rPr>
        <w:t xml:space="preserve">the Commission </w:t>
      </w:r>
      <w:r w:rsidR="00FA0121">
        <w:rPr>
          <w:szCs w:val="24"/>
        </w:rPr>
        <w:t>do</w:t>
      </w:r>
      <w:r w:rsidR="00BD2FC7">
        <w:rPr>
          <w:szCs w:val="24"/>
        </w:rPr>
        <w:t>es</w:t>
      </w:r>
      <w:r w:rsidR="00F72D83">
        <w:rPr>
          <w:szCs w:val="24"/>
        </w:rPr>
        <w:t xml:space="preserve"> endorse PGRR105</w:t>
      </w:r>
      <w:r w:rsidR="008C055F">
        <w:rPr>
          <w:szCs w:val="24"/>
        </w:rPr>
        <w:t xml:space="preserve"> (or some “middle ground”)</w:t>
      </w:r>
      <w:r w:rsidR="00F72D83">
        <w:rPr>
          <w:szCs w:val="24"/>
        </w:rPr>
        <w:t xml:space="preserve">, however, </w:t>
      </w:r>
      <w:r w:rsidR="00FA0121">
        <w:rPr>
          <w:szCs w:val="24"/>
        </w:rPr>
        <w:t xml:space="preserve">then </w:t>
      </w:r>
      <w:r w:rsidR="00F72D83">
        <w:rPr>
          <w:szCs w:val="24"/>
        </w:rPr>
        <w:t xml:space="preserve">it </w:t>
      </w:r>
      <w:r w:rsidR="00FA0121">
        <w:rPr>
          <w:szCs w:val="24"/>
        </w:rPr>
        <w:t xml:space="preserve">should </w:t>
      </w:r>
      <w:r w:rsidR="001E33F4">
        <w:rPr>
          <w:szCs w:val="24"/>
        </w:rPr>
        <w:t xml:space="preserve">maintain its policy precedent from the Southern Cross order by </w:t>
      </w:r>
      <w:r w:rsidR="00EE7EEF">
        <w:rPr>
          <w:szCs w:val="24"/>
        </w:rPr>
        <w:t xml:space="preserve">assigning those </w:t>
      </w:r>
      <w:r>
        <w:rPr>
          <w:szCs w:val="24"/>
        </w:rPr>
        <w:t>result</w:t>
      </w:r>
      <w:r w:rsidR="00FA0121">
        <w:rPr>
          <w:szCs w:val="24"/>
        </w:rPr>
        <w:t>ing</w:t>
      </w:r>
      <w:r>
        <w:rPr>
          <w:szCs w:val="24"/>
        </w:rPr>
        <w:t xml:space="preserve"> transmission expansion </w:t>
      </w:r>
      <w:r w:rsidR="00BD2FC7">
        <w:rPr>
          <w:szCs w:val="24"/>
        </w:rPr>
        <w:t>costs directly to the DC ties</w:t>
      </w:r>
      <w:r>
        <w:rPr>
          <w:szCs w:val="24"/>
        </w:rPr>
        <w:t xml:space="preserve">. </w:t>
      </w:r>
    </w:p>
    <w:p w14:paraId="7981F880" w14:textId="3FD16FC6" w:rsidR="0055798E" w:rsidRPr="003C3FC9" w:rsidRDefault="0055798E" w:rsidP="002162A4">
      <w:pPr>
        <w:spacing w:line="480" w:lineRule="auto"/>
        <w:ind w:firstLine="360"/>
        <w:rPr>
          <w:szCs w:val="24"/>
        </w:rPr>
      </w:pPr>
      <w:r>
        <w:rPr>
          <w:szCs w:val="24"/>
        </w:rPr>
        <w:t xml:space="preserve">Imports into ERCOT across DC ties during emergencies are governed by coordination agreements among the bordering ISOs. </w:t>
      </w:r>
      <w:r w:rsidR="00264B89">
        <w:rPr>
          <w:szCs w:val="24"/>
        </w:rPr>
        <w:t xml:space="preserve">As ERCOT has </w:t>
      </w:r>
      <w:r w:rsidR="00604F1C">
        <w:rPr>
          <w:szCs w:val="24"/>
        </w:rPr>
        <w:t>alluded</w:t>
      </w:r>
      <w:r w:rsidR="00264B89">
        <w:rPr>
          <w:szCs w:val="24"/>
        </w:rPr>
        <w:t>, e</w:t>
      </w:r>
      <w:r>
        <w:rPr>
          <w:szCs w:val="24"/>
        </w:rPr>
        <w:t xml:space="preserve">xpanding transmission </w:t>
      </w:r>
      <w:r>
        <w:rPr>
          <w:szCs w:val="24"/>
        </w:rPr>
        <w:lastRenderedPageBreak/>
        <w:t>infrastructure to accommodate full import will not improve reliability unless it is certain ERCOT can</w:t>
      </w:r>
      <w:r w:rsidR="006307B5">
        <w:rPr>
          <w:szCs w:val="24"/>
        </w:rPr>
        <w:t xml:space="preserve"> actually</w:t>
      </w:r>
      <w:r>
        <w:rPr>
          <w:szCs w:val="24"/>
        </w:rPr>
        <w:t xml:space="preserve"> import that full amount</w:t>
      </w:r>
      <w:r w:rsidR="006307B5">
        <w:rPr>
          <w:szCs w:val="24"/>
        </w:rPr>
        <w:t xml:space="preserve"> after </w:t>
      </w:r>
      <w:r w:rsidR="00604F1C">
        <w:rPr>
          <w:szCs w:val="24"/>
        </w:rPr>
        <w:t>taking into account the conditions in the neighboring ISO</w:t>
      </w:r>
      <w:r>
        <w:rPr>
          <w:szCs w:val="24"/>
        </w:rPr>
        <w:t>.</w:t>
      </w:r>
      <w:r w:rsidR="003B7D81">
        <w:rPr>
          <w:rStyle w:val="FootnoteReference"/>
          <w:szCs w:val="24"/>
        </w:rPr>
        <w:footnoteReference w:id="12"/>
      </w:r>
      <w:r>
        <w:rPr>
          <w:szCs w:val="24"/>
        </w:rPr>
        <w:t xml:space="preserve"> Consistency with how DC ties are treated in ERCOT operations and ERCOT planning is important</w:t>
      </w:r>
      <w:r w:rsidR="00ED5782">
        <w:rPr>
          <w:szCs w:val="24"/>
        </w:rPr>
        <w:t>, and the Commission should</w:t>
      </w:r>
      <w:r w:rsidR="00AC07EA">
        <w:rPr>
          <w:szCs w:val="24"/>
        </w:rPr>
        <w:t xml:space="preserve"> reinforce its prior policy determinations by </w:t>
      </w:r>
      <w:r w:rsidR="00F51CC6">
        <w:rPr>
          <w:szCs w:val="24"/>
        </w:rPr>
        <w:t xml:space="preserve">ensuring this is the case – be it by </w:t>
      </w:r>
      <w:r w:rsidR="00891BF5">
        <w:rPr>
          <w:szCs w:val="24"/>
        </w:rPr>
        <w:t xml:space="preserve">Commission </w:t>
      </w:r>
      <w:r w:rsidR="00F51CC6">
        <w:rPr>
          <w:szCs w:val="24"/>
        </w:rPr>
        <w:t xml:space="preserve">rule or by ERCOT </w:t>
      </w:r>
      <w:r w:rsidR="00891BF5">
        <w:rPr>
          <w:szCs w:val="24"/>
        </w:rPr>
        <w:t>rule</w:t>
      </w:r>
      <w:r>
        <w:rPr>
          <w:szCs w:val="24"/>
        </w:rPr>
        <w:t>.</w:t>
      </w:r>
      <w:r w:rsidR="00CA5397">
        <w:rPr>
          <w:szCs w:val="24"/>
        </w:rPr>
        <w:t xml:space="preserve"> As an overarching matter, the</w:t>
      </w:r>
      <w:r>
        <w:rPr>
          <w:szCs w:val="24"/>
        </w:rPr>
        <w:t xml:space="preserve"> Commission should prioritize</w:t>
      </w:r>
      <w:r w:rsidR="00CA5397">
        <w:rPr>
          <w:szCs w:val="24"/>
        </w:rPr>
        <w:t xml:space="preserve"> </w:t>
      </w:r>
      <w:r w:rsidR="003554DD">
        <w:rPr>
          <w:szCs w:val="24"/>
        </w:rPr>
        <w:t>S</w:t>
      </w:r>
      <w:r w:rsidR="00CA5397">
        <w:rPr>
          <w:szCs w:val="24"/>
        </w:rPr>
        <w:t>taff</w:t>
      </w:r>
      <w:r>
        <w:rPr>
          <w:szCs w:val="24"/>
        </w:rPr>
        <w:t xml:space="preserve"> resources and rulemakings in accordance with the directions they have been given by the Legislature.</w:t>
      </w:r>
    </w:p>
    <w:p w14:paraId="1C7673B7" w14:textId="77777777" w:rsidR="0063765A" w:rsidRDefault="0063765A" w:rsidP="0063765A">
      <w:pPr>
        <w:spacing w:line="480" w:lineRule="auto"/>
        <w:rPr>
          <w:sz w:val="22"/>
        </w:rPr>
      </w:pPr>
    </w:p>
    <w:p w14:paraId="17DFFCB5" w14:textId="4B7DDBE2" w:rsidR="00930DE0" w:rsidRDefault="00930DE0" w:rsidP="006A1C55">
      <w:pPr>
        <w:pStyle w:val="ListParagraph"/>
        <w:numPr>
          <w:ilvl w:val="0"/>
          <w:numId w:val="32"/>
        </w:numPr>
        <w:spacing w:after="160" w:line="256" w:lineRule="auto"/>
        <w:rPr>
          <w:b/>
          <w:bCs/>
          <w:szCs w:val="24"/>
        </w:rPr>
      </w:pPr>
      <w:r w:rsidRPr="006A1C55">
        <w:rPr>
          <w:b/>
          <w:bCs/>
          <w:szCs w:val="24"/>
        </w:rPr>
        <w:t xml:space="preserve">If the Commission chooses to consider the deliverability of imports over DC ties into ERCOT, should it consider a middle ground solution between zero and full deliverability of imports over DC ties? </w:t>
      </w:r>
    </w:p>
    <w:p w14:paraId="1BEA5C97" w14:textId="77777777" w:rsidR="00BE3D6A" w:rsidRPr="006A1C55" w:rsidRDefault="00BE3D6A" w:rsidP="00BE3D6A">
      <w:pPr>
        <w:pStyle w:val="ListParagraph"/>
        <w:spacing w:after="160" w:line="256" w:lineRule="auto"/>
        <w:ind w:left="1080"/>
        <w:rPr>
          <w:b/>
          <w:bCs/>
          <w:szCs w:val="24"/>
        </w:rPr>
      </w:pPr>
    </w:p>
    <w:p w14:paraId="63395815" w14:textId="77777777" w:rsidR="00B331A9" w:rsidRDefault="00BE3D6A" w:rsidP="00CA5397">
      <w:pPr>
        <w:spacing w:line="480" w:lineRule="auto"/>
        <w:ind w:firstLine="360"/>
        <w:rPr>
          <w:szCs w:val="24"/>
        </w:rPr>
      </w:pPr>
      <w:r w:rsidRPr="002162A4">
        <w:rPr>
          <w:szCs w:val="24"/>
          <w:u w:val="single"/>
        </w:rPr>
        <w:t>TCPA Response</w:t>
      </w:r>
      <w:r w:rsidRPr="00BE3D6A">
        <w:rPr>
          <w:szCs w:val="24"/>
        </w:rPr>
        <w:t>:</w:t>
      </w:r>
      <w:r>
        <w:rPr>
          <w:szCs w:val="24"/>
        </w:rPr>
        <w:t xml:space="preserve"> </w:t>
      </w:r>
      <w:r w:rsidR="004F6229">
        <w:rPr>
          <w:szCs w:val="24"/>
        </w:rPr>
        <w:t xml:space="preserve">Adopting a “middle ground” solution would be difficult for the following reasons. </w:t>
      </w:r>
    </w:p>
    <w:p w14:paraId="78D57034" w14:textId="1B0DD545" w:rsidR="00197C03" w:rsidRDefault="00B331A9" w:rsidP="00CA5397">
      <w:pPr>
        <w:spacing w:line="480" w:lineRule="auto"/>
        <w:ind w:firstLine="360"/>
        <w:rPr>
          <w:szCs w:val="24"/>
        </w:rPr>
      </w:pPr>
      <w:r>
        <w:rPr>
          <w:szCs w:val="24"/>
        </w:rPr>
        <w:t xml:space="preserve">First, </w:t>
      </w:r>
      <w:r w:rsidR="00B05280">
        <w:rPr>
          <w:szCs w:val="24"/>
        </w:rPr>
        <w:t>DC ties are not currently dispatchable</w:t>
      </w:r>
      <w:r w:rsidR="0039197A">
        <w:rPr>
          <w:szCs w:val="24"/>
        </w:rPr>
        <w:t xml:space="preserve"> by ERCOT</w:t>
      </w:r>
      <w:r w:rsidR="00B05280">
        <w:rPr>
          <w:szCs w:val="24"/>
        </w:rPr>
        <w:t xml:space="preserve"> via the security constrained economic dispatch (SCED</w:t>
      </w:r>
      <w:r w:rsidR="003B3B0E">
        <w:rPr>
          <w:szCs w:val="24"/>
        </w:rPr>
        <w:t>)</w:t>
      </w:r>
      <w:r w:rsidR="00083468">
        <w:rPr>
          <w:szCs w:val="24"/>
        </w:rPr>
        <w:t xml:space="preserve">. </w:t>
      </w:r>
      <w:r w:rsidR="002B0FD3">
        <w:rPr>
          <w:szCs w:val="24"/>
        </w:rPr>
        <w:t>Instead</w:t>
      </w:r>
      <w:r w:rsidR="00B05280">
        <w:rPr>
          <w:szCs w:val="24"/>
        </w:rPr>
        <w:t xml:space="preserve">, </w:t>
      </w:r>
      <w:r w:rsidR="004E0A65">
        <w:rPr>
          <w:szCs w:val="24"/>
        </w:rPr>
        <w:t xml:space="preserve">both </w:t>
      </w:r>
      <w:r w:rsidR="00B05280">
        <w:rPr>
          <w:szCs w:val="24"/>
        </w:rPr>
        <w:t>e</w:t>
      </w:r>
      <w:r w:rsidR="00BE3D6A">
        <w:rPr>
          <w:szCs w:val="24"/>
        </w:rPr>
        <w:t>xports and import</w:t>
      </w:r>
      <w:r w:rsidR="003263D7">
        <w:rPr>
          <w:szCs w:val="24"/>
        </w:rPr>
        <w:t>s</w:t>
      </w:r>
      <w:r w:rsidR="00BE3D6A" w:rsidRPr="003C3FC9">
        <w:rPr>
          <w:szCs w:val="24"/>
        </w:rPr>
        <w:t xml:space="preserve"> are</w:t>
      </w:r>
      <w:r w:rsidR="0001654D">
        <w:rPr>
          <w:szCs w:val="24"/>
        </w:rPr>
        <w:t xml:space="preserve"> scheduled transactions</w:t>
      </w:r>
      <w:r w:rsidR="00EE202B">
        <w:rPr>
          <w:szCs w:val="24"/>
        </w:rPr>
        <w:t xml:space="preserve"> by private parties</w:t>
      </w:r>
      <w:r w:rsidR="0001654D">
        <w:rPr>
          <w:szCs w:val="24"/>
        </w:rPr>
        <w:t xml:space="preserve"> based on</w:t>
      </w:r>
      <w:r w:rsidR="00BE3D6A" w:rsidRPr="003C3FC9">
        <w:rPr>
          <w:szCs w:val="24"/>
        </w:rPr>
        <w:t xml:space="preserve"> economic </w:t>
      </w:r>
      <w:r w:rsidR="00EB23DE">
        <w:rPr>
          <w:szCs w:val="24"/>
        </w:rPr>
        <w:t>decisions made by th</w:t>
      </w:r>
      <w:r w:rsidR="00EE202B">
        <w:rPr>
          <w:szCs w:val="24"/>
        </w:rPr>
        <w:t>ose</w:t>
      </w:r>
      <w:r w:rsidR="00EB23DE">
        <w:rPr>
          <w:szCs w:val="24"/>
        </w:rPr>
        <w:t xml:space="preserve"> </w:t>
      </w:r>
      <w:r w:rsidR="0001654D">
        <w:rPr>
          <w:szCs w:val="24"/>
        </w:rPr>
        <w:t xml:space="preserve">scheduling </w:t>
      </w:r>
      <w:r w:rsidR="00EE202B">
        <w:rPr>
          <w:szCs w:val="24"/>
        </w:rPr>
        <w:t>entities</w:t>
      </w:r>
      <w:r w:rsidR="00C4234A">
        <w:rPr>
          <w:szCs w:val="24"/>
        </w:rPr>
        <w:t xml:space="preserve"> outside of </w:t>
      </w:r>
      <w:r w:rsidR="00060ADE">
        <w:rPr>
          <w:szCs w:val="24"/>
        </w:rPr>
        <w:t xml:space="preserve">the ERCOT </w:t>
      </w:r>
      <w:r w:rsidR="00C4234A">
        <w:rPr>
          <w:szCs w:val="24"/>
        </w:rPr>
        <w:t xml:space="preserve">real-time </w:t>
      </w:r>
      <w:r w:rsidR="00060ADE">
        <w:rPr>
          <w:szCs w:val="24"/>
        </w:rPr>
        <w:t>market</w:t>
      </w:r>
      <w:r w:rsidR="00BE3D6A" w:rsidRPr="003C3FC9">
        <w:rPr>
          <w:szCs w:val="24"/>
        </w:rPr>
        <w:t xml:space="preserve">. Because </w:t>
      </w:r>
      <w:r w:rsidR="00A47340">
        <w:rPr>
          <w:szCs w:val="24"/>
        </w:rPr>
        <w:t>exports and imports</w:t>
      </w:r>
      <w:r w:rsidR="00BE3D6A" w:rsidRPr="003C3FC9">
        <w:rPr>
          <w:szCs w:val="24"/>
        </w:rPr>
        <w:t xml:space="preserve"> are economic transactions, </w:t>
      </w:r>
      <w:r w:rsidR="00BE3D6A">
        <w:rPr>
          <w:szCs w:val="24"/>
        </w:rPr>
        <w:t xml:space="preserve">the relative </w:t>
      </w:r>
      <w:r w:rsidR="00BE3D6A" w:rsidRPr="003C3FC9">
        <w:rPr>
          <w:szCs w:val="24"/>
        </w:rPr>
        <w:t xml:space="preserve">economics </w:t>
      </w:r>
      <w:r w:rsidR="00BE3D6A">
        <w:rPr>
          <w:szCs w:val="24"/>
        </w:rPr>
        <w:t>between two different grids with different market rules</w:t>
      </w:r>
      <w:r w:rsidR="003E6680">
        <w:rPr>
          <w:szCs w:val="24"/>
        </w:rPr>
        <w:t xml:space="preserve">, rather than the </w:t>
      </w:r>
      <w:r w:rsidR="002B0FD3">
        <w:rPr>
          <w:szCs w:val="24"/>
        </w:rPr>
        <w:t xml:space="preserve">available </w:t>
      </w:r>
      <w:r w:rsidR="003E6680">
        <w:rPr>
          <w:szCs w:val="24"/>
        </w:rPr>
        <w:t>transmission infrastructure,</w:t>
      </w:r>
      <w:r w:rsidR="00BE3D6A">
        <w:rPr>
          <w:szCs w:val="24"/>
        </w:rPr>
        <w:t xml:space="preserve"> </w:t>
      </w:r>
      <w:r w:rsidR="00BE3D6A" w:rsidRPr="003C3FC9">
        <w:rPr>
          <w:szCs w:val="24"/>
        </w:rPr>
        <w:t xml:space="preserve">will </w:t>
      </w:r>
      <w:r w:rsidR="003E6680">
        <w:rPr>
          <w:szCs w:val="24"/>
        </w:rPr>
        <w:t xml:space="preserve">largely </w:t>
      </w:r>
      <w:r w:rsidR="00BE3D6A" w:rsidRPr="003C3FC9">
        <w:rPr>
          <w:szCs w:val="24"/>
        </w:rPr>
        <w:t xml:space="preserve">dictate the </w:t>
      </w:r>
      <w:r w:rsidR="003263D7">
        <w:rPr>
          <w:szCs w:val="24"/>
        </w:rPr>
        <w:t>percent</w:t>
      </w:r>
      <w:r w:rsidR="00BE3D6A" w:rsidRPr="003C3FC9">
        <w:rPr>
          <w:szCs w:val="24"/>
        </w:rPr>
        <w:t xml:space="preserve"> of deliverability the</w:t>
      </w:r>
      <w:r w:rsidR="0014703E">
        <w:rPr>
          <w:szCs w:val="24"/>
        </w:rPr>
        <w:t xml:space="preserve"> DC ties</w:t>
      </w:r>
      <w:r w:rsidR="00BE3D6A" w:rsidRPr="003C3FC9">
        <w:rPr>
          <w:szCs w:val="24"/>
        </w:rPr>
        <w:t xml:space="preserve"> are </w:t>
      </w:r>
      <w:r w:rsidR="007E55AE">
        <w:rPr>
          <w:szCs w:val="24"/>
        </w:rPr>
        <w:t xml:space="preserve">able </w:t>
      </w:r>
      <w:r w:rsidR="00BE3D6A" w:rsidRPr="003C3FC9">
        <w:rPr>
          <w:szCs w:val="24"/>
        </w:rPr>
        <w:t xml:space="preserve">to </w:t>
      </w:r>
      <w:r w:rsidR="00E400F7">
        <w:rPr>
          <w:szCs w:val="24"/>
        </w:rPr>
        <w:t>import or export</w:t>
      </w:r>
      <w:r w:rsidR="00BE3D6A" w:rsidRPr="003C3FC9">
        <w:rPr>
          <w:szCs w:val="24"/>
        </w:rPr>
        <w:t xml:space="preserve">. </w:t>
      </w:r>
      <w:r w:rsidR="00871B5E">
        <w:rPr>
          <w:szCs w:val="24"/>
        </w:rPr>
        <w:t xml:space="preserve">According to </w:t>
      </w:r>
      <w:r w:rsidR="00580E9F">
        <w:rPr>
          <w:szCs w:val="24"/>
        </w:rPr>
        <w:t xml:space="preserve">ERCOT, “as a general principle, DC ties…allow QSEs to schedule power transfers such that less expensive power from one region </w:t>
      </w:r>
      <w:r w:rsidR="002F4C24">
        <w:rPr>
          <w:szCs w:val="24"/>
        </w:rPr>
        <w:t>can be used to serve load in another region.”</w:t>
      </w:r>
      <w:r w:rsidR="002F4C24">
        <w:rPr>
          <w:rStyle w:val="FootnoteReference"/>
          <w:szCs w:val="24"/>
        </w:rPr>
        <w:footnoteReference w:id="13"/>
      </w:r>
      <w:r w:rsidR="00BE3D6A">
        <w:rPr>
          <w:szCs w:val="24"/>
        </w:rPr>
        <w:t xml:space="preserve"> </w:t>
      </w:r>
    </w:p>
    <w:p w14:paraId="7D2F6357" w14:textId="41644AAF" w:rsidR="00BE3D6A" w:rsidRPr="003C3FC9" w:rsidRDefault="00F30998" w:rsidP="002162A4">
      <w:pPr>
        <w:spacing w:line="480" w:lineRule="auto"/>
        <w:ind w:firstLine="360"/>
        <w:rPr>
          <w:szCs w:val="24"/>
        </w:rPr>
      </w:pPr>
      <w:r>
        <w:rPr>
          <w:szCs w:val="24"/>
        </w:rPr>
        <w:lastRenderedPageBreak/>
        <w:t>Second, t</w:t>
      </w:r>
      <w:r w:rsidR="00BE3D6A">
        <w:rPr>
          <w:szCs w:val="24"/>
        </w:rPr>
        <w:t>his question implies</w:t>
      </w:r>
      <w:r w:rsidR="008E3EC4">
        <w:rPr>
          <w:szCs w:val="24"/>
        </w:rPr>
        <w:t xml:space="preserve"> there</w:t>
      </w:r>
      <w:r w:rsidR="00BE3D6A">
        <w:rPr>
          <w:szCs w:val="24"/>
        </w:rPr>
        <w:t xml:space="preserve"> a</w:t>
      </w:r>
      <w:r w:rsidR="008E3EC4">
        <w:rPr>
          <w:szCs w:val="24"/>
        </w:rPr>
        <w:t>re</w:t>
      </w:r>
      <w:r w:rsidR="00BE3D6A">
        <w:rPr>
          <w:szCs w:val="24"/>
        </w:rPr>
        <w:t xml:space="preserve"> reliability criteria </w:t>
      </w:r>
      <w:r w:rsidR="003B3BA3">
        <w:rPr>
          <w:szCs w:val="24"/>
        </w:rPr>
        <w:t xml:space="preserve">for </w:t>
      </w:r>
      <w:r w:rsidR="00C7411E">
        <w:rPr>
          <w:szCs w:val="24"/>
        </w:rPr>
        <w:t>DC tie deliverability</w:t>
      </w:r>
      <w:r w:rsidR="003B3BA3">
        <w:rPr>
          <w:szCs w:val="24"/>
        </w:rPr>
        <w:t>,</w:t>
      </w:r>
      <w:r w:rsidR="00BE3D6A">
        <w:rPr>
          <w:szCs w:val="24"/>
        </w:rPr>
        <w:t xml:space="preserve"> </w:t>
      </w:r>
      <w:r w:rsidR="00ED0C3A">
        <w:rPr>
          <w:szCs w:val="24"/>
        </w:rPr>
        <w:t xml:space="preserve">but </w:t>
      </w:r>
      <w:r w:rsidR="00BE3D6A">
        <w:rPr>
          <w:szCs w:val="24"/>
        </w:rPr>
        <w:t xml:space="preserve">there </w:t>
      </w:r>
      <w:r w:rsidR="002A57B4">
        <w:rPr>
          <w:szCs w:val="24"/>
        </w:rPr>
        <w:t>are</w:t>
      </w:r>
      <w:r w:rsidR="00C7411E">
        <w:rPr>
          <w:szCs w:val="24"/>
        </w:rPr>
        <w:t xml:space="preserve"> not</w:t>
      </w:r>
      <w:r w:rsidR="0073247B">
        <w:rPr>
          <w:szCs w:val="24"/>
        </w:rPr>
        <w:t xml:space="preserve"> today</w:t>
      </w:r>
      <w:r w:rsidR="00C7411E">
        <w:rPr>
          <w:szCs w:val="24"/>
        </w:rPr>
        <w:t xml:space="preserve">. That is </w:t>
      </w:r>
      <w:r w:rsidR="00415376">
        <w:rPr>
          <w:szCs w:val="24"/>
        </w:rPr>
        <w:t xml:space="preserve">one </w:t>
      </w:r>
      <w:r w:rsidR="00C7411E">
        <w:rPr>
          <w:szCs w:val="24"/>
        </w:rPr>
        <w:t>reason</w:t>
      </w:r>
      <w:r w:rsidR="00BE3D6A">
        <w:rPr>
          <w:szCs w:val="24"/>
        </w:rPr>
        <w:t xml:space="preserve"> ERCOT can assume full curtailment </w:t>
      </w:r>
      <w:r w:rsidR="00415376">
        <w:rPr>
          <w:szCs w:val="24"/>
        </w:rPr>
        <w:t xml:space="preserve">of DC ties </w:t>
      </w:r>
      <w:r w:rsidR="00BE3D6A">
        <w:rPr>
          <w:szCs w:val="24"/>
        </w:rPr>
        <w:t xml:space="preserve">in their modeling. </w:t>
      </w:r>
      <w:r w:rsidR="00BD2C7E">
        <w:rPr>
          <w:szCs w:val="24"/>
        </w:rPr>
        <w:t xml:space="preserve">In fact, </w:t>
      </w:r>
      <w:r w:rsidR="00E378BD">
        <w:rPr>
          <w:szCs w:val="24"/>
        </w:rPr>
        <w:t xml:space="preserve">in its </w:t>
      </w:r>
      <w:r w:rsidR="00BD2C7E">
        <w:rPr>
          <w:szCs w:val="24"/>
        </w:rPr>
        <w:t xml:space="preserve">comments in Project </w:t>
      </w:r>
      <w:r w:rsidR="004E3E69">
        <w:rPr>
          <w:szCs w:val="24"/>
        </w:rPr>
        <w:t xml:space="preserve">No. </w:t>
      </w:r>
      <w:r w:rsidR="0033338F">
        <w:rPr>
          <w:szCs w:val="24"/>
        </w:rPr>
        <w:t>54163</w:t>
      </w:r>
      <w:r w:rsidR="001C4DB4">
        <w:rPr>
          <w:szCs w:val="24"/>
        </w:rPr>
        <w:t>, ERCOT</w:t>
      </w:r>
      <w:r w:rsidR="00122CA7">
        <w:rPr>
          <w:szCs w:val="24"/>
        </w:rPr>
        <w:t xml:space="preserve"> </w:t>
      </w:r>
      <w:r w:rsidR="00E378BD">
        <w:rPr>
          <w:szCs w:val="24"/>
        </w:rPr>
        <w:t>detailed</w:t>
      </w:r>
      <w:r w:rsidR="00122CA7">
        <w:rPr>
          <w:szCs w:val="24"/>
        </w:rPr>
        <w:t xml:space="preserve"> </w:t>
      </w:r>
      <w:r w:rsidR="003A5BB5">
        <w:rPr>
          <w:szCs w:val="24"/>
        </w:rPr>
        <w:t>how the existing</w:t>
      </w:r>
      <w:r w:rsidR="009508FA">
        <w:rPr>
          <w:szCs w:val="24"/>
        </w:rPr>
        <w:t>, currently energized</w:t>
      </w:r>
      <w:r w:rsidR="003A5BB5">
        <w:rPr>
          <w:szCs w:val="24"/>
        </w:rPr>
        <w:t xml:space="preserve"> DC ties </w:t>
      </w:r>
      <w:r w:rsidR="000B4B25">
        <w:rPr>
          <w:szCs w:val="24"/>
        </w:rPr>
        <w:t xml:space="preserve">provided limited or no </w:t>
      </w:r>
      <w:r w:rsidR="00A9374D">
        <w:rPr>
          <w:szCs w:val="24"/>
        </w:rPr>
        <w:t>energy to ERCOT during Winter Storm Uri</w:t>
      </w:r>
      <w:r w:rsidR="00EF07DF">
        <w:rPr>
          <w:szCs w:val="24"/>
        </w:rPr>
        <w:t>,</w:t>
      </w:r>
      <w:r w:rsidR="005E73E9">
        <w:rPr>
          <w:szCs w:val="24"/>
        </w:rPr>
        <w:t xml:space="preserve"> because the storm </w:t>
      </w:r>
      <w:r w:rsidR="00210450">
        <w:rPr>
          <w:szCs w:val="24"/>
        </w:rPr>
        <w:t>impacted</w:t>
      </w:r>
      <w:r w:rsidR="001A3DF9">
        <w:rPr>
          <w:szCs w:val="24"/>
        </w:rPr>
        <w:t xml:space="preserve"> the Southwest Power Pool</w:t>
      </w:r>
      <w:r w:rsidR="00210450">
        <w:rPr>
          <w:szCs w:val="24"/>
        </w:rPr>
        <w:t xml:space="preserve"> </w:t>
      </w:r>
      <w:r w:rsidR="001A3DF9">
        <w:rPr>
          <w:szCs w:val="24"/>
        </w:rPr>
        <w:t>(</w:t>
      </w:r>
      <w:r w:rsidR="00210450">
        <w:rPr>
          <w:szCs w:val="24"/>
        </w:rPr>
        <w:t>SPP</w:t>
      </w:r>
      <w:r w:rsidR="001A3DF9">
        <w:rPr>
          <w:szCs w:val="24"/>
        </w:rPr>
        <w:t>)</w:t>
      </w:r>
      <w:r w:rsidR="00210450">
        <w:rPr>
          <w:szCs w:val="24"/>
        </w:rPr>
        <w:t xml:space="preserve"> as well as norther</w:t>
      </w:r>
      <w:r w:rsidR="00291AD3">
        <w:rPr>
          <w:szCs w:val="24"/>
        </w:rPr>
        <w:t>n</w:t>
      </w:r>
      <w:r w:rsidR="00210450">
        <w:rPr>
          <w:szCs w:val="24"/>
        </w:rPr>
        <w:t xml:space="preserve"> Mexico</w:t>
      </w:r>
      <w:r w:rsidR="00291AD3">
        <w:rPr>
          <w:szCs w:val="24"/>
        </w:rPr>
        <w:t xml:space="preserve"> </w:t>
      </w:r>
      <w:r w:rsidR="005C71A8">
        <w:rPr>
          <w:szCs w:val="24"/>
        </w:rPr>
        <w:t xml:space="preserve">and </w:t>
      </w:r>
      <w:r w:rsidR="001C4DB4">
        <w:rPr>
          <w:szCs w:val="24"/>
        </w:rPr>
        <w:t>further explain</w:t>
      </w:r>
      <w:r w:rsidR="009508FA">
        <w:rPr>
          <w:szCs w:val="24"/>
        </w:rPr>
        <w:t>ed</w:t>
      </w:r>
      <w:r w:rsidR="005C71A8">
        <w:rPr>
          <w:szCs w:val="24"/>
        </w:rPr>
        <w:t xml:space="preserve"> that “historical data suggests that scarcity </w:t>
      </w:r>
      <w:r w:rsidR="003263D7">
        <w:rPr>
          <w:szCs w:val="24"/>
        </w:rPr>
        <w:t>does not necessarily result in imports over the ties.”</w:t>
      </w:r>
      <w:r w:rsidR="003263D7">
        <w:rPr>
          <w:rStyle w:val="FootnoteReference"/>
          <w:szCs w:val="24"/>
        </w:rPr>
        <w:footnoteReference w:id="14"/>
      </w:r>
      <w:r w:rsidR="003263D7">
        <w:rPr>
          <w:szCs w:val="24"/>
        </w:rPr>
        <w:t xml:space="preserve"> </w:t>
      </w:r>
      <w:r w:rsidR="00C0798A">
        <w:rPr>
          <w:szCs w:val="24"/>
        </w:rPr>
        <w:t xml:space="preserve">Therefore, the Commission should </w:t>
      </w:r>
      <w:r w:rsidR="00D26458">
        <w:rPr>
          <w:szCs w:val="24"/>
        </w:rPr>
        <w:t xml:space="preserve">not assume </w:t>
      </w:r>
      <w:r w:rsidR="00757D68">
        <w:rPr>
          <w:szCs w:val="24"/>
        </w:rPr>
        <w:t>there w</w:t>
      </w:r>
      <w:r w:rsidR="00F255CC">
        <w:rPr>
          <w:szCs w:val="24"/>
        </w:rPr>
        <w:t xml:space="preserve">ould </w:t>
      </w:r>
      <w:r w:rsidR="00757D68">
        <w:rPr>
          <w:szCs w:val="24"/>
        </w:rPr>
        <w:t xml:space="preserve">be actual </w:t>
      </w:r>
      <w:r w:rsidR="00D26458">
        <w:rPr>
          <w:szCs w:val="24"/>
        </w:rPr>
        <w:t>deliverability</w:t>
      </w:r>
      <w:r w:rsidR="00F255CC">
        <w:rPr>
          <w:szCs w:val="24"/>
        </w:rPr>
        <w:t xml:space="preserve"> over DC ties into ERCOT</w:t>
      </w:r>
      <w:r w:rsidR="00D26458">
        <w:rPr>
          <w:szCs w:val="24"/>
        </w:rPr>
        <w:t>, particularly during reliability events</w:t>
      </w:r>
      <w:r w:rsidR="00757D68">
        <w:rPr>
          <w:szCs w:val="24"/>
        </w:rPr>
        <w:t>, even if the Commission were to</w:t>
      </w:r>
      <w:r w:rsidR="00AD32A4">
        <w:rPr>
          <w:szCs w:val="24"/>
        </w:rPr>
        <w:t xml:space="preserve"> direct ERCOT to</w:t>
      </w:r>
      <w:r w:rsidR="00757D68">
        <w:rPr>
          <w:szCs w:val="24"/>
        </w:rPr>
        <w:t xml:space="preserve"> adopt some minimum deliverability criteria for</w:t>
      </w:r>
      <w:r w:rsidR="00AD32A4">
        <w:rPr>
          <w:szCs w:val="24"/>
        </w:rPr>
        <w:t xml:space="preserve"> </w:t>
      </w:r>
      <w:r w:rsidR="007F2D2C">
        <w:rPr>
          <w:szCs w:val="24"/>
        </w:rPr>
        <w:t xml:space="preserve">imports over </w:t>
      </w:r>
      <w:r w:rsidR="00757D68">
        <w:rPr>
          <w:szCs w:val="24"/>
        </w:rPr>
        <w:t>DC ties</w:t>
      </w:r>
      <w:r w:rsidR="00AD32A4">
        <w:rPr>
          <w:szCs w:val="24"/>
        </w:rPr>
        <w:t xml:space="preserve"> for</w:t>
      </w:r>
      <w:r w:rsidR="00167BC5">
        <w:rPr>
          <w:szCs w:val="24"/>
        </w:rPr>
        <w:t xml:space="preserve"> transmission</w:t>
      </w:r>
      <w:r w:rsidR="00AD32A4">
        <w:rPr>
          <w:szCs w:val="24"/>
        </w:rPr>
        <w:t xml:space="preserve"> planning purposes</w:t>
      </w:r>
      <w:r w:rsidR="00D26458">
        <w:rPr>
          <w:szCs w:val="24"/>
        </w:rPr>
        <w:t>.</w:t>
      </w:r>
      <w:r w:rsidR="00C0798A">
        <w:rPr>
          <w:szCs w:val="24"/>
        </w:rPr>
        <w:t xml:space="preserve"> </w:t>
      </w:r>
    </w:p>
    <w:p w14:paraId="3DD2651D" w14:textId="5B63CE47" w:rsidR="006A1C55" w:rsidRPr="00BE3D6A" w:rsidRDefault="004733CF" w:rsidP="002162A4">
      <w:pPr>
        <w:spacing w:line="480" w:lineRule="auto"/>
        <w:ind w:firstLine="360"/>
        <w:rPr>
          <w:szCs w:val="24"/>
        </w:rPr>
      </w:pPr>
      <w:r>
        <w:rPr>
          <w:szCs w:val="24"/>
        </w:rPr>
        <w:t>Third, at a minimum, in developing any minimum deliverability criteria for planning purposes, the</w:t>
      </w:r>
      <w:r w:rsidR="00865F8C">
        <w:rPr>
          <w:szCs w:val="24"/>
        </w:rPr>
        <w:t xml:space="preserve"> DC</w:t>
      </w:r>
      <w:r>
        <w:rPr>
          <w:szCs w:val="24"/>
        </w:rPr>
        <w:t xml:space="preserve"> ties would need an appropriate level of accreditation based on an analysis of what the firm capacity is behind the tie. Since it would be </w:t>
      </w:r>
      <w:r w:rsidR="00E13FEA">
        <w:rPr>
          <w:szCs w:val="24"/>
        </w:rPr>
        <w:t xml:space="preserve">difficult </w:t>
      </w:r>
      <w:r>
        <w:rPr>
          <w:szCs w:val="24"/>
        </w:rPr>
        <w:t xml:space="preserve">to assume either a 0% or 100% deliverability, it would be critical </w:t>
      </w:r>
      <w:r w:rsidR="00CB3AE8">
        <w:rPr>
          <w:szCs w:val="24"/>
        </w:rPr>
        <w:t xml:space="preserve">for the </w:t>
      </w:r>
      <w:r w:rsidR="00A67260">
        <w:rPr>
          <w:szCs w:val="24"/>
        </w:rPr>
        <w:t xml:space="preserve">necessary </w:t>
      </w:r>
      <w:r>
        <w:rPr>
          <w:szCs w:val="24"/>
        </w:rPr>
        <w:t xml:space="preserve">data </w:t>
      </w:r>
      <w:r w:rsidR="00A67260">
        <w:rPr>
          <w:szCs w:val="24"/>
        </w:rPr>
        <w:t xml:space="preserve">to </w:t>
      </w:r>
      <w:r>
        <w:rPr>
          <w:szCs w:val="24"/>
        </w:rPr>
        <w:t xml:space="preserve">drive </w:t>
      </w:r>
      <w:r w:rsidR="00A67260">
        <w:rPr>
          <w:szCs w:val="24"/>
        </w:rPr>
        <w:t>that input</w:t>
      </w:r>
      <w:r>
        <w:rPr>
          <w:szCs w:val="24"/>
        </w:rPr>
        <w:t>. However, the available data indicates that this would be a difficult process at best. As noted, deliverability during Winter Storm Uri was extremely variable, based upon the needs of the adjacent grids also experiencing the storm. Similarly, as indicated in a joint report by the Federal Energy Regulatory Commission (FERC) and the North American Electric Reliability Corporation (NERC), during Winter Storm Elliott, SPP had significant generation outages of its own beginning in the afternoon on December 22, 2022 and continuing throughout the event.</w:t>
      </w:r>
      <w:r>
        <w:rPr>
          <w:rStyle w:val="FootnoteReference"/>
          <w:szCs w:val="24"/>
        </w:rPr>
        <w:footnoteReference w:id="15"/>
      </w:r>
      <w:r>
        <w:rPr>
          <w:szCs w:val="24"/>
        </w:rPr>
        <w:t xml:space="preserve"> The report continues and highlights that multiple grids were experiencing significant outages at the same time demand on their systems was increasing </w:t>
      </w:r>
      <w:r>
        <w:rPr>
          <w:szCs w:val="24"/>
        </w:rPr>
        <w:lastRenderedPageBreak/>
        <w:t>during Elliott, with all experiencing their peak demands at the same time and all implementing conservative operations and energy emergency measures, and ultimately several, including SPP, shedding load.</w:t>
      </w:r>
      <w:r>
        <w:rPr>
          <w:rStyle w:val="FootnoteReference"/>
          <w:szCs w:val="24"/>
        </w:rPr>
        <w:footnoteReference w:id="16"/>
      </w:r>
      <w:r>
        <w:rPr>
          <w:szCs w:val="24"/>
        </w:rPr>
        <w:t xml:space="preserve"> These recent storms, which also affected ERCOT, are clear examples of the difficulty of predicting what amount of energy (if any) that neighboring grids could be expected to send to ERCOT over DC ties during reliability events. Thus, adopting a “middle ground” deliverability approach</w:t>
      </w:r>
      <w:r w:rsidR="00A64D7C">
        <w:rPr>
          <w:szCs w:val="24"/>
        </w:rPr>
        <w:t xml:space="preserve"> </w:t>
      </w:r>
      <w:r>
        <w:rPr>
          <w:szCs w:val="24"/>
        </w:rPr>
        <w:t>would be a complex exercise.</w:t>
      </w:r>
    </w:p>
    <w:p w14:paraId="06EE6A2C" w14:textId="51151DEB" w:rsidR="00930DE0" w:rsidRPr="00D26458" w:rsidRDefault="00930DE0" w:rsidP="00D26458">
      <w:pPr>
        <w:pStyle w:val="ListParagraph"/>
        <w:numPr>
          <w:ilvl w:val="0"/>
          <w:numId w:val="33"/>
        </w:numPr>
        <w:spacing w:after="160" w:line="256" w:lineRule="auto"/>
        <w:rPr>
          <w:b/>
          <w:bCs/>
          <w:szCs w:val="24"/>
        </w:rPr>
      </w:pPr>
      <w:r w:rsidRPr="00D26458">
        <w:rPr>
          <w:b/>
          <w:bCs/>
          <w:szCs w:val="24"/>
        </w:rPr>
        <w:t>If so, what process should be employed? Please describe the mechanics of this process.</w:t>
      </w:r>
    </w:p>
    <w:p w14:paraId="3F80F300" w14:textId="1548F603" w:rsidR="00D26458" w:rsidRPr="00D26458" w:rsidRDefault="00D26458" w:rsidP="002162A4">
      <w:pPr>
        <w:spacing w:line="480" w:lineRule="auto"/>
        <w:ind w:firstLine="360"/>
        <w:rPr>
          <w:szCs w:val="24"/>
        </w:rPr>
      </w:pPr>
      <w:r w:rsidRPr="002162A4">
        <w:rPr>
          <w:szCs w:val="24"/>
          <w:u w:val="single"/>
        </w:rPr>
        <w:t>TCPA Response</w:t>
      </w:r>
      <w:r>
        <w:rPr>
          <w:szCs w:val="24"/>
        </w:rPr>
        <w:t xml:space="preserve">: </w:t>
      </w:r>
      <w:r w:rsidR="00167BC5">
        <w:rPr>
          <w:szCs w:val="24"/>
        </w:rPr>
        <w:t>Please see TCPA</w:t>
      </w:r>
      <w:r>
        <w:rPr>
          <w:szCs w:val="24"/>
        </w:rPr>
        <w:t xml:space="preserve"> response to </w:t>
      </w:r>
      <w:r w:rsidR="00167BC5">
        <w:rPr>
          <w:szCs w:val="24"/>
        </w:rPr>
        <w:t xml:space="preserve">Question </w:t>
      </w:r>
      <w:r>
        <w:rPr>
          <w:szCs w:val="24"/>
        </w:rPr>
        <w:t>2</w:t>
      </w:r>
      <w:r w:rsidR="00CC46FA">
        <w:rPr>
          <w:szCs w:val="24"/>
        </w:rPr>
        <w:t xml:space="preserve"> above</w:t>
      </w:r>
      <w:r>
        <w:rPr>
          <w:szCs w:val="24"/>
        </w:rPr>
        <w:t>.</w:t>
      </w:r>
    </w:p>
    <w:p w14:paraId="036BD93A" w14:textId="23854830" w:rsidR="00930DE0" w:rsidRPr="00D26458" w:rsidRDefault="00930DE0" w:rsidP="00D26458">
      <w:pPr>
        <w:pStyle w:val="ListParagraph"/>
        <w:numPr>
          <w:ilvl w:val="0"/>
          <w:numId w:val="33"/>
        </w:numPr>
        <w:spacing w:after="160" w:line="256" w:lineRule="auto"/>
        <w:rPr>
          <w:b/>
          <w:bCs/>
          <w:szCs w:val="24"/>
        </w:rPr>
      </w:pPr>
      <w:r w:rsidRPr="00D26458">
        <w:rPr>
          <w:b/>
          <w:bCs/>
          <w:szCs w:val="24"/>
        </w:rPr>
        <w:t>What are some of the potential policy, market, cost, and practical implications to consider with a middle ground solution?</w:t>
      </w:r>
    </w:p>
    <w:p w14:paraId="37F5361C" w14:textId="6522C4A5" w:rsidR="00E80A87" w:rsidRDefault="00D26458" w:rsidP="00167BC5">
      <w:pPr>
        <w:spacing w:line="480" w:lineRule="auto"/>
        <w:ind w:firstLine="360"/>
        <w:rPr>
          <w:szCs w:val="24"/>
        </w:rPr>
      </w:pPr>
      <w:r w:rsidRPr="002162A4">
        <w:rPr>
          <w:szCs w:val="24"/>
          <w:u w:val="single"/>
        </w:rPr>
        <w:t>TCPA Response</w:t>
      </w:r>
      <w:r>
        <w:rPr>
          <w:szCs w:val="24"/>
        </w:rPr>
        <w:t xml:space="preserve">: </w:t>
      </w:r>
      <w:r w:rsidR="00736CDB">
        <w:rPr>
          <w:szCs w:val="24"/>
        </w:rPr>
        <w:t>In-state dispatchable generation should be the Commission’s policy priority over and above DC ties</w:t>
      </w:r>
      <w:r w:rsidR="0032028C">
        <w:rPr>
          <w:szCs w:val="24"/>
        </w:rPr>
        <w:t xml:space="preserve">, consistent with the Commission’s </w:t>
      </w:r>
      <w:r w:rsidR="0034247F">
        <w:rPr>
          <w:szCs w:val="24"/>
        </w:rPr>
        <w:t>precedent in the Southern Cross case and</w:t>
      </w:r>
      <w:r w:rsidR="00A845F0">
        <w:rPr>
          <w:szCs w:val="24"/>
        </w:rPr>
        <w:t xml:space="preserve"> as that directive was made very clear by the Legislature in the 2023 Regular Session</w:t>
      </w:r>
      <w:r w:rsidR="00736CDB">
        <w:rPr>
          <w:szCs w:val="24"/>
        </w:rPr>
        <w:t>.</w:t>
      </w:r>
      <w:r w:rsidR="00A845F0">
        <w:rPr>
          <w:rStyle w:val="FootnoteReference"/>
          <w:szCs w:val="24"/>
        </w:rPr>
        <w:footnoteReference w:id="17"/>
      </w:r>
      <w:r w:rsidR="00736CDB">
        <w:rPr>
          <w:szCs w:val="24"/>
        </w:rPr>
        <w:t xml:space="preserve"> </w:t>
      </w:r>
      <w:r w:rsidR="00A30736">
        <w:rPr>
          <w:szCs w:val="24"/>
        </w:rPr>
        <w:t xml:space="preserve">While </w:t>
      </w:r>
      <w:r w:rsidR="00736189">
        <w:rPr>
          <w:szCs w:val="24"/>
        </w:rPr>
        <w:t xml:space="preserve">the </w:t>
      </w:r>
      <w:r w:rsidR="00736CDB">
        <w:rPr>
          <w:szCs w:val="24"/>
        </w:rPr>
        <w:t>Commission</w:t>
      </w:r>
      <w:r w:rsidR="00736189">
        <w:rPr>
          <w:szCs w:val="24"/>
        </w:rPr>
        <w:t xml:space="preserve"> and Texas leadership are</w:t>
      </w:r>
      <w:r w:rsidR="00736CDB">
        <w:rPr>
          <w:szCs w:val="24"/>
        </w:rPr>
        <w:t xml:space="preserve"> trying to entice</w:t>
      </w:r>
      <w:r w:rsidR="00736189">
        <w:rPr>
          <w:szCs w:val="24"/>
        </w:rPr>
        <w:t xml:space="preserve"> new dispatchable</w:t>
      </w:r>
      <w:r w:rsidR="00736CDB">
        <w:rPr>
          <w:szCs w:val="24"/>
        </w:rPr>
        <w:t xml:space="preserve"> generation investment in ERCOT</w:t>
      </w:r>
      <w:r w:rsidR="00736189">
        <w:rPr>
          <w:szCs w:val="24"/>
        </w:rPr>
        <w:t>,</w:t>
      </w:r>
      <w:r w:rsidR="00736CDB">
        <w:rPr>
          <w:szCs w:val="24"/>
        </w:rPr>
        <w:t xml:space="preserve"> the premise of planning around deliverability from other grids could send </w:t>
      </w:r>
      <w:r w:rsidR="00736189">
        <w:rPr>
          <w:szCs w:val="24"/>
        </w:rPr>
        <w:t>a counter message that</w:t>
      </w:r>
      <w:r w:rsidR="00736CDB">
        <w:rPr>
          <w:szCs w:val="24"/>
        </w:rPr>
        <w:t xml:space="preserve"> the focus is not on in-ERCOT investment</w:t>
      </w:r>
      <w:r w:rsidR="009472B0">
        <w:rPr>
          <w:szCs w:val="24"/>
        </w:rPr>
        <w:t>,</w:t>
      </w:r>
      <w:r w:rsidR="00736CDB">
        <w:rPr>
          <w:szCs w:val="24"/>
        </w:rPr>
        <w:t xml:space="preserve"> </w:t>
      </w:r>
      <w:r w:rsidR="00736189">
        <w:rPr>
          <w:szCs w:val="24"/>
        </w:rPr>
        <w:t>which would</w:t>
      </w:r>
      <w:r w:rsidR="00736CDB">
        <w:rPr>
          <w:szCs w:val="24"/>
        </w:rPr>
        <w:t xml:space="preserve"> provide a disincentive to invest in new generation in ERCOT. </w:t>
      </w:r>
      <w:r w:rsidR="00736189">
        <w:rPr>
          <w:szCs w:val="24"/>
        </w:rPr>
        <w:t>The possibility of</w:t>
      </w:r>
      <w:r w:rsidR="00736CDB">
        <w:rPr>
          <w:szCs w:val="24"/>
        </w:rPr>
        <w:t xml:space="preserve"> excess generation </w:t>
      </w:r>
      <w:proofErr w:type="gramStart"/>
      <w:r w:rsidR="00736CDB">
        <w:rPr>
          <w:szCs w:val="24"/>
        </w:rPr>
        <w:t>in</w:t>
      </w:r>
      <w:proofErr w:type="gramEnd"/>
      <w:r w:rsidR="00736CDB">
        <w:rPr>
          <w:szCs w:val="24"/>
        </w:rPr>
        <w:t xml:space="preserve"> other grids </w:t>
      </w:r>
      <w:r w:rsidR="00736189">
        <w:rPr>
          <w:szCs w:val="24"/>
        </w:rPr>
        <w:t>is not</w:t>
      </w:r>
      <w:r w:rsidR="00736CDB">
        <w:rPr>
          <w:szCs w:val="24"/>
        </w:rPr>
        <w:t xml:space="preserve"> guaranteed </w:t>
      </w:r>
      <w:r w:rsidR="00736189">
        <w:rPr>
          <w:szCs w:val="24"/>
        </w:rPr>
        <w:t xml:space="preserve">for </w:t>
      </w:r>
      <w:r w:rsidR="00736CDB">
        <w:rPr>
          <w:szCs w:val="24"/>
        </w:rPr>
        <w:t>delivery into ERCOT during reliability events</w:t>
      </w:r>
      <w:r w:rsidR="00730E9D">
        <w:rPr>
          <w:szCs w:val="24"/>
        </w:rPr>
        <w:t>,</w:t>
      </w:r>
      <w:r w:rsidR="00736189">
        <w:rPr>
          <w:szCs w:val="24"/>
        </w:rPr>
        <w:t xml:space="preserve"> as discussed in</w:t>
      </w:r>
      <w:r w:rsidR="00BA4EA0">
        <w:rPr>
          <w:szCs w:val="24"/>
        </w:rPr>
        <w:t xml:space="preserve"> response to Question 2 and at more length in</w:t>
      </w:r>
      <w:r w:rsidR="00736189">
        <w:rPr>
          <w:szCs w:val="24"/>
        </w:rPr>
        <w:t xml:space="preserve"> the </w:t>
      </w:r>
      <w:r w:rsidR="00607625">
        <w:rPr>
          <w:szCs w:val="24"/>
        </w:rPr>
        <w:t>ERCOT comments referenced</w:t>
      </w:r>
      <w:r w:rsidR="00736CDB">
        <w:rPr>
          <w:szCs w:val="24"/>
        </w:rPr>
        <w:t xml:space="preserve"> </w:t>
      </w:r>
      <w:r w:rsidR="00607625">
        <w:rPr>
          <w:szCs w:val="24"/>
        </w:rPr>
        <w:t xml:space="preserve">above. </w:t>
      </w:r>
      <w:r w:rsidR="00BA3E59">
        <w:rPr>
          <w:szCs w:val="24"/>
        </w:rPr>
        <w:t xml:space="preserve">ERCOT addressed </w:t>
      </w:r>
      <w:r w:rsidR="005473DA">
        <w:rPr>
          <w:szCs w:val="24"/>
        </w:rPr>
        <w:t>reliability value in those same comments saying, “to provide reliability value during a widespread</w:t>
      </w:r>
      <w:r w:rsidR="00A935E8">
        <w:rPr>
          <w:szCs w:val="24"/>
        </w:rPr>
        <w:t>, multi-state weather event</w:t>
      </w:r>
      <w:r w:rsidR="005473DA">
        <w:rPr>
          <w:szCs w:val="24"/>
        </w:rPr>
        <w:t>,</w:t>
      </w:r>
      <w:r w:rsidR="00A935E8">
        <w:rPr>
          <w:szCs w:val="24"/>
        </w:rPr>
        <w:t xml:space="preserve"> a new DC tie connecting to the ERCOT </w:t>
      </w:r>
      <w:r w:rsidR="00AF1BB9">
        <w:rPr>
          <w:szCs w:val="24"/>
        </w:rPr>
        <w:t xml:space="preserve">region would need to be accompanied </w:t>
      </w:r>
      <w:r w:rsidR="00AF1BB9">
        <w:rPr>
          <w:szCs w:val="24"/>
        </w:rPr>
        <w:lastRenderedPageBreak/>
        <w:t>by transmission additions in other areas of the United States that would allow power transfers from regions that are sufficiently</w:t>
      </w:r>
      <w:r w:rsidR="00250655">
        <w:rPr>
          <w:szCs w:val="24"/>
        </w:rPr>
        <w:t xml:space="preserve"> distant to ensure weather diversity during such an event.”</w:t>
      </w:r>
      <w:r w:rsidR="00250655">
        <w:rPr>
          <w:rStyle w:val="FootnoteReference"/>
          <w:szCs w:val="24"/>
        </w:rPr>
        <w:footnoteReference w:id="18"/>
      </w:r>
      <w:r w:rsidR="005473DA">
        <w:rPr>
          <w:szCs w:val="24"/>
        </w:rPr>
        <w:t xml:space="preserve"> </w:t>
      </w:r>
      <w:r w:rsidR="00B827B8">
        <w:rPr>
          <w:szCs w:val="24"/>
        </w:rPr>
        <w:t xml:space="preserve">Additionally, ERCOT noted </w:t>
      </w:r>
      <w:r w:rsidR="00FA546D">
        <w:rPr>
          <w:szCs w:val="24"/>
        </w:rPr>
        <w:t xml:space="preserve">that imports over new DC ties in real time could be subject to a variety of limits </w:t>
      </w:r>
      <w:r w:rsidR="004906FC">
        <w:rPr>
          <w:szCs w:val="24"/>
        </w:rPr>
        <w:t xml:space="preserve">that would, in turn, limit the ability of those ties to address </w:t>
      </w:r>
      <w:r w:rsidR="00F97222">
        <w:rPr>
          <w:szCs w:val="24"/>
        </w:rPr>
        <w:t xml:space="preserve">resource adequacy </w:t>
      </w:r>
      <w:r w:rsidR="004906FC">
        <w:rPr>
          <w:szCs w:val="24"/>
        </w:rPr>
        <w:t>deficiencies in ERCOT.</w:t>
      </w:r>
      <w:r w:rsidR="004906FC">
        <w:rPr>
          <w:rStyle w:val="FootnoteReference"/>
          <w:szCs w:val="24"/>
        </w:rPr>
        <w:footnoteReference w:id="19"/>
      </w:r>
      <w:r w:rsidR="004906FC">
        <w:rPr>
          <w:szCs w:val="24"/>
        </w:rPr>
        <w:t xml:space="preserve"> </w:t>
      </w:r>
    </w:p>
    <w:p w14:paraId="5F80EE48" w14:textId="01DEDC04" w:rsidR="00736CDB" w:rsidRPr="007B63F5" w:rsidRDefault="00E80A87" w:rsidP="002162A4">
      <w:pPr>
        <w:spacing w:line="480" w:lineRule="auto"/>
        <w:ind w:firstLine="360"/>
        <w:rPr>
          <w:szCs w:val="24"/>
        </w:rPr>
      </w:pPr>
      <w:r>
        <w:rPr>
          <w:szCs w:val="24"/>
        </w:rPr>
        <w:t xml:space="preserve">Further, </w:t>
      </w:r>
      <w:r w:rsidR="00F87A64">
        <w:rPr>
          <w:szCs w:val="24"/>
        </w:rPr>
        <w:t xml:space="preserve">imports over </w:t>
      </w:r>
      <w:r w:rsidR="00736CDB">
        <w:rPr>
          <w:szCs w:val="24"/>
        </w:rPr>
        <w:t xml:space="preserve">DC ties </w:t>
      </w:r>
      <w:r w:rsidR="009D5B79">
        <w:rPr>
          <w:szCs w:val="24"/>
        </w:rPr>
        <w:t xml:space="preserve">would </w:t>
      </w:r>
      <w:r w:rsidR="00D92539">
        <w:rPr>
          <w:szCs w:val="24"/>
        </w:rPr>
        <w:t>negatively impact price formation in ERCOT</w:t>
      </w:r>
      <w:r w:rsidR="003333DF">
        <w:rPr>
          <w:szCs w:val="24"/>
        </w:rPr>
        <w:t>, causing signals</w:t>
      </w:r>
      <w:r w:rsidR="00736CDB">
        <w:rPr>
          <w:szCs w:val="24"/>
        </w:rPr>
        <w:t xml:space="preserve"> deleterious for economic investment into </w:t>
      </w:r>
      <w:r w:rsidR="003333DF">
        <w:rPr>
          <w:szCs w:val="24"/>
        </w:rPr>
        <w:t>in-</w:t>
      </w:r>
      <w:r w:rsidR="00736CDB">
        <w:rPr>
          <w:szCs w:val="24"/>
        </w:rPr>
        <w:t>ERCOT</w:t>
      </w:r>
      <w:r w:rsidR="003333DF">
        <w:rPr>
          <w:szCs w:val="24"/>
        </w:rPr>
        <w:t xml:space="preserve"> resources</w:t>
      </w:r>
      <w:r w:rsidR="009D5B79">
        <w:rPr>
          <w:szCs w:val="24"/>
        </w:rPr>
        <w:t xml:space="preserve"> – and directly harming existing in-ERCOT resources near the DC tie</w:t>
      </w:r>
      <w:r w:rsidR="001C453F">
        <w:rPr>
          <w:szCs w:val="24"/>
        </w:rPr>
        <w:t xml:space="preserve"> due to congestion</w:t>
      </w:r>
      <w:r w:rsidR="00736CDB">
        <w:rPr>
          <w:szCs w:val="24"/>
        </w:rPr>
        <w:t xml:space="preserve">. </w:t>
      </w:r>
      <w:r w:rsidR="008F15EA">
        <w:rPr>
          <w:szCs w:val="24"/>
        </w:rPr>
        <w:t xml:space="preserve">In other words, imports over DC ties are not guaranteed to be incremental to in-ERCOT resources, but rather in many instances would simply replace in-ERCOT resources. </w:t>
      </w:r>
      <w:r w:rsidR="003333DF">
        <w:rPr>
          <w:szCs w:val="24"/>
        </w:rPr>
        <w:t xml:space="preserve">With </w:t>
      </w:r>
      <w:r w:rsidR="00997BB1">
        <w:rPr>
          <w:szCs w:val="24"/>
        </w:rPr>
        <w:t>little assurance that energy will be available for import into ERCOT during reliability events</w:t>
      </w:r>
      <w:r w:rsidR="00E74B5B">
        <w:rPr>
          <w:szCs w:val="24"/>
        </w:rPr>
        <w:t xml:space="preserve"> coupled with the potential to negatively impact investment signals for new dispatchable generation in ERCOT, TCPA recommend</w:t>
      </w:r>
      <w:r w:rsidR="00870091">
        <w:rPr>
          <w:szCs w:val="24"/>
        </w:rPr>
        <w:t>s</w:t>
      </w:r>
      <w:r w:rsidR="00E74B5B">
        <w:rPr>
          <w:szCs w:val="24"/>
        </w:rPr>
        <w:t xml:space="preserve"> </w:t>
      </w:r>
      <w:r w:rsidR="006C4C26">
        <w:rPr>
          <w:szCs w:val="24"/>
        </w:rPr>
        <w:t xml:space="preserve">the Commission evaluate this project from </w:t>
      </w:r>
      <w:r w:rsidR="00730E9D">
        <w:rPr>
          <w:szCs w:val="24"/>
        </w:rPr>
        <w:t xml:space="preserve">a more </w:t>
      </w:r>
      <w:r w:rsidR="00736CDB">
        <w:rPr>
          <w:szCs w:val="24"/>
        </w:rPr>
        <w:t>holistic</w:t>
      </w:r>
      <w:r w:rsidR="006C4C26">
        <w:rPr>
          <w:szCs w:val="24"/>
        </w:rPr>
        <w:t xml:space="preserve"> perspective </w:t>
      </w:r>
      <w:r w:rsidR="00736CDB">
        <w:rPr>
          <w:szCs w:val="24"/>
        </w:rPr>
        <w:t>in terms of overall resource adequacy goals established by the Texas Legislature and the Commission</w:t>
      </w:r>
      <w:r w:rsidR="006C4C26">
        <w:rPr>
          <w:szCs w:val="24"/>
        </w:rPr>
        <w:t>.</w:t>
      </w:r>
      <w:r w:rsidR="00736CDB">
        <w:rPr>
          <w:szCs w:val="24"/>
        </w:rPr>
        <w:t xml:space="preserve"> </w:t>
      </w:r>
    </w:p>
    <w:p w14:paraId="3E42CB7D" w14:textId="70422408" w:rsidR="00D26458" w:rsidRPr="00D26458" w:rsidRDefault="00D26458" w:rsidP="00D26458">
      <w:pPr>
        <w:spacing w:after="160" w:line="256" w:lineRule="auto"/>
        <w:ind w:left="720"/>
        <w:rPr>
          <w:szCs w:val="24"/>
        </w:rPr>
      </w:pPr>
    </w:p>
    <w:p w14:paraId="5B79453C" w14:textId="6EE3CDA9" w:rsidR="00930DE0" w:rsidRPr="0014077B" w:rsidRDefault="00930DE0" w:rsidP="0014077B">
      <w:pPr>
        <w:pStyle w:val="ListParagraph"/>
        <w:numPr>
          <w:ilvl w:val="0"/>
          <w:numId w:val="33"/>
        </w:numPr>
        <w:spacing w:after="160" w:line="256" w:lineRule="auto"/>
        <w:rPr>
          <w:b/>
          <w:bCs/>
          <w:szCs w:val="24"/>
        </w:rPr>
      </w:pPr>
      <w:r w:rsidRPr="0014077B">
        <w:rPr>
          <w:b/>
          <w:bCs/>
          <w:szCs w:val="24"/>
        </w:rPr>
        <w:t>Should this middle ground solution apply to both existing and new DC ties?</w:t>
      </w:r>
    </w:p>
    <w:p w14:paraId="5E2AA8B4" w14:textId="5F72B91E" w:rsidR="007B30E0" w:rsidRDefault="0014077B" w:rsidP="00381BC5">
      <w:pPr>
        <w:spacing w:line="480" w:lineRule="auto"/>
        <w:ind w:firstLine="360"/>
        <w:rPr>
          <w:szCs w:val="24"/>
        </w:rPr>
      </w:pPr>
      <w:r w:rsidRPr="002162A4">
        <w:rPr>
          <w:szCs w:val="24"/>
          <w:u w:val="single"/>
        </w:rPr>
        <w:t>TCPA Response</w:t>
      </w:r>
      <w:r>
        <w:rPr>
          <w:szCs w:val="24"/>
        </w:rPr>
        <w:t xml:space="preserve">: </w:t>
      </w:r>
      <w:r w:rsidR="004E6D8A">
        <w:rPr>
          <w:szCs w:val="24"/>
        </w:rPr>
        <w:t xml:space="preserve">As an initial matter, </w:t>
      </w:r>
      <w:r w:rsidR="00CE23A5">
        <w:rPr>
          <w:szCs w:val="24"/>
        </w:rPr>
        <w:t>any middle ground solution</w:t>
      </w:r>
      <w:r w:rsidR="001E230B">
        <w:rPr>
          <w:szCs w:val="24"/>
        </w:rPr>
        <w:t xml:space="preserve"> (if adopted)</w:t>
      </w:r>
      <w:r w:rsidR="00CE23A5">
        <w:rPr>
          <w:szCs w:val="24"/>
        </w:rPr>
        <w:t xml:space="preserve"> should apply on a prospective basis only</w:t>
      </w:r>
      <w:r w:rsidR="0060195E">
        <w:rPr>
          <w:szCs w:val="24"/>
        </w:rPr>
        <w:t xml:space="preserve">. As noted above, transmission planning issues surrounding the SCT DC tie have already been debated at length and addressed in implementing the directives related to the Commission’s order in the SCT case. </w:t>
      </w:r>
      <w:r w:rsidR="00140DF8">
        <w:rPr>
          <w:szCs w:val="24"/>
        </w:rPr>
        <w:t>There is also no need to revisit whether additional transmission is needed to accommodate the already</w:t>
      </w:r>
      <w:r w:rsidR="00F60D64">
        <w:rPr>
          <w:szCs w:val="24"/>
        </w:rPr>
        <w:t>-</w:t>
      </w:r>
      <w:r w:rsidR="00140DF8">
        <w:rPr>
          <w:szCs w:val="24"/>
        </w:rPr>
        <w:t xml:space="preserve">energized DC ties in North and East </w:t>
      </w:r>
      <w:r w:rsidR="00F60D64">
        <w:rPr>
          <w:szCs w:val="24"/>
        </w:rPr>
        <w:t xml:space="preserve">Texas </w:t>
      </w:r>
      <w:r w:rsidR="00140DF8">
        <w:rPr>
          <w:szCs w:val="24"/>
        </w:rPr>
        <w:t xml:space="preserve">and into Mexico that have been operating for years. </w:t>
      </w:r>
      <w:r w:rsidR="0060195E">
        <w:rPr>
          <w:szCs w:val="24"/>
        </w:rPr>
        <w:t xml:space="preserve"> </w:t>
      </w:r>
      <w:r w:rsidR="001F7E12">
        <w:rPr>
          <w:szCs w:val="24"/>
        </w:rPr>
        <w:t>But more fundamentally,</w:t>
      </w:r>
      <w:r w:rsidR="00A94AF3">
        <w:rPr>
          <w:szCs w:val="24"/>
        </w:rPr>
        <w:t xml:space="preserve"> </w:t>
      </w:r>
      <w:r w:rsidR="005110B0">
        <w:rPr>
          <w:szCs w:val="24"/>
        </w:rPr>
        <w:t xml:space="preserve">for all the reasons </w:t>
      </w:r>
      <w:r w:rsidR="005110B0">
        <w:rPr>
          <w:szCs w:val="24"/>
        </w:rPr>
        <w:lastRenderedPageBreak/>
        <w:t xml:space="preserve">noted above in response to Question 2, </w:t>
      </w:r>
      <w:r w:rsidR="00A94AF3">
        <w:rPr>
          <w:szCs w:val="24"/>
        </w:rPr>
        <w:t>a</w:t>
      </w:r>
      <w:r>
        <w:rPr>
          <w:szCs w:val="24"/>
        </w:rPr>
        <w:t xml:space="preserve"> middle ground process </w:t>
      </w:r>
      <w:r w:rsidR="001F7E12">
        <w:rPr>
          <w:szCs w:val="24"/>
        </w:rPr>
        <w:t>would be</w:t>
      </w:r>
      <w:r>
        <w:rPr>
          <w:szCs w:val="24"/>
        </w:rPr>
        <w:t xml:space="preserve"> difficult to define</w:t>
      </w:r>
      <w:r w:rsidR="001F7E12">
        <w:rPr>
          <w:szCs w:val="24"/>
        </w:rPr>
        <w:t xml:space="preserve"> and implement in the first plac</w:t>
      </w:r>
      <w:r w:rsidR="00040095">
        <w:rPr>
          <w:szCs w:val="24"/>
        </w:rPr>
        <w:t>e</w:t>
      </w:r>
      <w:r>
        <w:rPr>
          <w:szCs w:val="24"/>
        </w:rPr>
        <w:t xml:space="preserve">. </w:t>
      </w:r>
    </w:p>
    <w:p w14:paraId="5661ED5B" w14:textId="4B19846B" w:rsidR="00930DE0" w:rsidRPr="002B01F3" w:rsidRDefault="00930DE0" w:rsidP="002B01F3">
      <w:pPr>
        <w:pStyle w:val="ListParagraph"/>
        <w:numPr>
          <w:ilvl w:val="0"/>
          <w:numId w:val="33"/>
        </w:numPr>
        <w:spacing w:after="160" w:line="256" w:lineRule="auto"/>
        <w:rPr>
          <w:b/>
          <w:bCs/>
          <w:szCs w:val="24"/>
        </w:rPr>
      </w:pPr>
      <w:r w:rsidRPr="002B01F3">
        <w:rPr>
          <w:b/>
          <w:bCs/>
          <w:szCs w:val="24"/>
        </w:rPr>
        <w:t xml:space="preserve">How and by whom (e.g., ERCOT Planning, Commission, bilateral capacity contracts) would the appropriate amount of transmission capacity required be determined? </w:t>
      </w:r>
    </w:p>
    <w:p w14:paraId="44E3CAB6" w14:textId="7CBB683E" w:rsidR="002B01F3" w:rsidRPr="002B01F3" w:rsidRDefault="002B01F3" w:rsidP="002162A4">
      <w:pPr>
        <w:spacing w:line="480" w:lineRule="auto"/>
        <w:ind w:firstLine="360"/>
      </w:pPr>
      <w:r w:rsidRPr="002162A4">
        <w:rPr>
          <w:u w:val="single"/>
        </w:rPr>
        <w:t>TCPA Response</w:t>
      </w:r>
      <w:r>
        <w:t xml:space="preserve">: </w:t>
      </w:r>
      <w:r w:rsidRPr="002B01F3">
        <w:rPr>
          <w:rStyle w:val="cf01"/>
          <w:rFonts w:ascii="Times New Roman" w:hAnsi="Times New Roman" w:cs="Times New Roman"/>
          <w:sz w:val="24"/>
          <w:szCs w:val="24"/>
        </w:rPr>
        <w:t xml:space="preserve">ERCOT Planning Guides are the appropriate place to </w:t>
      </w:r>
      <w:r w:rsidR="000F23B7">
        <w:rPr>
          <w:rStyle w:val="cf01"/>
          <w:rFonts w:ascii="Times New Roman" w:hAnsi="Times New Roman" w:cs="Times New Roman"/>
          <w:sz w:val="24"/>
          <w:szCs w:val="24"/>
        </w:rPr>
        <w:t xml:space="preserve">continue </w:t>
      </w:r>
      <w:r w:rsidRPr="002B01F3">
        <w:rPr>
          <w:rStyle w:val="cf01"/>
          <w:rFonts w:ascii="Times New Roman" w:hAnsi="Times New Roman" w:cs="Times New Roman"/>
          <w:sz w:val="24"/>
          <w:szCs w:val="24"/>
        </w:rPr>
        <w:t>determin</w:t>
      </w:r>
      <w:r w:rsidR="000F23B7">
        <w:rPr>
          <w:rStyle w:val="cf01"/>
          <w:rFonts w:ascii="Times New Roman" w:hAnsi="Times New Roman" w:cs="Times New Roman"/>
          <w:sz w:val="24"/>
          <w:szCs w:val="24"/>
        </w:rPr>
        <w:t>ing</w:t>
      </w:r>
      <w:r w:rsidRPr="002B01F3">
        <w:rPr>
          <w:rStyle w:val="cf01"/>
          <w:rFonts w:ascii="Times New Roman" w:hAnsi="Times New Roman" w:cs="Times New Roman"/>
          <w:sz w:val="24"/>
          <w:szCs w:val="24"/>
        </w:rPr>
        <w:t xml:space="preserve"> transmission </w:t>
      </w:r>
      <w:r w:rsidRPr="002162A4">
        <w:t>requirements</w:t>
      </w:r>
      <w:r>
        <w:rPr>
          <w:rStyle w:val="cf01"/>
          <w:rFonts w:ascii="Times New Roman" w:hAnsi="Times New Roman" w:cs="Times New Roman"/>
          <w:sz w:val="24"/>
          <w:szCs w:val="24"/>
        </w:rPr>
        <w:t xml:space="preserve">. The implementation of the Southern Cross directives resulted in </w:t>
      </w:r>
      <w:r w:rsidRPr="0073492A">
        <w:t>multiple</w:t>
      </w:r>
      <w:r>
        <w:rPr>
          <w:rStyle w:val="cf01"/>
          <w:rFonts w:ascii="Times New Roman" w:hAnsi="Times New Roman" w:cs="Times New Roman"/>
          <w:sz w:val="24"/>
          <w:szCs w:val="24"/>
        </w:rPr>
        <w:t xml:space="preserve"> Planning Guide Revision Requests to </w:t>
      </w:r>
      <w:r w:rsidR="00A2580E">
        <w:rPr>
          <w:rStyle w:val="cf01"/>
          <w:rFonts w:ascii="Times New Roman" w:hAnsi="Times New Roman" w:cs="Times New Roman"/>
          <w:sz w:val="24"/>
          <w:szCs w:val="24"/>
        </w:rPr>
        <w:t xml:space="preserve">address </w:t>
      </w:r>
      <w:r w:rsidR="00F9671C">
        <w:rPr>
          <w:rStyle w:val="cf01"/>
          <w:rFonts w:ascii="Times New Roman" w:hAnsi="Times New Roman" w:cs="Times New Roman"/>
          <w:sz w:val="24"/>
          <w:szCs w:val="24"/>
        </w:rPr>
        <w:t xml:space="preserve">DC ties </w:t>
      </w:r>
      <w:r w:rsidR="00A978A6">
        <w:rPr>
          <w:rStyle w:val="cf01"/>
          <w:rFonts w:ascii="Times New Roman" w:hAnsi="Times New Roman" w:cs="Times New Roman"/>
          <w:sz w:val="24"/>
          <w:szCs w:val="24"/>
        </w:rPr>
        <w:t xml:space="preserve">in ERCOT’s transmission planning criteria </w:t>
      </w:r>
      <w:r w:rsidR="00F9671C">
        <w:rPr>
          <w:rStyle w:val="cf01"/>
          <w:rFonts w:ascii="Times New Roman" w:hAnsi="Times New Roman" w:cs="Times New Roman"/>
          <w:sz w:val="24"/>
          <w:szCs w:val="24"/>
        </w:rPr>
        <w:t xml:space="preserve">and were approved by the ERCOT Board. </w:t>
      </w:r>
      <w:r w:rsidR="005D17EE">
        <w:rPr>
          <w:rStyle w:val="cf01"/>
          <w:rFonts w:ascii="Times New Roman" w:hAnsi="Times New Roman" w:cs="Times New Roman"/>
          <w:sz w:val="24"/>
          <w:szCs w:val="24"/>
        </w:rPr>
        <w:t xml:space="preserve">PGRR105 proposes to change </w:t>
      </w:r>
      <w:proofErr w:type="gramStart"/>
      <w:r w:rsidR="005D17EE">
        <w:rPr>
          <w:rStyle w:val="cf01"/>
          <w:rFonts w:ascii="Times New Roman" w:hAnsi="Times New Roman" w:cs="Times New Roman"/>
          <w:sz w:val="24"/>
          <w:szCs w:val="24"/>
        </w:rPr>
        <w:t xml:space="preserve">that </w:t>
      </w:r>
      <w:r w:rsidR="00773A93">
        <w:rPr>
          <w:rStyle w:val="cf01"/>
          <w:rFonts w:ascii="Times New Roman" w:hAnsi="Times New Roman" w:cs="Times New Roman"/>
          <w:sz w:val="24"/>
          <w:szCs w:val="24"/>
        </w:rPr>
        <w:t>criteria</w:t>
      </w:r>
      <w:proofErr w:type="gramEnd"/>
      <w:r w:rsidR="00773A93">
        <w:rPr>
          <w:rStyle w:val="cf01"/>
          <w:rFonts w:ascii="Times New Roman" w:hAnsi="Times New Roman" w:cs="Times New Roman"/>
          <w:sz w:val="24"/>
          <w:szCs w:val="24"/>
        </w:rPr>
        <w:t>, and</w:t>
      </w:r>
      <w:r w:rsidR="00EC57F4">
        <w:rPr>
          <w:rStyle w:val="cf01"/>
          <w:rFonts w:ascii="Times New Roman" w:hAnsi="Times New Roman" w:cs="Times New Roman"/>
          <w:sz w:val="24"/>
          <w:szCs w:val="24"/>
        </w:rPr>
        <w:t xml:space="preserve"> </w:t>
      </w:r>
      <w:r w:rsidR="008853B8">
        <w:rPr>
          <w:rStyle w:val="cf01"/>
          <w:rFonts w:ascii="Times New Roman" w:hAnsi="Times New Roman" w:cs="Times New Roman"/>
          <w:sz w:val="24"/>
          <w:szCs w:val="24"/>
        </w:rPr>
        <w:t>if</w:t>
      </w:r>
      <w:r w:rsidR="00EC57F4">
        <w:rPr>
          <w:rStyle w:val="cf01"/>
          <w:rFonts w:ascii="Times New Roman" w:hAnsi="Times New Roman" w:cs="Times New Roman"/>
          <w:sz w:val="24"/>
          <w:szCs w:val="24"/>
        </w:rPr>
        <w:t xml:space="preserve"> PGRR105 is approved by TAC and adopted by the ERCOT Board,</w:t>
      </w:r>
      <w:r w:rsidR="00773A93">
        <w:rPr>
          <w:rStyle w:val="cf01"/>
          <w:rFonts w:ascii="Times New Roman" w:hAnsi="Times New Roman" w:cs="Times New Roman"/>
          <w:sz w:val="24"/>
          <w:szCs w:val="24"/>
        </w:rPr>
        <w:t xml:space="preserve"> the Commission w</w:t>
      </w:r>
      <w:r w:rsidR="00EC57F4">
        <w:rPr>
          <w:rStyle w:val="cf01"/>
          <w:rFonts w:ascii="Times New Roman" w:hAnsi="Times New Roman" w:cs="Times New Roman"/>
          <w:sz w:val="24"/>
          <w:szCs w:val="24"/>
        </w:rPr>
        <w:t>ould</w:t>
      </w:r>
      <w:r w:rsidR="00773A93">
        <w:rPr>
          <w:rStyle w:val="cf01"/>
          <w:rFonts w:ascii="Times New Roman" w:hAnsi="Times New Roman" w:cs="Times New Roman"/>
          <w:sz w:val="24"/>
          <w:szCs w:val="24"/>
        </w:rPr>
        <w:t xml:space="preserve"> need to ultimately approve, reject, or modify PGRR105 before it can become effective. </w:t>
      </w:r>
      <w:r w:rsidR="00EC57F4">
        <w:rPr>
          <w:rStyle w:val="cf01"/>
          <w:rFonts w:ascii="Times New Roman" w:hAnsi="Times New Roman" w:cs="Times New Roman"/>
          <w:sz w:val="24"/>
          <w:szCs w:val="24"/>
        </w:rPr>
        <w:t>In addition, t</w:t>
      </w:r>
      <w:r w:rsidR="00D26E2F">
        <w:rPr>
          <w:rStyle w:val="cf01"/>
          <w:rFonts w:ascii="Times New Roman" w:hAnsi="Times New Roman" w:cs="Times New Roman"/>
          <w:sz w:val="24"/>
          <w:szCs w:val="24"/>
        </w:rPr>
        <w:t>he Commission</w:t>
      </w:r>
      <w:r w:rsidRPr="002B01F3">
        <w:rPr>
          <w:rStyle w:val="cf01"/>
          <w:rFonts w:ascii="Times New Roman" w:hAnsi="Times New Roman" w:cs="Times New Roman"/>
          <w:sz w:val="24"/>
          <w:szCs w:val="24"/>
        </w:rPr>
        <w:t xml:space="preserve"> </w:t>
      </w:r>
      <w:proofErr w:type="gramStart"/>
      <w:r w:rsidRPr="002B01F3">
        <w:rPr>
          <w:rStyle w:val="cf01"/>
          <w:rFonts w:ascii="Times New Roman" w:hAnsi="Times New Roman" w:cs="Times New Roman"/>
          <w:sz w:val="24"/>
          <w:szCs w:val="24"/>
        </w:rPr>
        <w:t xml:space="preserve">has </w:t>
      </w:r>
      <w:r w:rsidR="007D33D2">
        <w:rPr>
          <w:rStyle w:val="cf01"/>
          <w:rFonts w:ascii="Times New Roman" w:hAnsi="Times New Roman" w:cs="Times New Roman"/>
          <w:sz w:val="24"/>
          <w:szCs w:val="24"/>
        </w:rPr>
        <w:t xml:space="preserve">the </w:t>
      </w:r>
      <w:r w:rsidRPr="002B01F3">
        <w:rPr>
          <w:rStyle w:val="cf01"/>
          <w:rFonts w:ascii="Times New Roman" w:hAnsi="Times New Roman" w:cs="Times New Roman"/>
          <w:sz w:val="24"/>
          <w:szCs w:val="24"/>
        </w:rPr>
        <w:t>ability to</w:t>
      </w:r>
      <w:proofErr w:type="gramEnd"/>
      <w:r w:rsidRPr="002B01F3">
        <w:rPr>
          <w:rStyle w:val="cf01"/>
          <w:rFonts w:ascii="Times New Roman" w:hAnsi="Times New Roman" w:cs="Times New Roman"/>
          <w:sz w:val="24"/>
          <w:szCs w:val="24"/>
        </w:rPr>
        <w:t xml:space="preserve"> </w:t>
      </w:r>
      <w:r w:rsidR="00EC57F4">
        <w:rPr>
          <w:rStyle w:val="cf01"/>
          <w:rFonts w:ascii="Times New Roman" w:hAnsi="Times New Roman" w:cs="Times New Roman"/>
          <w:sz w:val="24"/>
          <w:szCs w:val="24"/>
        </w:rPr>
        <w:t xml:space="preserve">independently </w:t>
      </w:r>
      <w:r w:rsidRPr="002B01F3">
        <w:rPr>
          <w:rStyle w:val="cf01"/>
          <w:rFonts w:ascii="Times New Roman" w:hAnsi="Times New Roman" w:cs="Times New Roman"/>
          <w:sz w:val="24"/>
          <w:szCs w:val="24"/>
        </w:rPr>
        <w:t>direct transmission build-out if necessary</w:t>
      </w:r>
      <w:r w:rsidR="00D26E2F">
        <w:rPr>
          <w:rStyle w:val="cf01"/>
          <w:rFonts w:ascii="Times New Roman" w:hAnsi="Times New Roman" w:cs="Times New Roman"/>
          <w:sz w:val="24"/>
          <w:szCs w:val="24"/>
        </w:rPr>
        <w:t xml:space="preserve"> and has exercised that authority</w:t>
      </w:r>
      <w:r w:rsidR="002162A4">
        <w:rPr>
          <w:rStyle w:val="cf01"/>
          <w:rFonts w:ascii="Times New Roman" w:hAnsi="Times New Roman" w:cs="Times New Roman"/>
          <w:sz w:val="24"/>
          <w:szCs w:val="24"/>
        </w:rPr>
        <w:t>,</w:t>
      </w:r>
      <w:r w:rsidR="00F92CAA">
        <w:rPr>
          <w:rStyle w:val="cf01"/>
          <w:rFonts w:ascii="Times New Roman" w:hAnsi="Times New Roman" w:cs="Times New Roman"/>
          <w:sz w:val="24"/>
          <w:szCs w:val="24"/>
        </w:rPr>
        <w:t xml:space="preserve"> as needed</w:t>
      </w:r>
      <w:r w:rsidR="002162A4">
        <w:rPr>
          <w:rStyle w:val="cf01"/>
          <w:rFonts w:ascii="Times New Roman" w:hAnsi="Times New Roman" w:cs="Times New Roman"/>
          <w:sz w:val="24"/>
          <w:szCs w:val="24"/>
        </w:rPr>
        <w:t>, evidenced by the projects approved and underway in the Rio Grande Valley</w:t>
      </w:r>
      <w:r w:rsidRPr="002B01F3">
        <w:rPr>
          <w:rStyle w:val="cf01"/>
          <w:rFonts w:ascii="Times New Roman" w:hAnsi="Times New Roman" w:cs="Times New Roman"/>
          <w:sz w:val="24"/>
          <w:szCs w:val="24"/>
        </w:rPr>
        <w:t>.</w:t>
      </w:r>
      <w:r w:rsidR="00EC57F4">
        <w:rPr>
          <w:rStyle w:val="FootnoteReference"/>
          <w:rFonts w:cs="Times New Roman"/>
          <w:szCs w:val="24"/>
        </w:rPr>
        <w:footnoteReference w:id="20"/>
      </w:r>
    </w:p>
    <w:p w14:paraId="1675579B" w14:textId="71E47464" w:rsidR="002B01F3" w:rsidRPr="002B01F3" w:rsidRDefault="002B01F3" w:rsidP="002B01F3">
      <w:pPr>
        <w:spacing w:after="160" w:line="256" w:lineRule="auto"/>
        <w:ind w:left="720"/>
        <w:rPr>
          <w:szCs w:val="24"/>
        </w:rPr>
      </w:pPr>
    </w:p>
    <w:p w14:paraId="05DB9EBE" w14:textId="64CB2948" w:rsidR="00930DE0" w:rsidRPr="00DD0235" w:rsidRDefault="00930DE0" w:rsidP="00DD0235">
      <w:pPr>
        <w:pStyle w:val="ListParagraph"/>
        <w:numPr>
          <w:ilvl w:val="0"/>
          <w:numId w:val="32"/>
        </w:numPr>
        <w:spacing w:after="160" w:line="256" w:lineRule="auto"/>
        <w:rPr>
          <w:b/>
          <w:bCs/>
          <w:szCs w:val="24"/>
        </w:rPr>
      </w:pPr>
      <w:r w:rsidRPr="00DD0235">
        <w:rPr>
          <w:b/>
          <w:bCs/>
          <w:szCs w:val="24"/>
        </w:rPr>
        <w:t>Would additional imports over DC ties impact competition in the wholesale generation market and price formation, particularly when prices are high or during scarcity conditions?</w:t>
      </w:r>
    </w:p>
    <w:p w14:paraId="22B1BA39" w14:textId="672E08A8" w:rsidR="00DD0235" w:rsidRPr="00B2426C" w:rsidRDefault="00DD0235" w:rsidP="002162A4">
      <w:pPr>
        <w:spacing w:line="480" w:lineRule="auto"/>
        <w:ind w:firstLine="360"/>
        <w:rPr>
          <w:szCs w:val="24"/>
        </w:rPr>
      </w:pPr>
      <w:r w:rsidRPr="002162A4">
        <w:rPr>
          <w:szCs w:val="24"/>
          <w:u w:val="single"/>
        </w:rPr>
        <w:t>TCPA Response</w:t>
      </w:r>
      <w:r>
        <w:rPr>
          <w:szCs w:val="24"/>
        </w:rPr>
        <w:t xml:space="preserve">: Yes. ERCOT still has an energy-only market, and the market design changes under development will not counter-balance the price formation interference </w:t>
      </w:r>
      <w:r w:rsidR="00685872">
        <w:rPr>
          <w:szCs w:val="24"/>
        </w:rPr>
        <w:t xml:space="preserve">or </w:t>
      </w:r>
      <w:r w:rsidR="00470CD9">
        <w:rPr>
          <w:szCs w:val="24"/>
        </w:rPr>
        <w:t xml:space="preserve">congestion causing the </w:t>
      </w:r>
      <w:r w:rsidR="00C41AFC">
        <w:rPr>
          <w:szCs w:val="24"/>
        </w:rPr>
        <w:t xml:space="preserve">imperilment of </w:t>
      </w:r>
      <w:r w:rsidR="00470CD9">
        <w:rPr>
          <w:szCs w:val="24"/>
        </w:rPr>
        <w:t xml:space="preserve">in-ERCOT </w:t>
      </w:r>
      <w:r w:rsidR="00C41AFC">
        <w:rPr>
          <w:szCs w:val="24"/>
        </w:rPr>
        <w:t xml:space="preserve">thermal resources resulting </w:t>
      </w:r>
      <w:r>
        <w:rPr>
          <w:szCs w:val="24"/>
        </w:rPr>
        <w:t xml:space="preserve">from </w:t>
      </w:r>
      <w:r w:rsidR="00C41AFC">
        <w:rPr>
          <w:szCs w:val="24"/>
        </w:rPr>
        <w:t xml:space="preserve">imports over </w:t>
      </w:r>
      <w:r>
        <w:rPr>
          <w:szCs w:val="24"/>
        </w:rPr>
        <w:t xml:space="preserve">DC </w:t>
      </w:r>
      <w:proofErr w:type="gramStart"/>
      <w:r>
        <w:rPr>
          <w:szCs w:val="24"/>
        </w:rPr>
        <w:t>ties</w:t>
      </w:r>
      <w:proofErr w:type="gramEnd"/>
      <w:r w:rsidR="00285986">
        <w:rPr>
          <w:szCs w:val="24"/>
        </w:rPr>
        <w:t>.</w:t>
      </w:r>
      <w:r>
        <w:rPr>
          <w:szCs w:val="24"/>
        </w:rPr>
        <w:t xml:space="preserve"> </w:t>
      </w:r>
      <w:r w:rsidR="00285986">
        <w:rPr>
          <w:szCs w:val="24"/>
        </w:rPr>
        <w:t>W</w:t>
      </w:r>
      <w:r>
        <w:rPr>
          <w:szCs w:val="24"/>
        </w:rPr>
        <w:t>ith the limits placed on the P</w:t>
      </w:r>
      <w:r w:rsidR="00D42C53">
        <w:rPr>
          <w:szCs w:val="24"/>
        </w:rPr>
        <w:t xml:space="preserve">erformance </w:t>
      </w:r>
      <w:r>
        <w:rPr>
          <w:szCs w:val="24"/>
        </w:rPr>
        <w:t>C</w:t>
      </w:r>
      <w:r w:rsidR="00D42C53">
        <w:rPr>
          <w:szCs w:val="24"/>
        </w:rPr>
        <w:t xml:space="preserve">redit </w:t>
      </w:r>
      <w:r>
        <w:rPr>
          <w:szCs w:val="24"/>
        </w:rPr>
        <w:t>M</w:t>
      </w:r>
      <w:r w:rsidR="00D42C53">
        <w:rPr>
          <w:szCs w:val="24"/>
        </w:rPr>
        <w:t>echanism (PCM)</w:t>
      </w:r>
      <w:r>
        <w:rPr>
          <w:szCs w:val="24"/>
        </w:rPr>
        <w:t xml:space="preserve"> by H</w:t>
      </w:r>
      <w:r w:rsidR="00D42C53">
        <w:rPr>
          <w:szCs w:val="24"/>
        </w:rPr>
        <w:t xml:space="preserve">ouse </w:t>
      </w:r>
      <w:r>
        <w:rPr>
          <w:szCs w:val="24"/>
        </w:rPr>
        <w:t>B</w:t>
      </w:r>
      <w:r w:rsidR="00D42C53">
        <w:rPr>
          <w:szCs w:val="24"/>
        </w:rPr>
        <w:t xml:space="preserve">ill (HB) </w:t>
      </w:r>
      <w:r>
        <w:rPr>
          <w:szCs w:val="24"/>
        </w:rPr>
        <w:t>1500,</w:t>
      </w:r>
      <w:r w:rsidR="00D42C53">
        <w:rPr>
          <w:rStyle w:val="FootnoteReference"/>
          <w:szCs w:val="24"/>
        </w:rPr>
        <w:footnoteReference w:id="21"/>
      </w:r>
      <w:r>
        <w:rPr>
          <w:szCs w:val="24"/>
        </w:rPr>
        <w:t xml:space="preserve"> the ERCOT system will </w:t>
      </w:r>
      <w:r w:rsidR="00470CD9">
        <w:rPr>
          <w:szCs w:val="24"/>
        </w:rPr>
        <w:t xml:space="preserve">necessarily </w:t>
      </w:r>
      <w:r>
        <w:rPr>
          <w:szCs w:val="24"/>
        </w:rPr>
        <w:t>still depend on times when prices reflect higher demand on the system to send an investment signal</w:t>
      </w:r>
      <w:r w:rsidR="0037092F">
        <w:rPr>
          <w:szCs w:val="24"/>
        </w:rPr>
        <w:t>. Therefore</w:t>
      </w:r>
      <w:r>
        <w:rPr>
          <w:szCs w:val="24"/>
        </w:rPr>
        <w:t xml:space="preserve">, price distortions from DC tie imports </w:t>
      </w:r>
      <w:r w:rsidR="00FC35FC">
        <w:rPr>
          <w:szCs w:val="24"/>
        </w:rPr>
        <w:t>could</w:t>
      </w:r>
      <w:r>
        <w:rPr>
          <w:szCs w:val="24"/>
        </w:rPr>
        <w:t xml:space="preserve"> </w:t>
      </w:r>
      <w:r w:rsidRPr="0073492A">
        <w:t>signal</w:t>
      </w:r>
      <w:r>
        <w:rPr>
          <w:szCs w:val="24"/>
        </w:rPr>
        <w:t xml:space="preserve"> </w:t>
      </w:r>
      <w:r>
        <w:rPr>
          <w:szCs w:val="24"/>
        </w:rPr>
        <w:lastRenderedPageBreak/>
        <w:t xml:space="preserve">to generation investors not to invest in ERCOT. </w:t>
      </w:r>
      <w:r w:rsidR="00B20AFC">
        <w:rPr>
          <w:szCs w:val="24"/>
        </w:rPr>
        <w:t>Further, t</w:t>
      </w:r>
      <w:r w:rsidR="00285986">
        <w:rPr>
          <w:szCs w:val="24"/>
        </w:rPr>
        <w:t>here is</w:t>
      </w:r>
      <w:r>
        <w:rPr>
          <w:szCs w:val="24"/>
        </w:rPr>
        <w:t xml:space="preserve"> no guarantee that DC ties will import into ERCOT</w:t>
      </w:r>
      <w:r w:rsidR="00285986">
        <w:rPr>
          <w:szCs w:val="24"/>
        </w:rPr>
        <w:t>, even</w:t>
      </w:r>
      <w:r>
        <w:rPr>
          <w:szCs w:val="24"/>
        </w:rPr>
        <w:t xml:space="preserve"> during scarcity conditions </w:t>
      </w:r>
      <w:r w:rsidR="00285986">
        <w:rPr>
          <w:szCs w:val="24"/>
        </w:rPr>
        <w:t xml:space="preserve">as </w:t>
      </w:r>
      <w:r>
        <w:rPr>
          <w:szCs w:val="24"/>
        </w:rPr>
        <w:t xml:space="preserve">other grids could be curtailing exports </w:t>
      </w:r>
      <w:r w:rsidR="00285986">
        <w:rPr>
          <w:szCs w:val="24"/>
        </w:rPr>
        <w:t xml:space="preserve">during that time </w:t>
      </w:r>
      <w:r>
        <w:rPr>
          <w:szCs w:val="24"/>
        </w:rPr>
        <w:t xml:space="preserve">or have </w:t>
      </w:r>
      <w:r w:rsidRPr="002162A4">
        <w:rPr>
          <w:rStyle w:val="cf01"/>
          <w:rFonts w:ascii="Times New Roman" w:hAnsi="Times New Roman" w:cs="Times New Roman"/>
          <w:sz w:val="24"/>
          <w:szCs w:val="24"/>
        </w:rPr>
        <w:t>more</w:t>
      </w:r>
      <w:r>
        <w:rPr>
          <w:szCs w:val="24"/>
        </w:rPr>
        <w:t xml:space="preserve"> favorable economics</w:t>
      </w:r>
      <w:r w:rsidR="00285986">
        <w:rPr>
          <w:szCs w:val="24"/>
        </w:rPr>
        <w:t xml:space="preserve"> that make </w:t>
      </w:r>
      <w:r w:rsidR="00BC4C31">
        <w:rPr>
          <w:szCs w:val="24"/>
        </w:rPr>
        <w:t>exporting into ERCOT unattractive for the DC tie owner</w:t>
      </w:r>
      <w:r>
        <w:rPr>
          <w:szCs w:val="24"/>
        </w:rPr>
        <w:t xml:space="preserve">. </w:t>
      </w:r>
      <w:r w:rsidR="00BC4C31">
        <w:rPr>
          <w:szCs w:val="24"/>
        </w:rPr>
        <w:t>It</w:t>
      </w:r>
      <w:r w:rsidR="00B20AFC">
        <w:rPr>
          <w:szCs w:val="24"/>
        </w:rPr>
        <w:t xml:space="preserve"> is</w:t>
      </w:r>
      <w:r w:rsidR="00BC4C31">
        <w:rPr>
          <w:szCs w:val="24"/>
        </w:rPr>
        <w:t xml:space="preserve"> important to consider </w:t>
      </w:r>
      <w:r w:rsidR="00821BD8">
        <w:rPr>
          <w:szCs w:val="24"/>
        </w:rPr>
        <w:t xml:space="preserve">the cost to both reliability and consumers in ERCOT of implementing new policy that </w:t>
      </w:r>
      <w:r w:rsidR="006B1369">
        <w:rPr>
          <w:szCs w:val="24"/>
        </w:rPr>
        <w:t xml:space="preserve">undermines other policy changes designed to get new investment in dispatchable generation in ERCOT </w:t>
      </w:r>
      <w:r w:rsidR="00472E9F">
        <w:rPr>
          <w:szCs w:val="24"/>
        </w:rPr>
        <w:t>over which ERCOT’s operators have full control.</w:t>
      </w:r>
    </w:p>
    <w:p w14:paraId="4CF8185B" w14:textId="1741E684" w:rsidR="00DD0235" w:rsidRPr="00DD0235" w:rsidRDefault="00DD0235" w:rsidP="00DD0235">
      <w:pPr>
        <w:spacing w:after="160" w:line="256" w:lineRule="auto"/>
        <w:ind w:left="360"/>
        <w:rPr>
          <w:szCs w:val="24"/>
        </w:rPr>
      </w:pPr>
    </w:p>
    <w:p w14:paraId="55659AF7" w14:textId="0C4ACFDF" w:rsidR="00930DE0" w:rsidRPr="000F0214" w:rsidRDefault="00930DE0" w:rsidP="000F0214">
      <w:pPr>
        <w:pStyle w:val="ListParagraph"/>
        <w:numPr>
          <w:ilvl w:val="0"/>
          <w:numId w:val="34"/>
        </w:numPr>
        <w:spacing w:after="160" w:line="256" w:lineRule="auto"/>
        <w:rPr>
          <w:b/>
          <w:bCs/>
          <w:szCs w:val="24"/>
        </w:rPr>
      </w:pPr>
      <w:r w:rsidRPr="000F0214">
        <w:rPr>
          <w:b/>
          <w:bCs/>
          <w:szCs w:val="24"/>
        </w:rPr>
        <w:t>From a consumer cost standpoint, would imports over DC ties benefit consumers when prices are high by increasing the supply and reducing the prices?</w:t>
      </w:r>
    </w:p>
    <w:p w14:paraId="68838DA1" w14:textId="443B293C" w:rsidR="007027AB" w:rsidRDefault="000F0214" w:rsidP="000B2043">
      <w:pPr>
        <w:spacing w:line="480" w:lineRule="auto"/>
        <w:ind w:firstLine="360"/>
      </w:pPr>
      <w:r w:rsidRPr="002162A4">
        <w:rPr>
          <w:u w:val="single"/>
        </w:rPr>
        <w:t>TCPA Response</w:t>
      </w:r>
      <w:r>
        <w:t xml:space="preserve">: </w:t>
      </w:r>
      <w:r w:rsidR="009B62B9">
        <w:t>The impacts to consumers will</w:t>
      </w:r>
      <w:r w:rsidR="00F37EC4">
        <w:t xml:space="preserve"> ultimately d</w:t>
      </w:r>
      <w:r>
        <w:t>epend on</w:t>
      </w:r>
      <w:r w:rsidR="00F37EC4">
        <w:t xml:space="preserve"> the</w:t>
      </w:r>
      <w:r>
        <w:t xml:space="preserve"> timeframe and </w:t>
      </w:r>
      <w:r w:rsidRPr="000B2043">
        <w:rPr>
          <w:szCs w:val="24"/>
        </w:rPr>
        <w:t>resource</w:t>
      </w:r>
      <w:r>
        <w:t xml:space="preserve"> adequacy</w:t>
      </w:r>
      <w:r w:rsidR="001348BF">
        <w:t xml:space="preserve"> status</w:t>
      </w:r>
      <w:r w:rsidR="007723F4">
        <w:t xml:space="preserve"> at that point in time</w:t>
      </w:r>
      <w:r>
        <w:t xml:space="preserve">. </w:t>
      </w:r>
      <w:r w:rsidR="00F37EC4">
        <w:t xml:space="preserve">The potential exists for </w:t>
      </w:r>
      <w:r w:rsidR="007B3F8E">
        <w:t xml:space="preserve">imports to </w:t>
      </w:r>
      <w:r>
        <w:t>be perversely more expensive if</w:t>
      </w:r>
      <w:r w:rsidR="00797C70">
        <w:t xml:space="preserve"> relatively less expensive</w:t>
      </w:r>
      <w:r>
        <w:t xml:space="preserve"> resources that</w:t>
      </w:r>
      <w:r w:rsidR="00146823">
        <w:t xml:space="preserve"> otherwise</w:t>
      </w:r>
      <w:r>
        <w:t xml:space="preserve"> would participate in the market </w:t>
      </w:r>
      <w:r w:rsidR="007B3F8E">
        <w:t xml:space="preserve">are </w:t>
      </w:r>
      <w:r w:rsidR="007723F4">
        <w:t xml:space="preserve">congested out </w:t>
      </w:r>
      <w:r w:rsidR="009932B5">
        <w:t>by the DC tie imports</w:t>
      </w:r>
      <w:r w:rsidR="007A23B5">
        <w:t>,</w:t>
      </w:r>
      <w:r w:rsidR="009932B5">
        <w:t xml:space="preserve"> </w:t>
      </w:r>
      <w:r w:rsidR="007723F4">
        <w:t xml:space="preserve">or ultimately </w:t>
      </w:r>
      <w:r w:rsidR="007B3F8E">
        <w:t xml:space="preserve">driven </w:t>
      </w:r>
      <w:r>
        <w:t xml:space="preserve">into </w:t>
      </w:r>
      <w:r w:rsidR="00481664">
        <w:t xml:space="preserve">early retirement or </w:t>
      </w:r>
      <w:r w:rsidR="00146823">
        <w:t>Reliability Must Run (</w:t>
      </w:r>
      <w:r>
        <w:t>RMR</w:t>
      </w:r>
      <w:r w:rsidR="00146823">
        <w:t>)</w:t>
      </w:r>
      <w:r>
        <w:t xml:space="preserve"> contracts </w:t>
      </w:r>
      <w:r w:rsidR="00BF1710">
        <w:t xml:space="preserve">because </w:t>
      </w:r>
      <w:r w:rsidR="007A23B5">
        <w:t xml:space="preserve">market </w:t>
      </w:r>
      <w:r>
        <w:t>economics do not support the</w:t>
      </w:r>
      <w:r w:rsidR="007A23B5">
        <w:t>ir continued operation</w:t>
      </w:r>
      <w:r w:rsidR="00BF1710">
        <w:t xml:space="preserve">. </w:t>
      </w:r>
      <w:r w:rsidR="00613B10">
        <w:t xml:space="preserve">Note that </w:t>
      </w:r>
      <w:r w:rsidR="00BF1710">
        <w:t xml:space="preserve">it is unclear </w:t>
      </w:r>
      <w:r>
        <w:t xml:space="preserve">if the transmission system can support both </w:t>
      </w:r>
      <w:r w:rsidR="00202A73">
        <w:t xml:space="preserve">imports over </w:t>
      </w:r>
      <w:r>
        <w:t xml:space="preserve">DC ties and </w:t>
      </w:r>
      <w:r w:rsidR="00202A73">
        <w:t xml:space="preserve">output from </w:t>
      </w:r>
      <w:r>
        <w:t xml:space="preserve">units </w:t>
      </w:r>
      <w:r w:rsidR="00202A73">
        <w:t xml:space="preserve">contracted under </w:t>
      </w:r>
      <w:r>
        <w:t>RMR</w:t>
      </w:r>
      <w:r w:rsidR="00202A73">
        <w:t xml:space="preserve"> </w:t>
      </w:r>
      <w:r w:rsidR="00C40409">
        <w:t xml:space="preserve">without the very transmission upgrades that PGRR077 </w:t>
      </w:r>
      <w:r w:rsidR="00343606" w:rsidRPr="002162A4">
        <w:t>does not require</w:t>
      </w:r>
      <w:r w:rsidR="00C40409">
        <w:t xml:space="preserve"> (and PGRR105</w:t>
      </w:r>
      <w:r w:rsidR="008F1CE8">
        <w:t xml:space="preserve"> proposes to drive)</w:t>
      </w:r>
      <w:r>
        <w:t>.</w:t>
      </w:r>
      <w:r w:rsidR="009E70CE">
        <w:t xml:space="preserve"> A</w:t>
      </w:r>
      <w:r w:rsidR="00261B2C">
        <w:t>s</w:t>
      </w:r>
      <w:r w:rsidR="009E70CE">
        <w:t xml:space="preserve"> noted in </w:t>
      </w:r>
      <w:r w:rsidR="00875615">
        <w:t>NRG</w:t>
      </w:r>
      <w:r w:rsidR="004D22A7">
        <w:t>’s</w:t>
      </w:r>
      <w:r w:rsidR="00875615">
        <w:t xml:space="preserve"> </w:t>
      </w:r>
      <w:r w:rsidR="009E70CE">
        <w:t>testimony</w:t>
      </w:r>
      <w:r>
        <w:t xml:space="preserve"> </w:t>
      </w:r>
      <w:r w:rsidR="00261B2C">
        <w:t xml:space="preserve">before the </w:t>
      </w:r>
      <w:r w:rsidR="00875615">
        <w:t>Federal Energy Regulatory Commission on December 6, 2022, “…in ERCOT, which depends on energy scarcity pricing for resource adequacy, imports ironically could have a negative effect on long-term reliability… incremental transfer capability ironically could harm reliability in the long run within ERCOT.</w:t>
      </w:r>
      <w:r w:rsidR="006D43C5">
        <w:t>”</w:t>
      </w:r>
      <w:r w:rsidR="006D43C5">
        <w:rPr>
          <w:rStyle w:val="FootnoteReference"/>
        </w:rPr>
        <w:footnoteReference w:id="22"/>
      </w:r>
      <w:r w:rsidR="00875615">
        <w:t xml:space="preserve"> </w:t>
      </w:r>
    </w:p>
    <w:p w14:paraId="52EB5FA0" w14:textId="32BEE0DF" w:rsidR="002F6143" w:rsidRDefault="00AD16B9" w:rsidP="000B2043">
      <w:pPr>
        <w:spacing w:line="480" w:lineRule="auto"/>
        <w:ind w:firstLine="360"/>
      </w:pPr>
      <w:r>
        <w:lastRenderedPageBreak/>
        <w:t xml:space="preserve">While the Legislature has enacted programs designed to increase investment in dispatchable generation, </w:t>
      </w:r>
      <w:r w:rsidR="0012679C">
        <w:t xml:space="preserve">DC tie imports do not </w:t>
      </w:r>
      <w:r w:rsidR="000F0214">
        <w:t xml:space="preserve">spur investment in </w:t>
      </w:r>
      <w:r w:rsidR="0067065E">
        <w:t xml:space="preserve">in-state </w:t>
      </w:r>
      <w:r w:rsidR="000F0214">
        <w:t xml:space="preserve">generation resources and </w:t>
      </w:r>
      <w:r w:rsidR="000043B8">
        <w:t xml:space="preserve">thus </w:t>
      </w:r>
      <w:r w:rsidR="006F6ED3">
        <w:t xml:space="preserve">could </w:t>
      </w:r>
      <w:r w:rsidR="000F0214">
        <w:t xml:space="preserve">undermine </w:t>
      </w:r>
      <w:r w:rsidR="0012679C">
        <w:t xml:space="preserve">the </w:t>
      </w:r>
      <w:r w:rsidR="006C0BBD">
        <w:t xml:space="preserve">Texas Energy Fund </w:t>
      </w:r>
      <w:r w:rsidR="000F0214">
        <w:t xml:space="preserve">loan </w:t>
      </w:r>
      <w:r w:rsidR="006C0BBD">
        <w:t xml:space="preserve">and completion bonus </w:t>
      </w:r>
      <w:r w:rsidR="000F0214">
        <w:t>program</w:t>
      </w:r>
      <w:r w:rsidR="006C0BBD">
        <w:t>s</w:t>
      </w:r>
      <w:r w:rsidR="000F0214">
        <w:t xml:space="preserve">, </w:t>
      </w:r>
      <w:r w:rsidR="008B6302">
        <w:t>Dispatchable Reliability Reserve Service</w:t>
      </w:r>
      <w:r w:rsidR="000F0214">
        <w:t xml:space="preserve">, </w:t>
      </w:r>
      <w:r w:rsidR="006C0BBD">
        <w:t>F</w:t>
      </w:r>
      <w:r w:rsidR="0012679C">
        <w:t xml:space="preserve">irm </w:t>
      </w:r>
      <w:r w:rsidR="006C0BBD">
        <w:t>F</w:t>
      </w:r>
      <w:r w:rsidR="0012679C">
        <w:t xml:space="preserve">uel </w:t>
      </w:r>
      <w:r w:rsidR="006C0BBD">
        <w:t>Supply Service</w:t>
      </w:r>
      <w:r w:rsidR="0012679C">
        <w:t>,</w:t>
      </w:r>
      <w:r w:rsidR="00AE5C75">
        <w:t xml:space="preserve"> the PCM</w:t>
      </w:r>
      <w:r w:rsidR="00022219">
        <w:t>,</w:t>
      </w:r>
      <w:r w:rsidR="0012679C">
        <w:t xml:space="preserve"> and other programs </w:t>
      </w:r>
      <w:r w:rsidR="000F0214">
        <w:t xml:space="preserve">designed to drive investment in new generation. </w:t>
      </w:r>
      <w:r w:rsidR="00AE5C75">
        <w:t>I</w:t>
      </w:r>
      <w:r w:rsidR="000F0214">
        <w:t xml:space="preserve">ncreasing the dependency on DC ties to resolve resource adequacy needs </w:t>
      </w:r>
      <w:r w:rsidR="008A388F">
        <w:t xml:space="preserve">thus </w:t>
      </w:r>
      <w:r w:rsidR="00AE5C75">
        <w:t>would increase</w:t>
      </w:r>
      <w:r w:rsidR="000F0214">
        <w:t xml:space="preserve"> the uncertainty regarding reliability in ERCOT</w:t>
      </w:r>
      <w:r w:rsidR="00AE5C75">
        <w:t xml:space="preserve"> as</w:t>
      </w:r>
      <w:r w:rsidR="000F0214">
        <w:t xml:space="preserve"> </w:t>
      </w:r>
      <w:r w:rsidR="004F3B59">
        <w:t>b</w:t>
      </w:r>
      <w:r w:rsidR="000F0214">
        <w:t xml:space="preserve">ordering ISOs may not approve imports into ERCOT during emergencies </w:t>
      </w:r>
      <w:r w:rsidR="00942F78">
        <w:t xml:space="preserve">based on </w:t>
      </w:r>
      <w:r w:rsidR="000F0214">
        <w:t xml:space="preserve">the </w:t>
      </w:r>
      <w:r w:rsidR="00942F78">
        <w:t xml:space="preserve">terms and conditions of the </w:t>
      </w:r>
      <w:r w:rsidR="000F0214">
        <w:t>coordination agreement</w:t>
      </w:r>
      <w:r w:rsidR="00DF0A51">
        <w:t>s</w:t>
      </w:r>
      <w:r w:rsidR="000F0214">
        <w:t xml:space="preserve">.  Therefore, adopting a policy to increase DC tie imports </w:t>
      </w:r>
      <w:r w:rsidR="00DF0A51">
        <w:t xml:space="preserve">– particularly without also adopting a policy of curtailing DC tie imports when they negatively impact in-ERCOT generation </w:t>
      </w:r>
      <w:r w:rsidR="006314CA">
        <w:t xml:space="preserve">– </w:t>
      </w:r>
      <w:r w:rsidR="000F0214">
        <w:t>could create a trade</w:t>
      </w:r>
      <w:r w:rsidR="004F3B59">
        <w:t>-</w:t>
      </w:r>
      <w:r w:rsidR="000F0214">
        <w:t xml:space="preserve">off between retaining in-state dispatchable resources </w:t>
      </w:r>
      <w:r w:rsidR="002F6143">
        <w:t>dispatched</w:t>
      </w:r>
      <w:r w:rsidR="000F0214">
        <w:t xml:space="preserve"> by ERCOT and depending on economic transactions that may not be available when </w:t>
      </w:r>
      <w:r w:rsidR="004F3B59">
        <w:t>ERCOT needs them</w:t>
      </w:r>
      <w:r w:rsidR="000F0214">
        <w:t xml:space="preserve"> the most.</w:t>
      </w:r>
      <w:r w:rsidR="005B7254">
        <w:t xml:space="preserve"> </w:t>
      </w:r>
    </w:p>
    <w:p w14:paraId="68E5793F" w14:textId="15FE5D7D" w:rsidR="000F0214" w:rsidRPr="00B2426C" w:rsidRDefault="002F6143" w:rsidP="002162A4">
      <w:pPr>
        <w:widowControl w:val="0"/>
        <w:spacing w:line="480" w:lineRule="auto"/>
        <w:ind w:firstLine="360"/>
      </w:pPr>
      <w:r>
        <w:t>For all these reasons,</w:t>
      </w:r>
      <w:r w:rsidR="005D2BE9">
        <w:t xml:space="preserve"> it is difficult, if not impossible, to predict how an increase in DC tie imports would impact the </w:t>
      </w:r>
      <w:r w:rsidR="005D1F2E">
        <w:t xml:space="preserve">amount of </w:t>
      </w:r>
      <w:r w:rsidR="005D2BE9">
        <w:t xml:space="preserve">installed capacity </w:t>
      </w:r>
      <w:r w:rsidR="0084615D">
        <w:t>and</w:t>
      </w:r>
      <w:r w:rsidR="005D2BE9">
        <w:t xml:space="preserve"> resource mix in ERCOT and ultimately how it would impact retail consumers</w:t>
      </w:r>
      <w:r w:rsidR="006314CA">
        <w:t xml:space="preserve"> without also knowing how the Commission will </w:t>
      </w:r>
      <w:r w:rsidR="00F15164">
        <w:t>coordinate other important policy decisions related to DC tie imports</w:t>
      </w:r>
      <w:r w:rsidR="005D2BE9">
        <w:t>.</w:t>
      </w:r>
    </w:p>
    <w:p w14:paraId="3E638DFC" w14:textId="46694C9D" w:rsidR="000F0214" w:rsidRPr="000F0214" w:rsidRDefault="000F0214" w:rsidP="000F0214">
      <w:pPr>
        <w:spacing w:after="160" w:line="256" w:lineRule="auto"/>
        <w:ind w:left="720"/>
        <w:rPr>
          <w:szCs w:val="24"/>
        </w:rPr>
      </w:pPr>
    </w:p>
    <w:p w14:paraId="35F6DB8F" w14:textId="10616217" w:rsidR="00930DE0" w:rsidRPr="004F3B59" w:rsidRDefault="00930DE0" w:rsidP="004F3B59">
      <w:pPr>
        <w:pStyle w:val="ListParagraph"/>
        <w:numPr>
          <w:ilvl w:val="0"/>
          <w:numId w:val="34"/>
        </w:numPr>
        <w:spacing w:after="160" w:line="256" w:lineRule="auto"/>
        <w:rPr>
          <w:b/>
          <w:bCs/>
          <w:szCs w:val="24"/>
        </w:rPr>
      </w:pPr>
      <w:r w:rsidRPr="004F3B59">
        <w:rPr>
          <w:b/>
          <w:bCs/>
          <w:szCs w:val="24"/>
        </w:rPr>
        <w:t xml:space="preserve">Can the benefits for wholesale and retail consumers be quantified from </w:t>
      </w:r>
      <w:proofErr w:type="gramStart"/>
      <w:r w:rsidRPr="004F3B59">
        <w:rPr>
          <w:b/>
          <w:bCs/>
          <w:szCs w:val="24"/>
        </w:rPr>
        <w:t>question</w:t>
      </w:r>
      <w:proofErr w:type="gramEnd"/>
      <w:r w:rsidRPr="004F3B59">
        <w:rPr>
          <w:b/>
          <w:bCs/>
          <w:szCs w:val="24"/>
        </w:rPr>
        <w:t xml:space="preserve"> above? Please specify how in detail. </w:t>
      </w:r>
    </w:p>
    <w:p w14:paraId="603A2A51" w14:textId="41FA3A0A" w:rsidR="00CC4FBC" w:rsidRPr="007B63F5" w:rsidRDefault="004F3B59" w:rsidP="002162A4">
      <w:pPr>
        <w:spacing w:line="480" w:lineRule="auto"/>
        <w:ind w:firstLine="360"/>
        <w:rPr>
          <w:szCs w:val="24"/>
        </w:rPr>
      </w:pPr>
      <w:r w:rsidRPr="002162A4">
        <w:rPr>
          <w:szCs w:val="24"/>
          <w:u w:val="single"/>
        </w:rPr>
        <w:t>TCPA Response</w:t>
      </w:r>
      <w:r>
        <w:rPr>
          <w:szCs w:val="24"/>
        </w:rPr>
        <w:t xml:space="preserve">: </w:t>
      </w:r>
      <w:r w:rsidR="00CC4FBC">
        <w:rPr>
          <w:szCs w:val="24"/>
        </w:rPr>
        <w:t>Before changing course on prior policy decisions regarding DC ties, the Commission should conduct a comprehensive cost</w:t>
      </w:r>
      <w:r w:rsidR="005D1F2E">
        <w:rPr>
          <w:szCs w:val="24"/>
        </w:rPr>
        <w:t>-</w:t>
      </w:r>
      <w:r w:rsidR="00CC4FBC">
        <w:rPr>
          <w:szCs w:val="24"/>
        </w:rPr>
        <w:t xml:space="preserve">benefit study.  It is possible new ties could increase costs for consumers through export of low-cost energy </w:t>
      </w:r>
      <w:r w:rsidR="006E30AB">
        <w:rPr>
          <w:szCs w:val="24"/>
        </w:rPr>
        <w:t xml:space="preserve">while providing negligible benefits or even added costs </w:t>
      </w:r>
      <w:r w:rsidR="006B39D0">
        <w:rPr>
          <w:szCs w:val="24"/>
        </w:rPr>
        <w:t xml:space="preserve">resulting from </w:t>
      </w:r>
      <w:r w:rsidR="002162A4">
        <w:rPr>
          <w:szCs w:val="24"/>
        </w:rPr>
        <w:t>i</w:t>
      </w:r>
      <w:r w:rsidR="00CC4FBC">
        <w:rPr>
          <w:szCs w:val="24"/>
        </w:rPr>
        <w:t xml:space="preserve">nvestment in the transmission system </w:t>
      </w:r>
      <w:r w:rsidR="00FC66BF">
        <w:rPr>
          <w:szCs w:val="24"/>
        </w:rPr>
        <w:t>or through early retirement</w:t>
      </w:r>
      <w:r w:rsidR="00725D34">
        <w:rPr>
          <w:szCs w:val="24"/>
        </w:rPr>
        <w:t xml:space="preserve"> of</w:t>
      </w:r>
      <w:r w:rsidR="00FC66BF">
        <w:rPr>
          <w:szCs w:val="24"/>
        </w:rPr>
        <w:t xml:space="preserve"> </w:t>
      </w:r>
      <w:r w:rsidR="00725D34">
        <w:rPr>
          <w:szCs w:val="24"/>
        </w:rPr>
        <w:t>(or RMR status for) in-state dispatchable resources</w:t>
      </w:r>
      <w:r w:rsidR="00CC4FBC">
        <w:rPr>
          <w:szCs w:val="24"/>
        </w:rPr>
        <w:t>.</w:t>
      </w:r>
      <w:r w:rsidR="00002EDD">
        <w:rPr>
          <w:szCs w:val="24"/>
        </w:rPr>
        <w:t xml:space="preserve"> Importantly, the Commission </w:t>
      </w:r>
      <w:r w:rsidR="00002EDD">
        <w:rPr>
          <w:szCs w:val="24"/>
        </w:rPr>
        <w:lastRenderedPageBreak/>
        <w:t>has already addressed these issues in its order in the Southern Cross proceeding</w:t>
      </w:r>
      <w:r w:rsidR="009E5099">
        <w:rPr>
          <w:szCs w:val="24"/>
        </w:rPr>
        <w:t xml:space="preserve">, and net costs could be minimized/net benefits maximized by </w:t>
      </w:r>
      <w:r w:rsidR="00CC04EF">
        <w:rPr>
          <w:szCs w:val="24"/>
        </w:rPr>
        <w:t xml:space="preserve">ensuring that ERCOT curtail DC tie imports when those imports </w:t>
      </w:r>
      <w:r w:rsidR="00FB7497">
        <w:rPr>
          <w:szCs w:val="24"/>
        </w:rPr>
        <w:t>negatively impact in-ERCOT generation resources.</w:t>
      </w:r>
    </w:p>
    <w:p w14:paraId="5EE4F394" w14:textId="327650E0" w:rsidR="004F3B59" w:rsidRPr="004F3B59" w:rsidRDefault="004F3B59" w:rsidP="004F3B59">
      <w:pPr>
        <w:spacing w:after="160" w:line="256" w:lineRule="auto"/>
        <w:ind w:left="720"/>
        <w:rPr>
          <w:szCs w:val="24"/>
        </w:rPr>
      </w:pPr>
    </w:p>
    <w:p w14:paraId="5A51D104" w14:textId="23DB11BD" w:rsidR="00930DE0" w:rsidRPr="00CC4FBC" w:rsidRDefault="00930DE0" w:rsidP="00CC4FBC">
      <w:pPr>
        <w:pStyle w:val="ListParagraph"/>
        <w:numPr>
          <w:ilvl w:val="0"/>
          <w:numId w:val="32"/>
        </w:numPr>
        <w:spacing w:after="160" w:line="256" w:lineRule="auto"/>
        <w:rPr>
          <w:b/>
          <w:bCs/>
          <w:szCs w:val="24"/>
        </w:rPr>
      </w:pPr>
      <w:r w:rsidRPr="00CC4FBC">
        <w:rPr>
          <w:b/>
          <w:bCs/>
          <w:szCs w:val="24"/>
        </w:rPr>
        <w:t>Which additional obligations currently imposed on the Generation Resources within ERCOT should be required of DC ties before providing them the same planning assumptions and deliverability criteria?</w:t>
      </w:r>
    </w:p>
    <w:p w14:paraId="20136A20" w14:textId="77777777" w:rsidR="00CC4FBC" w:rsidRDefault="00CC4FBC" w:rsidP="00CC4FBC">
      <w:pPr>
        <w:pStyle w:val="ListParagraph"/>
        <w:spacing w:after="160" w:line="256" w:lineRule="auto"/>
        <w:ind w:left="1080"/>
        <w:rPr>
          <w:b/>
          <w:bCs/>
          <w:szCs w:val="24"/>
        </w:rPr>
      </w:pPr>
    </w:p>
    <w:p w14:paraId="433391BE" w14:textId="22FC68F9" w:rsidR="009479CA" w:rsidRDefault="006256A5" w:rsidP="002162A4">
      <w:pPr>
        <w:spacing w:line="480" w:lineRule="auto"/>
        <w:ind w:firstLine="360"/>
        <w:rPr>
          <w:szCs w:val="24"/>
        </w:rPr>
      </w:pPr>
      <w:r w:rsidRPr="002162A4">
        <w:rPr>
          <w:szCs w:val="24"/>
          <w:u w:val="single"/>
        </w:rPr>
        <w:t>TCPA Response</w:t>
      </w:r>
      <w:r>
        <w:rPr>
          <w:szCs w:val="24"/>
        </w:rPr>
        <w:t xml:space="preserve">: </w:t>
      </w:r>
      <w:r w:rsidR="00AE277B">
        <w:rPr>
          <w:szCs w:val="24"/>
        </w:rPr>
        <w:t xml:space="preserve">This question assumes that </w:t>
      </w:r>
      <w:r w:rsidR="00590E65">
        <w:rPr>
          <w:szCs w:val="24"/>
        </w:rPr>
        <w:t xml:space="preserve">applying the same planning assumptions and deliverability criteria </w:t>
      </w:r>
      <w:r w:rsidR="00712F31">
        <w:rPr>
          <w:szCs w:val="24"/>
        </w:rPr>
        <w:t xml:space="preserve">for generation resources and DC tie imports is technically feasible – but </w:t>
      </w:r>
      <w:r w:rsidR="00AF1241">
        <w:rPr>
          <w:szCs w:val="24"/>
        </w:rPr>
        <w:t xml:space="preserve">TCPA asserts that is a false premise. </w:t>
      </w:r>
      <w:r w:rsidR="00034C02">
        <w:rPr>
          <w:szCs w:val="24"/>
        </w:rPr>
        <w:t xml:space="preserve">There are </w:t>
      </w:r>
      <w:r w:rsidR="00040F7D">
        <w:rPr>
          <w:szCs w:val="24"/>
        </w:rPr>
        <w:t>numerous</w:t>
      </w:r>
      <w:r w:rsidR="007059CB">
        <w:rPr>
          <w:szCs w:val="24"/>
        </w:rPr>
        <w:t xml:space="preserve"> requirements and standards applicable to generation resources </w:t>
      </w:r>
      <w:r w:rsidR="00040F7D">
        <w:rPr>
          <w:szCs w:val="24"/>
        </w:rPr>
        <w:t>that</w:t>
      </w:r>
      <w:r w:rsidR="007059CB">
        <w:rPr>
          <w:szCs w:val="24"/>
        </w:rPr>
        <w:t xml:space="preserve"> </w:t>
      </w:r>
      <w:r w:rsidR="00040F7D">
        <w:rPr>
          <w:szCs w:val="24"/>
        </w:rPr>
        <w:t xml:space="preserve">do </w:t>
      </w:r>
      <w:r w:rsidR="007059CB">
        <w:rPr>
          <w:szCs w:val="24"/>
        </w:rPr>
        <w:t>not</w:t>
      </w:r>
      <w:r w:rsidR="00040F7D">
        <w:rPr>
          <w:szCs w:val="24"/>
        </w:rPr>
        <w:t xml:space="preserve"> apply to</w:t>
      </w:r>
      <w:r w:rsidR="007059CB">
        <w:rPr>
          <w:szCs w:val="24"/>
        </w:rPr>
        <w:t xml:space="preserve"> DC ties. </w:t>
      </w:r>
      <w:r w:rsidR="004442BF">
        <w:rPr>
          <w:szCs w:val="24"/>
        </w:rPr>
        <w:t xml:space="preserve">One of the </w:t>
      </w:r>
      <w:r w:rsidR="00065D5D">
        <w:rPr>
          <w:szCs w:val="24"/>
        </w:rPr>
        <w:t xml:space="preserve">most notable </w:t>
      </w:r>
      <w:r w:rsidR="004442BF">
        <w:rPr>
          <w:szCs w:val="24"/>
        </w:rPr>
        <w:t xml:space="preserve">ones is the ability for generation resources to be </w:t>
      </w:r>
      <w:r w:rsidR="00A1168B">
        <w:rPr>
          <w:szCs w:val="24"/>
        </w:rPr>
        <w:t xml:space="preserve">available to ERCOT even when uneconomic </w:t>
      </w:r>
      <w:r w:rsidR="00040F7D">
        <w:rPr>
          <w:szCs w:val="24"/>
        </w:rPr>
        <w:t xml:space="preserve">via </w:t>
      </w:r>
      <w:r w:rsidR="00A1168B">
        <w:rPr>
          <w:szCs w:val="24"/>
        </w:rPr>
        <w:t>R</w:t>
      </w:r>
      <w:r w:rsidR="00040F7D">
        <w:rPr>
          <w:szCs w:val="24"/>
        </w:rPr>
        <w:t xml:space="preserve">eliability </w:t>
      </w:r>
      <w:r w:rsidR="00A1168B">
        <w:rPr>
          <w:szCs w:val="24"/>
        </w:rPr>
        <w:t>U</w:t>
      </w:r>
      <w:r w:rsidR="00040F7D">
        <w:rPr>
          <w:szCs w:val="24"/>
        </w:rPr>
        <w:t xml:space="preserve">nit </w:t>
      </w:r>
      <w:r w:rsidR="00A1168B">
        <w:rPr>
          <w:szCs w:val="24"/>
        </w:rPr>
        <w:t>C</w:t>
      </w:r>
      <w:r w:rsidR="00040F7D">
        <w:rPr>
          <w:szCs w:val="24"/>
        </w:rPr>
        <w:t>ommitment (</w:t>
      </w:r>
      <w:r w:rsidR="005F4AC8">
        <w:rPr>
          <w:szCs w:val="24"/>
        </w:rPr>
        <w:t>RUC</w:t>
      </w:r>
      <w:r w:rsidR="00040F7D">
        <w:rPr>
          <w:szCs w:val="24"/>
        </w:rPr>
        <w:t>)</w:t>
      </w:r>
      <w:r w:rsidR="005F4AC8">
        <w:rPr>
          <w:szCs w:val="24"/>
        </w:rPr>
        <w:t xml:space="preserve"> </w:t>
      </w:r>
      <w:r w:rsidR="004442BF">
        <w:rPr>
          <w:szCs w:val="24"/>
        </w:rPr>
        <w:t>by ERCOT</w:t>
      </w:r>
      <w:r w:rsidR="00B73303">
        <w:rPr>
          <w:szCs w:val="24"/>
        </w:rPr>
        <w:t>.</w:t>
      </w:r>
      <w:r w:rsidR="00B73303" w:rsidDel="00B73303">
        <w:rPr>
          <w:szCs w:val="24"/>
        </w:rPr>
        <w:t xml:space="preserve"> </w:t>
      </w:r>
      <w:r w:rsidR="00B73303">
        <w:rPr>
          <w:szCs w:val="24"/>
        </w:rPr>
        <w:t>I</w:t>
      </w:r>
      <w:r w:rsidR="00295F26">
        <w:rPr>
          <w:szCs w:val="24"/>
        </w:rPr>
        <w:t xml:space="preserve">t </w:t>
      </w:r>
      <w:r w:rsidR="00BC524C">
        <w:rPr>
          <w:szCs w:val="24"/>
        </w:rPr>
        <w:t>is</w:t>
      </w:r>
      <w:r w:rsidR="005F4AC8">
        <w:rPr>
          <w:szCs w:val="24"/>
        </w:rPr>
        <w:t xml:space="preserve"> unlikely </w:t>
      </w:r>
      <w:r w:rsidR="004442BF">
        <w:rPr>
          <w:szCs w:val="24"/>
        </w:rPr>
        <w:t xml:space="preserve">that </w:t>
      </w:r>
      <w:r w:rsidR="005F4AC8">
        <w:rPr>
          <w:szCs w:val="24"/>
        </w:rPr>
        <w:t>DC ties</w:t>
      </w:r>
      <w:r w:rsidR="004442BF">
        <w:rPr>
          <w:szCs w:val="24"/>
        </w:rPr>
        <w:t xml:space="preserve"> could be subject to RUC </w:t>
      </w:r>
      <w:r w:rsidR="002766B8">
        <w:rPr>
          <w:szCs w:val="24"/>
        </w:rPr>
        <w:t>since</w:t>
      </w:r>
      <w:r w:rsidR="00295F26">
        <w:rPr>
          <w:szCs w:val="24"/>
        </w:rPr>
        <w:t xml:space="preserve"> DC ties resources are not currently dispatchable via SCED at all and</w:t>
      </w:r>
      <w:r w:rsidR="002766B8">
        <w:rPr>
          <w:szCs w:val="24"/>
        </w:rPr>
        <w:t xml:space="preserve"> </w:t>
      </w:r>
      <w:r w:rsidR="00850800">
        <w:rPr>
          <w:szCs w:val="24"/>
        </w:rPr>
        <w:t xml:space="preserve">doing so would be complicated by </w:t>
      </w:r>
      <w:r w:rsidR="002766B8">
        <w:rPr>
          <w:szCs w:val="24"/>
        </w:rPr>
        <w:t xml:space="preserve">coordination agreements between </w:t>
      </w:r>
      <w:r w:rsidR="00070455">
        <w:rPr>
          <w:szCs w:val="24"/>
        </w:rPr>
        <w:t xml:space="preserve">grid operators for the </w:t>
      </w:r>
      <w:r w:rsidR="00850800">
        <w:rPr>
          <w:szCs w:val="24"/>
        </w:rPr>
        <w:t xml:space="preserve">forced </w:t>
      </w:r>
      <w:r w:rsidR="00070455">
        <w:rPr>
          <w:szCs w:val="24"/>
        </w:rPr>
        <w:t xml:space="preserve">import of DC tie energy. </w:t>
      </w:r>
      <w:r w:rsidR="00A21528">
        <w:rPr>
          <w:szCs w:val="24"/>
        </w:rPr>
        <w:t>With that said, a</w:t>
      </w:r>
      <w:r w:rsidR="00DB0229">
        <w:rPr>
          <w:szCs w:val="24"/>
        </w:rPr>
        <w:t xml:space="preserve">dditional requirements on generation resources that should </w:t>
      </w:r>
      <w:r w:rsidR="006B1386">
        <w:rPr>
          <w:szCs w:val="24"/>
        </w:rPr>
        <w:t>apply</w:t>
      </w:r>
      <w:r w:rsidR="00DB0229">
        <w:rPr>
          <w:szCs w:val="24"/>
        </w:rPr>
        <w:t xml:space="preserve"> to DC tie</w:t>
      </w:r>
      <w:r w:rsidR="00893282">
        <w:rPr>
          <w:szCs w:val="24"/>
        </w:rPr>
        <w:t xml:space="preserve"> operators</w:t>
      </w:r>
      <w:r w:rsidR="00DB0229">
        <w:rPr>
          <w:szCs w:val="24"/>
        </w:rPr>
        <w:t xml:space="preserve"> if</w:t>
      </w:r>
      <w:r w:rsidR="0069118D">
        <w:rPr>
          <w:szCs w:val="24"/>
        </w:rPr>
        <w:t xml:space="preserve"> the Commission </w:t>
      </w:r>
      <w:r w:rsidR="006B1386">
        <w:rPr>
          <w:szCs w:val="24"/>
        </w:rPr>
        <w:t>decides to treat</w:t>
      </w:r>
      <w:r w:rsidR="00893282">
        <w:rPr>
          <w:szCs w:val="24"/>
        </w:rPr>
        <w:t xml:space="preserve"> </w:t>
      </w:r>
      <w:r w:rsidR="006B1386">
        <w:rPr>
          <w:szCs w:val="24"/>
        </w:rPr>
        <w:t>DC ties</w:t>
      </w:r>
      <w:r w:rsidR="00893282">
        <w:rPr>
          <w:szCs w:val="24"/>
        </w:rPr>
        <w:t xml:space="preserve"> like generation resources for planning purposes </w:t>
      </w:r>
      <w:r w:rsidR="00C56C03">
        <w:rPr>
          <w:szCs w:val="24"/>
        </w:rPr>
        <w:t xml:space="preserve">(assuming it is technically feasible to do so) </w:t>
      </w:r>
      <w:r w:rsidR="00DB0229">
        <w:rPr>
          <w:szCs w:val="24"/>
        </w:rPr>
        <w:t>include</w:t>
      </w:r>
      <w:r w:rsidR="00070455">
        <w:rPr>
          <w:szCs w:val="24"/>
        </w:rPr>
        <w:t xml:space="preserve"> </w:t>
      </w:r>
      <w:r w:rsidR="005F4AC8">
        <w:rPr>
          <w:szCs w:val="24"/>
        </w:rPr>
        <w:t xml:space="preserve">frequency and voltage ride-through requirements, </w:t>
      </w:r>
      <w:r w:rsidR="00953CC4">
        <w:rPr>
          <w:szCs w:val="24"/>
        </w:rPr>
        <w:t xml:space="preserve">inclusion </w:t>
      </w:r>
      <w:r w:rsidR="005F4AC8">
        <w:rPr>
          <w:szCs w:val="24"/>
        </w:rPr>
        <w:t>in inertia</w:t>
      </w:r>
      <w:r w:rsidR="006B1386">
        <w:rPr>
          <w:szCs w:val="24"/>
        </w:rPr>
        <w:t xml:space="preserve"> and</w:t>
      </w:r>
      <w:r w:rsidR="005F4AC8">
        <w:rPr>
          <w:szCs w:val="24"/>
        </w:rPr>
        <w:t xml:space="preserve"> stability studies to determine</w:t>
      </w:r>
      <w:r w:rsidR="0059279E">
        <w:rPr>
          <w:szCs w:val="24"/>
        </w:rPr>
        <w:t xml:space="preserve"> whether</w:t>
      </w:r>
      <w:r w:rsidR="005F4AC8">
        <w:rPr>
          <w:szCs w:val="24"/>
        </w:rPr>
        <w:t xml:space="preserve"> </w:t>
      </w:r>
      <w:r w:rsidR="0059279E">
        <w:rPr>
          <w:szCs w:val="24"/>
        </w:rPr>
        <w:t xml:space="preserve">additional </w:t>
      </w:r>
      <w:r w:rsidR="005F4AC8">
        <w:rPr>
          <w:szCs w:val="24"/>
        </w:rPr>
        <w:t xml:space="preserve">responsive reserves need to be procured </w:t>
      </w:r>
      <w:r w:rsidR="00953CC4">
        <w:rPr>
          <w:szCs w:val="24"/>
        </w:rPr>
        <w:t xml:space="preserve">to protect the system from a full loss </w:t>
      </w:r>
      <w:r w:rsidR="005F4AC8">
        <w:rPr>
          <w:szCs w:val="24"/>
        </w:rPr>
        <w:t>(</w:t>
      </w:r>
      <w:r w:rsidR="0059279E">
        <w:rPr>
          <w:szCs w:val="24"/>
        </w:rPr>
        <w:t xml:space="preserve">i.e., </w:t>
      </w:r>
      <w:r w:rsidR="005F4AC8">
        <w:rPr>
          <w:szCs w:val="24"/>
        </w:rPr>
        <w:t xml:space="preserve">if </w:t>
      </w:r>
      <w:r w:rsidR="00070455">
        <w:rPr>
          <w:szCs w:val="24"/>
        </w:rPr>
        <w:t xml:space="preserve">the tie is </w:t>
      </w:r>
      <w:r w:rsidR="005F4AC8">
        <w:rPr>
          <w:szCs w:val="24"/>
        </w:rPr>
        <w:t xml:space="preserve">big enough, the </w:t>
      </w:r>
      <w:r w:rsidR="00543510">
        <w:rPr>
          <w:szCs w:val="24"/>
        </w:rPr>
        <w:t xml:space="preserve">greatest single contingency </w:t>
      </w:r>
      <w:r w:rsidR="005F4AC8">
        <w:rPr>
          <w:szCs w:val="24"/>
        </w:rPr>
        <w:t xml:space="preserve">could be the tie), </w:t>
      </w:r>
      <w:r w:rsidR="00DB0229">
        <w:rPr>
          <w:szCs w:val="24"/>
        </w:rPr>
        <w:t xml:space="preserve">and </w:t>
      </w:r>
      <w:r w:rsidR="005F4AC8">
        <w:rPr>
          <w:szCs w:val="24"/>
        </w:rPr>
        <w:t>weatherization standards</w:t>
      </w:r>
      <w:r w:rsidR="00DB0229">
        <w:rPr>
          <w:szCs w:val="24"/>
        </w:rPr>
        <w:t xml:space="preserve">. </w:t>
      </w:r>
      <w:r w:rsidR="008E65F3">
        <w:rPr>
          <w:szCs w:val="24"/>
        </w:rPr>
        <w:t>T</w:t>
      </w:r>
      <w:r w:rsidR="00583B75">
        <w:rPr>
          <w:szCs w:val="24"/>
        </w:rPr>
        <w:t>o the extent that the neighboring ISO has different standards, the t</w:t>
      </w:r>
      <w:r w:rsidR="008E65F3">
        <w:rPr>
          <w:szCs w:val="24"/>
        </w:rPr>
        <w:t xml:space="preserve">ies should be required to meet the ERCOT standards if they are more stringent than the other area in which they operate to ensure ERCOT consumers </w:t>
      </w:r>
      <w:r w:rsidR="00A47AF8">
        <w:rPr>
          <w:szCs w:val="24"/>
        </w:rPr>
        <w:t>are protected.</w:t>
      </w:r>
      <w:r w:rsidR="005F4AC8">
        <w:rPr>
          <w:szCs w:val="24"/>
        </w:rPr>
        <w:t xml:space="preserve"> </w:t>
      </w:r>
      <w:r w:rsidR="009479CA">
        <w:rPr>
          <w:szCs w:val="24"/>
        </w:rPr>
        <w:t xml:space="preserve">In addition, the Southern Cross directives regarding ramp rates, </w:t>
      </w:r>
      <w:r w:rsidR="004065E2">
        <w:rPr>
          <w:szCs w:val="24"/>
        </w:rPr>
        <w:t>ancillary service (</w:t>
      </w:r>
      <w:r w:rsidR="009479CA">
        <w:rPr>
          <w:szCs w:val="24"/>
        </w:rPr>
        <w:t>AS</w:t>
      </w:r>
      <w:r w:rsidR="004065E2">
        <w:rPr>
          <w:szCs w:val="24"/>
        </w:rPr>
        <w:t>)</w:t>
      </w:r>
      <w:r w:rsidR="009479CA">
        <w:rPr>
          <w:szCs w:val="24"/>
        </w:rPr>
        <w:t xml:space="preserve"> </w:t>
      </w:r>
      <w:r w:rsidR="009479CA">
        <w:rPr>
          <w:szCs w:val="24"/>
        </w:rPr>
        <w:lastRenderedPageBreak/>
        <w:t>cost assignment, primary frequency response</w:t>
      </w:r>
      <w:r w:rsidR="004065E2">
        <w:rPr>
          <w:szCs w:val="24"/>
        </w:rPr>
        <w:t>,</w:t>
      </w:r>
      <w:r w:rsidR="009479CA">
        <w:rPr>
          <w:szCs w:val="24"/>
        </w:rPr>
        <w:t xml:space="preserve"> voltage support, and the many </w:t>
      </w:r>
      <w:r w:rsidR="00E16042">
        <w:rPr>
          <w:szCs w:val="24"/>
        </w:rPr>
        <w:t xml:space="preserve">other </w:t>
      </w:r>
      <w:r w:rsidR="009479CA">
        <w:rPr>
          <w:szCs w:val="24"/>
        </w:rPr>
        <w:t>aspects thoroughly vetted and approved by stakeholders, ERCOT</w:t>
      </w:r>
      <w:r w:rsidR="00E16042">
        <w:rPr>
          <w:szCs w:val="24"/>
        </w:rPr>
        <w:t>,</w:t>
      </w:r>
      <w:r w:rsidR="009479CA">
        <w:rPr>
          <w:szCs w:val="24"/>
        </w:rPr>
        <w:t xml:space="preserve"> and the Commission should also be fully applicable to any new DC tie.</w:t>
      </w:r>
    </w:p>
    <w:p w14:paraId="6122FF6C" w14:textId="0EF15153" w:rsidR="005F4AC8" w:rsidRDefault="00AF1241" w:rsidP="002162A4">
      <w:pPr>
        <w:spacing w:line="480" w:lineRule="auto"/>
        <w:ind w:firstLine="360"/>
        <w:rPr>
          <w:szCs w:val="24"/>
        </w:rPr>
      </w:pPr>
      <w:r>
        <w:rPr>
          <w:szCs w:val="24"/>
        </w:rPr>
        <w:t>C</w:t>
      </w:r>
      <w:r w:rsidR="00A47AF8">
        <w:rPr>
          <w:szCs w:val="24"/>
        </w:rPr>
        <w:t>ontribution</w:t>
      </w:r>
      <w:r>
        <w:rPr>
          <w:szCs w:val="24"/>
        </w:rPr>
        <w:t>s</w:t>
      </w:r>
      <w:r w:rsidR="00887EEB">
        <w:rPr>
          <w:szCs w:val="24"/>
        </w:rPr>
        <w:t xml:space="preserve"> to Texas’ public interest</w:t>
      </w:r>
      <w:r w:rsidR="00A47AF8">
        <w:rPr>
          <w:szCs w:val="24"/>
        </w:rPr>
        <w:t xml:space="preserve"> </w:t>
      </w:r>
      <w:r w:rsidR="0083134C">
        <w:rPr>
          <w:szCs w:val="24"/>
        </w:rPr>
        <w:t xml:space="preserve">that </w:t>
      </w:r>
      <w:r w:rsidR="00A47AF8">
        <w:rPr>
          <w:szCs w:val="24"/>
        </w:rPr>
        <w:t>generation resources</w:t>
      </w:r>
      <w:r w:rsidR="0083134C">
        <w:rPr>
          <w:szCs w:val="24"/>
        </w:rPr>
        <w:t xml:space="preserve"> in ERCOT</w:t>
      </w:r>
      <w:r w:rsidR="00A47AF8">
        <w:rPr>
          <w:szCs w:val="24"/>
        </w:rPr>
        <w:t xml:space="preserve"> provide include j</w:t>
      </w:r>
      <w:r w:rsidR="005F4AC8">
        <w:rPr>
          <w:szCs w:val="24"/>
        </w:rPr>
        <w:t>obs, tax-base</w:t>
      </w:r>
      <w:r w:rsidR="0083134C">
        <w:rPr>
          <w:szCs w:val="24"/>
        </w:rPr>
        <w:t xml:space="preserve"> growth</w:t>
      </w:r>
      <w:r w:rsidR="005F4AC8">
        <w:rPr>
          <w:szCs w:val="24"/>
        </w:rPr>
        <w:t xml:space="preserve">, </w:t>
      </w:r>
      <w:r w:rsidR="00A47AF8">
        <w:rPr>
          <w:szCs w:val="24"/>
        </w:rPr>
        <w:t>and</w:t>
      </w:r>
      <w:r w:rsidR="00360E60">
        <w:rPr>
          <w:szCs w:val="24"/>
        </w:rPr>
        <w:t xml:space="preserve"> the ability for ERCOT to dispatch those resources when needed for reliability. These are all </w:t>
      </w:r>
      <w:r w:rsidR="00A47AF8">
        <w:rPr>
          <w:szCs w:val="24"/>
        </w:rPr>
        <w:t xml:space="preserve">important </w:t>
      </w:r>
      <w:r w:rsidR="005F4AC8">
        <w:rPr>
          <w:szCs w:val="24"/>
        </w:rPr>
        <w:t xml:space="preserve">reasons to prioritize in-ERCOT resources instead of </w:t>
      </w:r>
      <w:r w:rsidR="00360E60">
        <w:rPr>
          <w:szCs w:val="24"/>
        </w:rPr>
        <w:t>resources</w:t>
      </w:r>
      <w:r w:rsidR="005F4AC8">
        <w:rPr>
          <w:szCs w:val="24"/>
        </w:rPr>
        <w:t xml:space="preserve"> </w:t>
      </w:r>
      <w:r w:rsidR="00213221">
        <w:rPr>
          <w:szCs w:val="24"/>
        </w:rPr>
        <w:t>shared with</w:t>
      </w:r>
      <w:r w:rsidR="005F4AC8">
        <w:rPr>
          <w:szCs w:val="24"/>
        </w:rPr>
        <w:t xml:space="preserve"> other grids</w:t>
      </w:r>
      <w:r w:rsidR="00A47AF8">
        <w:rPr>
          <w:szCs w:val="24"/>
        </w:rPr>
        <w:t>.</w:t>
      </w:r>
    </w:p>
    <w:p w14:paraId="0FCC7F04" w14:textId="0CC2AEFB" w:rsidR="00930DE0" w:rsidRPr="00191CA5" w:rsidRDefault="00930DE0" w:rsidP="00191CA5">
      <w:pPr>
        <w:pStyle w:val="ListParagraph"/>
        <w:numPr>
          <w:ilvl w:val="0"/>
          <w:numId w:val="32"/>
        </w:numPr>
        <w:spacing w:after="160" w:line="256" w:lineRule="auto"/>
        <w:rPr>
          <w:b/>
          <w:bCs/>
          <w:szCs w:val="24"/>
        </w:rPr>
      </w:pPr>
      <w:r w:rsidRPr="00191CA5">
        <w:rPr>
          <w:b/>
          <w:bCs/>
          <w:szCs w:val="24"/>
        </w:rPr>
        <w:t>How should deliverability criteria for the existing DC tie interconnections to ERCOT with neighboring grids be accounted for in the transmission planning considerations?</w:t>
      </w:r>
    </w:p>
    <w:p w14:paraId="333179E5" w14:textId="77777777" w:rsidR="00930DE0" w:rsidRDefault="00930DE0" w:rsidP="00930DE0">
      <w:pPr>
        <w:spacing w:after="160" w:line="256" w:lineRule="auto"/>
        <w:ind w:left="720"/>
        <w:rPr>
          <w:b/>
          <w:bCs/>
          <w:szCs w:val="24"/>
        </w:rPr>
      </w:pPr>
      <w:r w:rsidRPr="00930DE0">
        <w:rPr>
          <w:b/>
          <w:bCs/>
          <w:szCs w:val="24"/>
        </w:rPr>
        <w:t>a.</w:t>
      </w:r>
      <w:r w:rsidRPr="00930DE0">
        <w:rPr>
          <w:b/>
          <w:bCs/>
          <w:szCs w:val="24"/>
        </w:rPr>
        <w:tab/>
        <w:t>Should it be dependent on the partnering Balancing Authority or Independent System Operator or other power regions on the other side of the DC tie?</w:t>
      </w:r>
    </w:p>
    <w:p w14:paraId="397C17D0" w14:textId="01E19E2D" w:rsidR="006A0266" w:rsidRDefault="006A0266" w:rsidP="006A0266">
      <w:pPr>
        <w:spacing w:line="480" w:lineRule="auto"/>
        <w:ind w:firstLine="360"/>
        <w:rPr>
          <w:szCs w:val="24"/>
        </w:rPr>
      </w:pPr>
      <w:r w:rsidRPr="002162A4">
        <w:rPr>
          <w:szCs w:val="24"/>
          <w:u w:val="single"/>
        </w:rPr>
        <w:t>TCPA Response</w:t>
      </w:r>
      <w:r>
        <w:rPr>
          <w:szCs w:val="24"/>
        </w:rPr>
        <w:t xml:space="preserve">: </w:t>
      </w:r>
      <w:r w:rsidR="003D6544">
        <w:rPr>
          <w:szCs w:val="24"/>
        </w:rPr>
        <w:t>The Commission has already endorsed d</w:t>
      </w:r>
      <w:r>
        <w:rPr>
          <w:szCs w:val="24"/>
        </w:rPr>
        <w:t xml:space="preserve">eliverability </w:t>
      </w:r>
      <w:r w:rsidR="003D6544">
        <w:rPr>
          <w:szCs w:val="24"/>
        </w:rPr>
        <w:t xml:space="preserve">criteria in </w:t>
      </w:r>
      <w:r>
        <w:rPr>
          <w:szCs w:val="24"/>
        </w:rPr>
        <w:t xml:space="preserve">Southern Cross Directive </w:t>
      </w:r>
      <w:r w:rsidR="003D6544">
        <w:rPr>
          <w:szCs w:val="24"/>
        </w:rPr>
        <w:t>6</w:t>
      </w:r>
      <w:r>
        <w:rPr>
          <w:szCs w:val="24"/>
        </w:rPr>
        <w:t>.</w:t>
      </w:r>
      <w:r>
        <w:rPr>
          <w:rStyle w:val="FootnoteReference"/>
          <w:szCs w:val="24"/>
        </w:rPr>
        <w:footnoteReference w:id="23"/>
      </w:r>
      <w:r w:rsidR="00CC4E27">
        <w:rPr>
          <w:szCs w:val="24"/>
        </w:rPr>
        <w:t xml:space="preserve"> The Commission should ensure that ERCOT operations are aligned with ERCOT’s planning </w:t>
      </w:r>
      <w:proofErr w:type="gramStart"/>
      <w:r w:rsidR="00CC4E27">
        <w:rPr>
          <w:szCs w:val="24"/>
        </w:rPr>
        <w:t>posture, and</w:t>
      </w:r>
      <w:proofErr w:type="gramEnd"/>
      <w:r w:rsidR="00CC4E27">
        <w:rPr>
          <w:szCs w:val="24"/>
        </w:rPr>
        <w:t xml:space="preserve"> require curtailment of DC ties when they would </w:t>
      </w:r>
      <w:r w:rsidR="00177690">
        <w:rPr>
          <w:szCs w:val="24"/>
        </w:rPr>
        <w:t xml:space="preserve">create congestion to the detriment of in-ERCOT resources. </w:t>
      </w:r>
    </w:p>
    <w:p w14:paraId="2F3F7748" w14:textId="77777777" w:rsidR="006A0266" w:rsidRPr="00930DE0" w:rsidRDefault="006A0266" w:rsidP="00930DE0">
      <w:pPr>
        <w:spacing w:after="160" w:line="256" w:lineRule="auto"/>
        <w:ind w:left="720"/>
        <w:rPr>
          <w:b/>
          <w:bCs/>
          <w:szCs w:val="24"/>
        </w:rPr>
      </w:pPr>
    </w:p>
    <w:p w14:paraId="0C1E1DF0" w14:textId="77777777" w:rsidR="00930DE0" w:rsidRPr="00930DE0" w:rsidRDefault="00930DE0" w:rsidP="00930DE0">
      <w:pPr>
        <w:spacing w:after="160" w:line="256" w:lineRule="auto"/>
        <w:rPr>
          <w:b/>
          <w:bCs/>
          <w:szCs w:val="24"/>
        </w:rPr>
      </w:pPr>
      <w:r w:rsidRPr="00930DE0">
        <w:rPr>
          <w:b/>
          <w:bCs/>
          <w:szCs w:val="24"/>
        </w:rPr>
        <w:t>6.</w:t>
      </w:r>
      <w:r w:rsidRPr="00930DE0">
        <w:rPr>
          <w:b/>
          <w:bCs/>
          <w:szCs w:val="24"/>
        </w:rPr>
        <w:tab/>
        <w:t>How should deliverability criteria of future DC tie interconnections to ERCOT with neighboring grids be accounted for in the transmission planning considerations?</w:t>
      </w:r>
    </w:p>
    <w:p w14:paraId="7A6F2832" w14:textId="77777777" w:rsidR="00930DE0" w:rsidRPr="00930DE0" w:rsidRDefault="00930DE0" w:rsidP="00930DE0">
      <w:pPr>
        <w:spacing w:after="160" w:line="256" w:lineRule="auto"/>
        <w:ind w:left="720"/>
        <w:rPr>
          <w:b/>
          <w:bCs/>
          <w:szCs w:val="24"/>
        </w:rPr>
      </w:pPr>
      <w:r w:rsidRPr="00930DE0">
        <w:rPr>
          <w:b/>
          <w:bCs/>
          <w:szCs w:val="24"/>
        </w:rPr>
        <w:t>a.</w:t>
      </w:r>
      <w:r w:rsidRPr="00930DE0">
        <w:rPr>
          <w:b/>
          <w:bCs/>
          <w:szCs w:val="24"/>
        </w:rPr>
        <w:tab/>
        <w:t>Should deliverability criteria consider how future DC tie interconnections are dispatched (SCED vs e-tags)?</w:t>
      </w:r>
    </w:p>
    <w:p w14:paraId="15660638" w14:textId="77777777" w:rsidR="00930DE0" w:rsidRPr="00930DE0" w:rsidRDefault="00930DE0" w:rsidP="00930DE0">
      <w:pPr>
        <w:spacing w:after="160" w:line="256" w:lineRule="auto"/>
        <w:ind w:left="720"/>
        <w:rPr>
          <w:b/>
          <w:bCs/>
          <w:szCs w:val="24"/>
        </w:rPr>
      </w:pPr>
      <w:r w:rsidRPr="00930DE0">
        <w:rPr>
          <w:b/>
          <w:bCs/>
          <w:szCs w:val="24"/>
        </w:rPr>
        <w:t>b.</w:t>
      </w:r>
      <w:r w:rsidRPr="00930DE0">
        <w:rPr>
          <w:b/>
          <w:bCs/>
          <w:szCs w:val="24"/>
        </w:rPr>
        <w:tab/>
        <w:t xml:space="preserve">Should the deliverability criteria consider </w:t>
      </w:r>
      <w:proofErr w:type="gramStart"/>
      <w:r w:rsidRPr="00930DE0">
        <w:rPr>
          <w:b/>
          <w:bCs/>
          <w:szCs w:val="24"/>
        </w:rPr>
        <w:t>existence</w:t>
      </w:r>
      <w:proofErr w:type="gramEnd"/>
      <w:r w:rsidRPr="00930DE0">
        <w:rPr>
          <w:b/>
          <w:bCs/>
          <w:szCs w:val="24"/>
        </w:rPr>
        <w:t xml:space="preserve"> (or absence) of an interconnection agreement between power regions?</w:t>
      </w:r>
    </w:p>
    <w:p w14:paraId="06095628" w14:textId="77777777" w:rsidR="00930DE0" w:rsidRDefault="00930DE0" w:rsidP="00930DE0">
      <w:pPr>
        <w:spacing w:after="160" w:line="256" w:lineRule="auto"/>
        <w:ind w:left="720"/>
        <w:rPr>
          <w:b/>
          <w:bCs/>
          <w:szCs w:val="24"/>
        </w:rPr>
      </w:pPr>
      <w:r w:rsidRPr="00930DE0">
        <w:rPr>
          <w:b/>
          <w:bCs/>
          <w:szCs w:val="24"/>
        </w:rPr>
        <w:t>c.</w:t>
      </w:r>
      <w:r w:rsidRPr="00930DE0">
        <w:rPr>
          <w:b/>
          <w:bCs/>
          <w:szCs w:val="24"/>
        </w:rPr>
        <w:tab/>
        <w:t>Should it be dependent on the partnering Balancing Authority or Independent System Operator or other power regions on the other side of the DC tie?</w:t>
      </w:r>
    </w:p>
    <w:p w14:paraId="5E5ADE54" w14:textId="427FC34F" w:rsidR="00837CC9" w:rsidRPr="007B63F5" w:rsidRDefault="00837CC9" w:rsidP="002162A4">
      <w:pPr>
        <w:spacing w:line="480" w:lineRule="auto"/>
        <w:ind w:firstLine="360"/>
        <w:rPr>
          <w:szCs w:val="24"/>
        </w:rPr>
      </w:pPr>
      <w:r w:rsidRPr="002162A4">
        <w:rPr>
          <w:szCs w:val="24"/>
          <w:u w:val="single"/>
        </w:rPr>
        <w:lastRenderedPageBreak/>
        <w:t>TCPA Response</w:t>
      </w:r>
      <w:r>
        <w:rPr>
          <w:szCs w:val="24"/>
        </w:rPr>
        <w:t xml:space="preserve">: </w:t>
      </w:r>
      <w:r w:rsidR="007B5D21">
        <w:rPr>
          <w:szCs w:val="24"/>
        </w:rPr>
        <w:t xml:space="preserve">It should be </w:t>
      </w:r>
      <w:r w:rsidR="00B95B7A">
        <w:rPr>
          <w:szCs w:val="24"/>
        </w:rPr>
        <w:t xml:space="preserve">consistent with the </w:t>
      </w:r>
      <w:r w:rsidR="00927B11">
        <w:rPr>
          <w:szCs w:val="24"/>
        </w:rPr>
        <w:t xml:space="preserve">Commission’s prior policy determinations in the Southern Cross order and </w:t>
      </w:r>
      <w:r w:rsidR="00AF050B">
        <w:rPr>
          <w:szCs w:val="24"/>
        </w:rPr>
        <w:t xml:space="preserve">reiterated in the </w:t>
      </w:r>
      <w:r w:rsidR="00B95B7A">
        <w:rPr>
          <w:szCs w:val="24"/>
        </w:rPr>
        <w:t>Southern Cross Directive</w:t>
      </w:r>
      <w:r w:rsidR="00AF050B">
        <w:rPr>
          <w:szCs w:val="24"/>
        </w:rPr>
        <w:t>s</w:t>
      </w:r>
      <w:r>
        <w:rPr>
          <w:szCs w:val="24"/>
        </w:rPr>
        <w:t>.</w:t>
      </w:r>
      <w:r w:rsidR="00B95B7A">
        <w:rPr>
          <w:rStyle w:val="FootnoteReference"/>
          <w:szCs w:val="24"/>
        </w:rPr>
        <w:footnoteReference w:id="24"/>
      </w:r>
    </w:p>
    <w:p w14:paraId="2F3AFEC5" w14:textId="77777777" w:rsidR="00930DE0" w:rsidRPr="00930DE0" w:rsidRDefault="00930DE0" w:rsidP="00930DE0">
      <w:pPr>
        <w:spacing w:after="160" w:line="256" w:lineRule="auto"/>
        <w:rPr>
          <w:b/>
          <w:bCs/>
          <w:szCs w:val="24"/>
        </w:rPr>
      </w:pPr>
      <w:r w:rsidRPr="00930DE0">
        <w:rPr>
          <w:b/>
          <w:bCs/>
          <w:szCs w:val="24"/>
        </w:rPr>
        <w:t>7.</w:t>
      </w:r>
      <w:r w:rsidRPr="00930DE0">
        <w:rPr>
          <w:b/>
          <w:bCs/>
          <w:szCs w:val="24"/>
        </w:rPr>
        <w:tab/>
        <w:t>What are the secondary impacts of changing the planning assumptions and minimum deliverability criteria of DC ties? For example, would it impact Steady State Working Group models, or other protocols or processes?</w:t>
      </w:r>
    </w:p>
    <w:p w14:paraId="054C94ED" w14:textId="77777777" w:rsidR="00930DE0" w:rsidRDefault="00930DE0" w:rsidP="00930DE0">
      <w:pPr>
        <w:spacing w:after="160" w:line="256" w:lineRule="auto"/>
        <w:rPr>
          <w:b/>
          <w:bCs/>
          <w:szCs w:val="24"/>
        </w:rPr>
      </w:pPr>
      <w:r w:rsidRPr="00930DE0">
        <w:rPr>
          <w:b/>
          <w:bCs/>
          <w:szCs w:val="24"/>
        </w:rPr>
        <w:t>8.</w:t>
      </w:r>
      <w:r w:rsidRPr="00930DE0">
        <w:rPr>
          <w:b/>
          <w:bCs/>
          <w:szCs w:val="24"/>
        </w:rPr>
        <w:tab/>
        <w:t>How should the Commission address transmission cost recovery and cost allocation with changes in DC tie import policies?</w:t>
      </w:r>
    </w:p>
    <w:p w14:paraId="625FDC5D" w14:textId="4183A596" w:rsidR="008B58DE" w:rsidRDefault="008B58DE" w:rsidP="002162A4">
      <w:pPr>
        <w:spacing w:line="480" w:lineRule="auto"/>
        <w:ind w:firstLine="360"/>
        <w:rPr>
          <w:szCs w:val="24"/>
        </w:rPr>
      </w:pPr>
      <w:r w:rsidRPr="002162A4">
        <w:rPr>
          <w:szCs w:val="24"/>
          <w:u w:val="single"/>
        </w:rPr>
        <w:t>TCPA Response</w:t>
      </w:r>
      <w:r>
        <w:rPr>
          <w:szCs w:val="24"/>
        </w:rPr>
        <w:t xml:space="preserve">: </w:t>
      </w:r>
      <w:r w:rsidR="00B95B7A">
        <w:rPr>
          <w:szCs w:val="24"/>
        </w:rPr>
        <w:t xml:space="preserve">The PUC’s </w:t>
      </w:r>
      <w:r w:rsidR="009D705F">
        <w:rPr>
          <w:szCs w:val="24"/>
        </w:rPr>
        <w:t xml:space="preserve">Southern Cross </w:t>
      </w:r>
      <w:r>
        <w:rPr>
          <w:szCs w:val="24"/>
        </w:rPr>
        <w:t>order is direct in allocating costs to the DC tie</w:t>
      </w:r>
      <w:r w:rsidR="00896ACB">
        <w:rPr>
          <w:szCs w:val="24"/>
        </w:rPr>
        <w:t xml:space="preserve"> owner</w:t>
      </w:r>
      <w:r w:rsidR="00B95B7A">
        <w:rPr>
          <w:szCs w:val="24"/>
        </w:rPr>
        <w:t>, and that should remain the Commission’s policy</w:t>
      </w:r>
      <w:r>
        <w:rPr>
          <w:szCs w:val="24"/>
        </w:rPr>
        <w:t xml:space="preserve">. </w:t>
      </w:r>
      <w:r w:rsidR="00B81FB3">
        <w:rPr>
          <w:szCs w:val="24"/>
        </w:rPr>
        <w:t xml:space="preserve">If that policy were to be </w:t>
      </w:r>
      <w:r w:rsidR="00896ACB">
        <w:rPr>
          <w:szCs w:val="24"/>
        </w:rPr>
        <w:t>changed</w:t>
      </w:r>
      <w:r w:rsidR="00B81FB3">
        <w:rPr>
          <w:szCs w:val="24"/>
        </w:rPr>
        <w:t>, it would</w:t>
      </w:r>
      <w:r>
        <w:rPr>
          <w:szCs w:val="24"/>
        </w:rPr>
        <w:t xml:space="preserve"> increase </w:t>
      </w:r>
      <w:r w:rsidR="006337ED">
        <w:rPr>
          <w:szCs w:val="24"/>
        </w:rPr>
        <w:t xml:space="preserve">regulatory </w:t>
      </w:r>
      <w:r>
        <w:rPr>
          <w:szCs w:val="24"/>
        </w:rPr>
        <w:t xml:space="preserve">uncertainty </w:t>
      </w:r>
      <w:r w:rsidR="00B95B7A">
        <w:rPr>
          <w:szCs w:val="24"/>
        </w:rPr>
        <w:t xml:space="preserve">at a time </w:t>
      </w:r>
      <w:r>
        <w:rPr>
          <w:szCs w:val="24"/>
        </w:rPr>
        <w:t xml:space="preserve">when regulatory certainty is </w:t>
      </w:r>
      <w:r w:rsidR="00B95B7A">
        <w:rPr>
          <w:szCs w:val="24"/>
        </w:rPr>
        <w:t>critically</w:t>
      </w:r>
      <w:r>
        <w:rPr>
          <w:szCs w:val="24"/>
        </w:rPr>
        <w:t xml:space="preserve"> needed. </w:t>
      </w:r>
      <w:r w:rsidR="00593C4A">
        <w:rPr>
          <w:szCs w:val="24"/>
        </w:rPr>
        <w:t xml:space="preserve">Therefore, if the </w:t>
      </w:r>
      <w:r w:rsidR="009A746E">
        <w:rPr>
          <w:szCs w:val="24"/>
        </w:rPr>
        <w:t xml:space="preserve">DC tie import deliverability criteria for transmission planning are changed, as proposed in PGRR105, then those costs should be assigned to the DC tie owners, consistent with the existing Commission precedent. </w:t>
      </w:r>
      <w:r w:rsidR="00B95B7A">
        <w:rPr>
          <w:szCs w:val="24"/>
        </w:rPr>
        <w:t>Additionall</w:t>
      </w:r>
      <w:r w:rsidR="007053CA">
        <w:rPr>
          <w:szCs w:val="24"/>
        </w:rPr>
        <w:t>y, the p</w:t>
      </w:r>
      <w:r>
        <w:rPr>
          <w:szCs w:val="24"/>
        </w:rPr>
        <w:t>ublic has been told in recent media articles that the public will not pay for the DC ties</w:t>
      </w:r>
      <w:r w:rsidR="007053CA">
        <w:rPr>
          <w:szCs w:val="24"/>
        </w:rPr>
        <w:t xml:space="preserve"> so to allocate costs to consumers now would erode the public’s trust and confidence </w:t>
      </w:r>
      <w:r w:rsidR="00A75951">
        <w:rPr>
          <w:szCs w:val="24"/>
        </w:rPr>
        <w:t>regarding regulation of the ERCOT grid</w:t>
      </w:r>
      <w:r>
        <w:rPr>
          <w:szCs w:val="24"/>
        </w:rPr>
        <w:t>.</w:t>
      </w:r>
      <w:r w:rsidR="00A75951">
        <w:rPr>
          <w:rStyle w:val="FootnoteReference"/>
          <w:szCs w:val="24"/>
        </w:rPr>
        <w:footnoteReference w:id="25"/>
      </w:r>
      <w:r>
        <w:rPr>
          <w:szCs w:val="24"/>
        </w:rPr>
        <w:t xml:space="preserve"> </w:t>
      </w:r>
    </w:p>
    <w:p w14:paraId="64233288" w14:textId="068A35CC" w:rsidR="00474F4C" w:rsidRPr="002162A4" w:rsidRDefault="00474F4C" w:rsidP="0073492A">
      <w:pPr>
        <w:spacing w:line="480" w:lineRule="auto"/>
        <w:ind w:firstLine="360"/>
        <w:jc w:val="center"/>
        <w:rPr>
          <w:b/>
          <w:bCs/>
          <w:szCs w:val="24"/>
        </w:rPr>
      </w:pPr>
      <w:r w:rsidRPr="002162A4">
        <w:rPr>
          <w:b/>
          <w:bCs/>
          <w:szCs w:val="24"/>
        </w:rPr>
        <w:t>CONCLUSION</w:t>
      </w:r>
    </w:p>
    <w:p w14:paraId="04497120" w14:textId="2B3F91BC" w:rsidR="008E7489" w:rsidRPr="0073492A" w:rsidRDefault="008E7489" w:rsidP="0073492A">
      <w:pPr>
        <w:spacing w:line="480" w:lineRule="auto"/>
        <w:ind w:firstLine="360"/>
        <w:rPr>
          <w:szCs w:val="24"/>
        </w:rPr>
      </w:pPr>
      <w:r w:rsidRPr="0073492A">
        <w:rPr>
          <w:szCs w:val="24"/>
        </w:rPr>
        <w:tab/>
        <w:t xml:space="preserve">TCPA appreciates the </w:t>
      </w:r>
      <w:r w:rsidR="00FE41D9" w:rsidRPr="0073492A">
        <w:rPr>
          <w:szCs w:val="24"/>
        </w:rPr>
        <w:t>opport</w:t>
      </w:r>
      <w:r w:rsidR="00946454" w:rsidRPr="0073492A">
        <w:rPr>
          <w:szCs w:val="24"/>
        </w:rPr>
        <w:t>unity</w:t>
      </w:r>
      <w:r w:rsidR="00BE0492" w:rsidRPr="0073492A">
        <w:rPr>
          <w:szCs w:val="24"/>
        </w:rPr>
        <w:t xml:space="preserve"> to provide comments </w:t>
      </w:r>
      <w:proofErr w:type="gramStart"/>
      <w:r w:rsidR="00A75951" w:rsidRPr="0073492A">
        <w:rPr>
          <w:szCs w:val="24"/>
        </w:rPr>
        <w:t>to</w:t>
      </w:r>
      <w:proofErr w:type="gramEnd"/>
      <w:r w:rsidR="00A75951" w:rsidRPr="0073492A">
        <w:rPr>
          <w:szCs w:val="24"/>
        </w:rPr>
        <w:t xml:space="preserve"> Staff</w:t>
      </w:r>
      <w:r w:rsidR="00A30BB6">
        <w:rPr>
          <w:szCs w:val="24"/>
        </w:rPr>
        <w:t>’s</w:t>
      </w:r>
      <w:r w:rsidR="00A75951" w:rsidRPr="0073492A">
        <w:rPr>
          <w:szCs w:val="24"/>
        </w:rPr>
        <w:t xml:space="preserve"> questions</w:t>
      </w:r>
      <w:r w:rsidR="00FB4C1C" w:rsidRPr="0073492A">
        <w:rPr>
          <w:szCs w:val="24"/>
        </w:rPr>
        <w:t>. We look forward to continuing to work with</w:t>
      </w:r>
      <w:r w:rsidR="009979AC" w:rsidRPr="0073492A">
        <w:rPr>
          <w:szCs w:val="24"/>
        </w:rPr>
        <w:t xml:space="preserve"> the Commission</w:t>
      </w:r>
      <w:r w:rsidRPr="0073492A">
        <w:rPr>
          <w:szCs w:val="24"/>
        </w:rPr>
        <w:t xml:space="preserve">, </w:t>
      </w:r>
      <w:proofErr w:type="gramStart"/>
      <w:r w:rsidRPr="0073492A">
        <w:rPr>
          <w:szCs w:val="24"/>
        </w:rPr>
        <w:t>Staff</w:t>
      </w:r>
      <w:proofErr w:type="gramEnd"/>
      <w:r w:rsidRPr="0073492A">
        <w:rPr>
          <w:szCs w:val="24"/>
        </w:rPr>
        <w:t xml:space="preserve"> and other stakeholders throughout this project. </w:t>
      </w:r>
      <w:r w:rsidR="00A75951" w:rsidRPr="0073492A">
        <w:rPr>
          <w:szCs w:val="24"/>
        </w:rPr>
        <w:t xml:space="preserve">Finally, we recommend the Commission retain the </w:t>
      </w:r>
      <w:r w:rsidR="00E30CB1" w:rsidRPr="0073492A">
        <w:rPr>
          <w:szCs w:val="24"/>
        </w:rPr>
        <w:t xml:space="preserve">policies and procedures that have been extensively and recently vetted to ensure a great regulatory stability and alignment with overall resource adequacy goals and legislative direction to </w:t>
      </w:r>
      <w:r w:rsidR="00E86820" w:rsidRPr="0073492A">
        <w:rPr>
          <w:szCs w:val="24"/>
        </w:rPr>
        <w:t xml:space="preserve">increase dispatchable generation capacity inside ERCOT. Should the Commission determine it necessary to implement rules applicable to </w:t>
      </w:r>
      <w:r w:rsidR="00E86820" w:rsidRPr="0073492A">
        <w:rPr>
          <w:szCs w:val="24"/>
        </w:rPr>
        <w:lastRenderedPageBreak/>
        <w:t xml:space="preserve">all DC ties, the rules should be consistent with </w:t>
      </w:r>
      <w:r w:rsidR="00A156FE">
        <w:rPr>
          <w:szCs w:val="24"/>
        </w:rPr>
        <w:t xml:space="preserve">existing precedent </w:t>
      </w:r>
      <w:r w:rsidR="008E0E7C" w:rsidRPr="0073492A">
        <w:rPr>
          <w:szCs w:val="24"/>
        </w:rPr>
        <w:t xml:space="preserve">from the fourteen Southern Cross </w:t>
      </w:r>
      <w:r w:rsidR="00A156FE">
        <w:rPr>
          <w:szCs w:val="24"/>
        </w:rPr>
        <w:t xml:space="preserve">order </w:t>
      </w:r>
      <w:r w:rsidR="00DA3264">
        <w:rPr>
          <w:szCs w:val="24"/>
        </w:rPr>
        <w:t xml:space="preserve">and </w:t>
      </w:r>
      <w:r w:rsidR="008E0E7C" w:rsidRPr="0073492A">
        <w:rPr>
          <w:szCs w:val="24"/>
        </w:rPr>
        <w:t>directives.</w:t>
      </w:r>
    </w:p>
    <w:p w14:paraId="1A4D2798" w14:textId="77777777" w:rsidR="008E7489" w:rsidRDefault="008E7489" w:rsidP="00B24F5A">
      <w:pPr>
        <w:pStyle w:val="BodyText"/>
        <w:keepNext/>
        <w:keepLines/>
        <w:ind w:left="3330" w:firstLine="720"/>
        <w:rPr>
          <w:sz w:val="22"/>
          <w:szCs w:val="22"/>
        </w:rPr>
      </w:pPr>
    </w:p>
    <w:p w14:paraId="7179C457" w14:textId="791D60EE" w:rsidR="008E7489" w:rsidRDefault="009979AC" w:rsidP="009979AC">
      <w:pPr>
        <w:pStyle w:val="BodyText"/>
        <w:keepNext/>
        <w:keepLines/>
        <w:jc w:val="left"/>
        <w:rPr>
          <w:sz w:val="22"/>
          <w:szCs w:val="22"/>
        </w:rPr>
      </w:pPr>
      <w:r>
        <w:rPr>
          <w:sz w:val="22"/>
          <w:szCs w:val="22"/>
        </w:rPr>
        <w:tab/>
        <w:t xml:space="preserve">Dated: </w:t>
      </w:r>
      <w:r w:rsidR="0063765A">
        <w:rPr>
          <w:sz w:val="22"/>
          <w:szCs w:val="22"/>
        </w:rPr>
        <w:t>February 8</w:t>
      </w:r>
      <w:r w:rsidR="009D4587">
        <w:rPr>
          <w:sz w:val="22"/>
          <w:szCs w:val="22"/>
        </w:rPr>
        <w:t>, 2024</w:t>
      </w:r>
    </w:p>
    <w:p w14:paraId="6F878CCF" w14:textId="633D7CDD" w:rsidR="00B24F5A" w:rsidRPr="006E537A" w:rsidRDefault="008E7489" w:rsidP="00B24F5A">
      <w:pPr>
        <w:pStyle w:val="BodyText"/>
        <w:keepNext/>
        <w:keepLines/>
        <w:ind w:left="3330" w:firstLine="720"/>
        <w:rPr>
          <w:sz w:val="22"/>
          <w:szCs w:val="22"/>
        </w:rPr>
      </w:pPr>
      <w:r>
        <w:rPr>
          <w:sz w:val="22"/>
          <w:szCs w:val="22"/>
        </w:rPr>
        <w:t xml:space="preserve">   </w:t>
      </w:r>
      <w:r w:rsidR="00B24F5A" w:rsidRPr="006E537A">
        <w:rPr>
          <w:sz w:val="22"/>
          <w:szCs w:val="22"/>
        </w:rPr>
        <w:t>Respectfully submitted,</w:t>
      </w:r>
    </w:p>
    <w:p w14:paraId="3E31E1A0" w14:textId="77777777" w:rsidR="00B24F5A" w:rsidRPr="006E537A" w:rsidRDefault="00B24F5A" w:rsidP="00B24F5A">
      <w:pPr>
        <w:pStyle w:val="BodyText"/>
        <w:keepNext/>
        <w:keepLines/>
        <w:ind w:left="3330" w:firstLine="720"/>
        <w:rPr>
          <w:sz w:val="22"/>
          <w:szCs w:val="22"/>
        </w:rPr>
      </w:pPr>
    </w:p>
    <w:p w14:paraId="16A7C7B5" w14:textId="08BB8B9A" w:rsidR="008E7489" w:rsidRPr="0048370E" w:rsidRDefault="008E7489" w:rsidP="008E7489">
      <w:pPr>
        <w:tabs>
          <w:tab w:val="left" w:pos="4320"/>
        </w:tabs>
        <w:ind w:right="-540"/>
        <w:rPr>
          <w:rFonts w:eastAsia="Times New Roman"/>
        </w:rPr>
      </w:pPr>
      <w:r>
        <w:rPr>
          <w:rFonts w:eastAsia="Times New Roman"/>
        </w:rPr>
        <w:tab/>
      </w:r>
      <w:r>
        <w:rPr>
          <w:rFonts w:eastAsia="Times New Roman"/>
          <w:noProof/>
        </w:rPr>
        <w:drawing>
          <wp:inline distT="0" distB="0" distL="0" distR="0" wp14:anchorId="17F0DEE9" wp14:editId="0EA4605F">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3DA537A1" w14:textId="77777777" w:rsidR="008E7489" w:rsidRDefault="008E7489" w:rsidP="002249D8">
      <w:pPr>
        <w:spacing w:after="0" w:line="240" w:lineRule="auto"/>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06540345" w14:textId="77777777" w:rsidR="008E7489" w:rsidRDefault="008E7489" w:rsidP="002249D8">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600E1122" w14:textId="77777777" w:rsidR="008E7489" w:rsidRDefault="008E7489" w:rsidP="002249D8">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16B41F7E" w14:textId="77777777" w:rsidR="008E7489" w:rsidRPr="00A87133" w:rsidRDefault="008E7489" w:rsidP="002249D8">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7133">
        <w:rPr>
          <w:rFonts w:eastAsia="Times New Roman"/>
        </w:rPr>
        <w:t>(512) 653-7447</w:t>
      </w:r>
    </w:p>
    <w:p w14:paraId="43D22956" w14:textId="77C731C9" w:rsidR="00A23EAC" w:rsidRDefault="008E7489" w:rsidP="002249D8">
      <w:pPr>
        <w:spacing w:after="0" w:line="240" w:lineRule="auto"/>
        <w:ind w:firstLine="720"/>
        <w:rPr>
          <w:rStyle w:val="Hyperlink"/>
          <w:rFonts w:eastAsia="Times New Roman"/>
        </w:rPr>
      </w:pP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r w:rsidRPr="00A87133">
        <w:rPr>
          <w:rFonts w:eastAsia="Times New Roman"/>
        </w:rPr>
        <w:tab/>
      </w:r>
      <w:hyperlink r:id="rId9" w:history="1">
        <w:r w:rsidRPr="00B25F1A">
          <w:rPr>
            <w:rStyle w:val="Hyperlink"/>
            <w:rFonts w:eastAsia="Times New Roman"/>
          </w:rPr>
          <w:t>michele@competitivepower.org</w:t>
        </w:r>
      </w:hyperlink>
    </w:p>
    <w:p w14:paraId="086C9EF3" w14:textId="77777777" w:rsidR="00AE1B92" w:rsidRDefault="00AE1B92" w:rsidP="002249D8">
      <w:pPr>
        <w:spacing w:after="0" w:line="240" w:lineRule="auto"/>
        <w:ind w:firstLine="720"/>
        <w:rPr>
          <w:rStyle w:val="Hyperlink"/>
          <w:rFonts w:eastAsia="Times New Roman"/>
        </w:rPr>
      </w:pPr>
    </w:p>
    <w:p w14:paraId="75D019B2" w14:textId="77777777" w:rsidR="00AE1B92" w:rsidRDefault="00AE1B92" w:rsidP="002249D8">
      <w:pPr>
        <w:spacing w:after="0" w:line="240" w:lineRule="auto"/>
        <w:ind w:firstLine="720"/>
        <w:rPr>
          <w:rStyle w:val="Hyperlink"/>
          <w:rFonts w:eastAsia="Times New Roman"/>
        </w:rPr>
      </w:pPr>
    </w:p>
    <w:p w14:paraId="265FAEBE" w14:textId="77777777" w:rsidR="00AE1B92" w:rsidRDefault="00AE1B92" w:rsidP="002249D8">
      <w:pPr>
        <w:spacing w:after="0" w:line="240" w:lineRule="auto"/>
        <w:ind w:firstLine="720"/>
        <w:rPr>
          <w:rStyle w:val="Hyperlink"/>
          <w:rFonts w:eastAsia="Times New Roman"/>
        </w:rPr>
      </w:pPr>
    </w:p>
    <w:p w14:paraId="2DF02621" w14:textId="77777777" w:rsidR="00AE1B92" w:rsidRDefault="00AE1B92" w:rsidP="002249D8">
      <w:pPr>
        <w:spacing w:after="0" w:line="240" w:lineRule="auto"/>
        <w:ind w:firstLine="720"/>
        <w:rPr>
          <w:rStyle w:val="Hyperlink"/>
          <w:rFonts w:eastAsia="Times New Roman"/>
        </w:rPr>
      </w:pPr>
    </w:p>
    <w:p w14:paraId="4892B787" w14:textId="77777777" w:rsidR="00AE1B92" w:rsidRDefault="00AE1B92" w:rsidP="002249D8">
      <w:pPr>
        <w:spacing w:after="0" w:line="240" w:lineRule="auto"/>
        <w:ind w:firstLine="720"/>
        <w:rPr>
          <w:rStyle w:val="Hyperlink"/>
          <w:rFonts w:eastAsia="Times New Roman"/>
        </w:rPr>
      </w:pPr>
    </w:p>
    <w:p w14:paraId="36CD87E0" w14:textId="77777777" w:rsidR="00AE1B92" w:rsidRDefault="00AE1B92" w:rsidP="002249D8">
      <w:pPr>
        <w:spacing w:after="0" w:line="240" w:lineRule="auto"/>
        <w:ind w:firstLine="720"/>
        <w:rPr>
          <w:rStyle w:val="Hyperlink"/>
          <w:rFonts w:eastAsia="Times New Roman"/>
        </w:rPr>
      </w:pPr>
    </w:p>
    <w:p w14:paraId="59D2C530" w14:textId="77777777" w:rsidR="00AE1B92" w:rsidRDefault="00AE1B92" w:rsidP="002249D8">
      <w:pPr>
        <w:spacing w:after="0" w:line="240" w:lineRule="auto"/>
        <w:ind w:firstLine="720"/>
        <w:rPr>
          <w:rStyle w:val="Hyperlink"/>
          <w:rFonts w:eastAsia="Times New Roman"/>
        </w:rPr>
      </w:pPr>
    </w:p>
    <w:p w14:paraId="0B087DC6" w14:textId="77777777" w:rsidR="00AE1B92" w:rsidRDefault="00AE1B92" w:rsidP="002249D8">
      <w:pPr>
        <w:spacing w:after="0" w:line="240" w:lineRule="auto"/>
        <w:ind w:firstLine="720"/>
        <w:rPr>
          <w:rStyle w:val="Hyperlink"/>
          <w:rFonts w:eastAsia="Times New Roman"/>
        </w:rPr>
      </w:pPr>
    </w:p>
    <w:p w14:paraId="768238F3" w14:textId="77777777" w:rsidR="00AE1B92" w:rsidRDefault="00AE1B92" w:rsidP="002249D8">
      <w:pPr>
        <w:spacing w:after="0" w:line="240" w:lineRule="auto"/>
        <w:ind w:firstLine="720"/>
        <w:rPr>
          <w:rStyle w:val="Hyperlink"/>
          <w:rFonts w:eastAsia="Times New Roman"/>
        </w:rPr>
      </w:pPr>
    </w:p>
    <w:p w14:paraId="4559E8FD" w14:textId="77777777" w:rsidR="00AE1B92" w:rsidRDefault="00AE1B92" w:rsidP="002249D8">
      <w:pPr>
        <w:spacing w:after="0" w:line="240" w:lineRule="auto"/>
        <w:ind w:firstLine="720"/>
        <w:rPr>
          <w:rStyle w:val="Hyperlink"/>
          <w:rFonts w:eastAsia="Times New Roman"/>
        </w:rPr>
      </w:pPr>
    </w:p>
    <w:p w14:paraId="7085A0C4" w14:textId="77777777" w:rsidR="00AE1B92" w:rsidRDefault="00AE1B92" w:rsidP="002249D8">
      <w:pPr>
        <w:spacing w:after="0" w:line="240" w:lineRule="auto"/>
        <w:ind w:firstLine="720"/>
        <w:rPr>
          <w:rStyle w:val="Hyperlink"/>
          <w:rFonts w:eastAsia="Times New Roman"/>
        </w:rPr>
      </w:pPr>
    </w:p>
    <w:p w14:paraId="213E6635" w14:textId="77777777" w:rsidR="00AE1B92" w:rsidRDefault="00AE1B92" w:rsidP="002249D8">
      <w:pPr>
        <w:spacing w:after="0" w:line="240" w:lineRule="auto"/>
        <w:ind w:firstLine="720"/>
        <w:rPr>
          <w:rStyle w:val="Hyperlink"/>
          <w:rFonts w:eastAsia="Times New Roman"/>
        </w:rPr>
      </w:pPr>
    </w:p>
    <w:p w14:paraId="48355721" w14:textId="77777777" w:rsidR="00AE1B92" w:rsidRDefault="00AE1B92" w:rsidP="002249D8">
      <w:pPr>
        <w:spacing w:after="0" w:line="240" w:lineRule="auto"/>
        <w:ind w:firstLine="720"/>
        <w:rPr>
          <w:rStyle w:val="Hyperlink"/>
          <w:rFonts w:eastAsia="Times New Roman"/>
        </w:rPr>
      </w:pPr>
    </w:p>
    <w:p w14:paraId="128B118D" w14:textId="77777777" w:rsidR="00AE1B92" w:rsidRDefault="00AE1B92" w:rsidP="002249D8">
      <w:pPr>
        <w:spacing w:after="0" w:line="240" w:lineRule="auto"/>
        <w:ind w:firstLine="720"/>
        <w:rPr>
          <w:rStyle w:val="Hyperlink"/>
          <w:rFonts w:eastAsia="Times New Roman"/>
        </w:rPr>
      </w:pPr>
    </w:p>
    <w:p w14:paraId="662B3BC0" w14:textId="77777777" w:rsidR="00AE1B92" w:rsidRDefault="00AE1B92" w:rsidP="002249D8">
      <w:pPr>
        <w:spacing w:after="0" w:line="240" w:lineRule="auto"/>
        <w:ind w:firstLine="720"/>
        <w:rPr>
          <w:rStyle w:val="Hyperlink"/>
          <w:rFonts w:eastAsia="Times New Roman"/>
        </w:rPr>
      </w:pPr>
    </w:p>
    <w:p w14:paraId="4EA1856C" w14:textId="77777777" w:rsidR="00AE1B92" w:rsidRDefault="00AE1B92" w:rsidP="002249D8">
      <w:pPr>
        <w:spacing w:after="0" w:line="240" w:lineRule="auto"/>
        <w:ind w:firstLine="720"/>
        <w:rPr>
          <w:rStyle w:val="Hyperlink"/>
          <w:rFonts w:eastAsia="Times New Roman"/>
        </w:rPr>
      </w:pPr>
    </w:p>
    <w:p w14:paraId="410FA3F5" w14:textId="4935C947" w:rsidR="00C269C3" w:rsidRDefault="00C269C3">
      <w:pPr>
        <w:spacing w:after="160" w:line="259" w:lineRule="auto"/>
        <w:jc w:val="left"/>
        <w:rPr>
          <w:rStyle w:val="Hyperlink"/>
          <w:rFonts w:eastAsia="Times New Roman"/>
          <w:color w:val="auto"/>
        </w:rPr>
      </w:pPr>
      <w:r>
        <w:rPr>
          <w:rStyle w:val="Hyperlink"/>
          <w:rFonts w:eastAsia="Times New Roman"/>
          <w:color w:val="auto"/>
        </w:rPr>
        <w:br w:type="page"/>
      </w:r>
    </w:p>
    <w:p w14:paraId="620836AE" w14:textId="77777777" w:rsidR="00C269C3" w:rsidRPr="0011730F" w:rsidRDefault="00C269C3" w:rsidP="00C269C3">
      <w:pPr>
        <w:pStyle w:val="Title"/>
        <w:rPr>
          <w:b/>
          <w:szCs w:val="24"/>
        </w:rPr>
      </w:pPr>
      <w:r w:rsidRPr="0011730F">
        <w:rPr>
          <w:b/>
          <w:szCs w:val="24"/>
        </w:rPr>
        <w:lastRenderedPageBreak/>
        <w:t>PUC PROJECT NO. 55984</w:t>
      </w:r>
    </w:p>
    <w:p w14:paraId="7026A4E6" w14:textId="77777777" w:rsidR="00C269C3" w:rsidRPr="0011730F" w:rsidRDefault="00C269C3" w:rsidP="00C269C3">
      <w:pPr>
        <w:pStyle w:val="Title"/>
        <w:rPr>
          <w:b/>
          <w:szCs w:val="24"/>
        </w:rPr>
      </w:pPr>
    </w:p>
    <w:tbl>
      <w:tblPr>
        <w:tblW w:w="9375" w:type="dxa"/>
        <w:tblLook w:val="04A0" w:firstRow="1" w:lastRow="0" w:firstColumn="1" w:lastColumn="0" w:noHBand="0" w:noVBand="1"/>
      </w:tblPr>
      <w:tblGrid>
        <w:gridCol w:w="4247"/>
        <w:gridCol w:w="989"/>
        <w:gridCol w:w="4139"/>
      </w:tblGrid>
      <w:tr w:rsidR="00C269C3" w:rsidRPr="0011730F" w14:paraId="4C76CCF4" w14:textId="77777777" w:rsidTr="007836CE">
        <w:trPr>
          <w:trHeight w:val="722"/>
        </w:trPr>
        <w:tc>
          <w:tcPr>
            <w:tcW w:w="4247" w:type="dxa"/>
            <w:shd w:val="clear" w:color="auto" w:fill="auto"/>
          </w:tcPr>
          <w:p w14:paraId="1590F6C8" w14:textId="77777777" w:rsidR="00C269C3" w:rsidRPr="0011730F" w:rsidRDefault="00C269C3" w:rsidP="007836CE">
            <w:pPr>
              <w:pStyle w:val="Title"/>
              <w:jc w:val="left"/>
              <w:rPr>
                <w:b/>
                <w:szCs w:val="24"/>
              </w:rPr>
            </w:pPr>
            <w:r w:rsidRPr="0011730F">
              <w:rPr>
                <w:b/>
                <w:szCs w:val="24"/>
              </w:rPr>
              <w:t>REVIEW OF DC TIE ISSUES IN TRANSMISSION PLANNING</w:t>
            </w:r>
          </w:p>
        </w:tc>
        <w:tc>
          <w:tcPr>
            <w:tcW w:w="989" w:type="dxa"/>
            <w:shd w:val="clear" w:color="auto" w:fill="auto"/>
          </w:tcPr>
          <w:p w14:paraId="7558076F" w14:textId="77777777" w:rsidR="00C269C3" w:rsidRPr="0011730F" w:rsidRDefault="00C269C3" w:rsidP="007836CE">
            <w:pPr>
              <w:pStyle w:val="Title"/>
              <w:rPr>
                <w:b/>
                <w:szCs w:val="24"/>
              </w:rPr>
            </w:pPr>
            <w:r w:rsidRPr="0011730F">
              <w:rPr>
                <w:b/>
                <w:szCs w:val="24"/>
              </w:rPr>
              <w:t>§</w:t>
            </w:r>
          </w:p>
          <w:p w14:paraId="4D2210AE" w14:textId="77777777" w:rsidR="00C269C3" w:rsidRPr="0011730F" w:rsidRDefault="00C269C3" w:rsidP="007836CE">
            <w:pPr>
              <w:pStyle w:val="Title"/>
              <w:rPr>
                <w:b/>
                <w:szCs w:val="24"/>
              </w:rPr>
            </w:pPr>
            <w:r w:rsidRPr="0011730F">
              <w:rPr>
                <w:b/>
                <w:szCs w:val="24"/>
              </w:rPr>
              <w:t>§</w:t>
            </w:r>
          </w:p>
        </w:tc>
        <w:tc>
          <w:tcPr>
            <w:tcW w:w="4139" w:type="dxa"/>
            <w:shd w:val="clear" w:color="auto" w:fill="auto"/>
          </w:tcPr>
          <w:p w14:paraId="2EE6B7A8" w14:textId="77777777" w:rsidR="00C269C3" w:rsidRPr="0011730F" w:rsidRDefault="00C269C3" w:rsidP="007836CE">
            <w:pPr>
              <w:pStyle w:val="Title"/>
              <w:rPr>
                <w:b/>
                <w:szCs w:val="24"/>
              </w:rPr>
            </w:pPr>
            <w:r w:rsidRPr="0011730F">
              <w:rPr>
                <w:b/>
                <w:szCs w:val="24"/>
              </w:rPr>
              <w:t>PUBLIC UTILITY COMMISSION</w:t>
            </w:r>
          </w:p>
          <w:p w14:paraId="642076B4" w14:textId="77777777" w:rsidR="00C269C3" w:rsidRPr="0011730F" w:rsidRDefault="00C269C3" w:rsidP="007836CE">
            <w:pPr>
              <w:pStyle w:val="Title"/>
              <w:rPr>
                <w:b/>
                <w:szCs w:val="24"/>
              </w:rPr>
            </w:pPr>
            <w:r w:rsidRPr="0011730F">
              <w:rPr>
                <w:b/>
                <w:szCs w:val="24"/>
              </w:rPr>
              <w:t>OF TEXAS</w:t>
            </w:r>
          </w:p>
        </w:tc>
      </w:tr>
    </w:tbl>
    <w:p w14:paraId="170F656B" w14:textId="77777777" w:rsidR="00CC4055" w:rsidRDefault="00CC4055" w:rsidP="00AE1B92">
      <w:pPr>
        <w:spacing w:after="0" w:line="240" w:lineRule="auto"/>
        <w:ind w:firstLine="720"/>
        <w:jc w:val="center"/>
        <w:rPr>
          <w:rStyle w:val="Hyperlink"/>
          <w:rFonts w:eastAsia="Times New Roman"/>
          <w:color w:val="auto"/>
        </w:rPr>
      </w:pPr>
    </w:p>
    <w:p w14:paraId="7D50016A" w14:textId="27856588" w:rsidR="00AE1B92" w:rsidRDefault="00AE1B92" w:rsidP="00AE1B92">
      <w:pPr>
        <w:spacing w:after="0" w:line="240" w:lineRule="auto"/>
        <w:ind w:firstLine="720"/>
        <w:jc w:val="center"/>
        <w:rPr>
          <w:rStyle w:val="Hyperlink"/>
          <w:rFonts w:eastAsia="Times New Roman"/>
          <w:color w:val="auto"/>
        </w:rPr>
      </w:pPr>
      <w:r w:rsidRPr="00AE1B92">
        <w:rPr>
          <w:rStyle w:val="Hyperlink"/>
          <w:rFonts w:eastAsia="Times New Roman"/>
          <w:color w:val="auto"/>
        </w:rPr>
        <w:t>EXECUTIVE SUMMARY OF TCPA COMMENTS</w:t>
      </w:r>
    </w:p>
    <w:p w14:paraId="5BB2AD67" w14:textId="77777777" w:rsidR="002162A4" w:rsidRDefault="002162A4" w:rsidP="00AE1B92">
      <w:pPr>
        <w:spacing w:after="0" w:line="240" w:lineRule="auto"/>
        <w:ind w:firstLine="720"/>
        <w:jc w:val="center"/>
        <w:rPr>
          <w:rStyle w:val="Hyperlink"/>
          <w:rFonts w:eastAsia="Times New Roman"/>
          <w:color w:val="auto"/>
        </w:rPr>
      </w:pPr>
    </w:p>
    <w:p w14:paraId="2EA64B3D" w14:textId="77777777" w:rsidR="00A01CD5" w:rsidRDefault="00A01CD5" w:rsidP="00A01CD5">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This project must be viewed holistically in terms of overall resource adequacy goals set by the Legislature and Commission to ensure these policies do not undermine the overall goal of supporting and increasing dispatchable generation capacity in ERCOT.</w:t>
      </w:r>
    </w:p>
    <w:p w14:paraId="4BD71B23" w14:textId="77777777" w:rsidR="00A01CD5" w:rsidRDefault="00A01CD5" w:rsidP="00A01CD5">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ERCOT should continue the adopted policy of curtailing DC ties when their import results in congestion of in-ERCOT generation resources to ensure the continued dictate of not harming ERCOT reliability or the ERCOT thermal fleet.</w:t>
      </w:r>
    </w:p>
    <w:p w14:paraId="1638E17D" w14:textId="77777777" w:rsidR="00A01CD5" w:rsidRDefault="00A01CD5" w:rsidP="00A01CD5">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 xml:space="preserve">Regardless of </w:t>
      </w:r>
      <w:proofErr w:type="gramStart"/>
      <w:r>
        <w:rPr>
          <w:rStyle w:val="Hyperlink"/>
          <w:rFonts w:eastAsia="Times New Roman"/>
          <w:color w:val="auto"/>
          <w:u w:val="none"/>
        </w:rPr>
        <w:t>Commission</w:t>
      </w:r>
      <w:proofErr w:type="gramEnd"/>
      <w:r>
        <w:rPr>
          <w:rStyle w:val="Hyperlink"/>
          <w:rFonts w:eastAsia="Times New Roman"/>
          <w:color w:val="auto"/>
          <w:u w:val="none"/>
        </w:rPr>
        <w:t xml:space="preserve"> decision, the policy precedent of assigning resulting transmission expansion costs directly to the DC ties should be maintained.</w:t>
      </w:r>
    </w:p>
    <w:p w14:paraId="4009B245" w14:textId="77777777" w:rsidR="00A01CD5" w:rsidRDefault="00A01CD5" w:rsidP="00A01CD5">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The Commission should approach its current review of DC tie planning issues consistent with its order in the SCT DC tie case and in the spirit of the directive resolutions the Commission affirmed in September 2022.</w:t>
      </w:r>
    </w:p>
    <w:p w14:paraId="241085D2" w14:textId="7C79D8B3" w:rsidR="002162A4" w:rsidRDefault="002162A4" w:rsidP="002162A4">
      <w:pPr>
        <w:pStyle w:val="ListParagraph"/>
        <w:numPr>
          <w:ilvl w:val="0"/>
          <w:numId w:val="35"/>
        </w:numPr>
        <w:spacing w:after="0" w:line="240" w:lineRule="auto"/>
        <w:jc w:val="left"/>
        <w:rPr>
          <w:rStyle w:val="Hyperlink"/>
          <w:rFonts w:eastAsia="Times New Roman"/>
          <w:color w:val="auto"/>
          <w:u w:val="none"/>
        </w:rPr>
      </w:pPr>
      <w:r w:rsidRPr="002162A4">
        <w:rPr>
          <w:rStyle w:val="Hyperlink"/>
          <w:rFonts w:eastAsia="Times New Roman"/>
          <w:color w:val="auto"/>
          <w:u w:val="none"/>
        </w:rPr>
        <w:t xml:space="preserve">Incorporation of DC ties into ERCOT planning and appropriate assignment of costs to market participants underwent a multi-year process with stakeholders and ERCOT, culminating in </w:t>
      </w:r>
      <w:r w:rsidR="00C54189">
        <w:rPr>
          <w:rStyle w:val="Hyperlink"/>
          <w:rFonts w:eastAsia="Times New Roman"/>
          <w:color w:val="auto"/>
          <w:u w:val="none"/>
        </w:rPr>
        <w:t xml:space="preserve">a </w:t>
      </w:r>
      <w:r w:rsidRPr="002162A4">
        <w:rPr>
          <w:rStyle w:val="Hyperlink"/>
          <w:rFonts w:eastAsia="Times New Roman"/>
          <w:color w:val="auto"/>
          <w:u w:val="none"/>
        </w:rPr>
        <w:t>Commission order agreeing with the solutions adopted for the 14 directives related to Southern Cross Transmission’s</w:t>
      </w:r>
      <w:r w:rsidR="00C54189">
        <w:rPr>
          <w:rStyle w:val="Hyperlink"/>
          <w:rFonts w:eastAsia="Times New Roman"/>
          <w:color w:val="auto"/>
          <w:u w:val="none"/>
        </w:rPr>
        <w:t xml:space="preserve"> (SCT’s)</w:t>
      </w:r>
      <w:r w:rsidRPr="002162A4">
        <w:rPr>
          <w:rStyle w:val="Hyperlink"/>
          <w:rFonts w:eastAsia="Times New Roman"/>
          <w:color w:val="auto"/>
          <w:u w:val="none"/>
        </w:rPr>
        <w:t xml:space="preserve"> 2100 MW DC tie.</w:t>
      </w:r>
    </w:p>
    <w:p w14:paraId="792B7982" w14:textId="7257B935" w:rsidR="002162A4" w:rsidRDefault="002162A4"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PGRR 10</w:t>
      </w:r>
      <w:r w:rsidR="00664B3A">
        <w:rPr>
          <w:rStyle w:val="Hyperlink"/>
          <w:rFonts w:eastAsia="Times New Roman"/>
          <w:color w:val="auto"/>
          <w:u w:val="none"/>
        </w:rPr>
        <w:t>5, pending at TAC, would significantly depart from the</w:t>
      </w:r>
      <w:r w:rsidR="00673941">
        <w:rPr>
          <w:rStyle w:val="Hyperlink"/>
          <w:rFonts w:eastAsia="Times New Roman"/>
          <w:color w:val="auto"/>
          <w:u w:val="none"/>
        </w:rPr>
        <w:t xml:space="preserve"> SCT</w:t>
      </w:r>
      <w:r w:rsidR="00664B3A">
        <w:rPr>
          <w:rStyle w:val="Hyperlink"/>
          <w:rFonts w:eastAsia="Times New Roman"/>
          <w:color w:val="auto"/>
          <w:u w:val="none"/>
        </w:rPr>
        <w:t xml:space="preserve"> solutions and order and </w:t>
      </w:r>
      <w:r w:rsidR="00673941">
        <w:rPr>
          <w:rStyle w:val="Hyperlink"/>
          <w:rFonts w:eastAsia="Times New Roman"/>
          <w:color w:val="auto"/>
          <w:u w:val="none"/>
        </w:rPr>
        <w:t xml:space="preserve">would </w:t>
      </w:r>
      <w:r w:rsidR="00123297">
        <w:rPr>
          <w:rStyle w:val="Hyperlink"/>
          <w:rFonts w:eastAsia="Times New Roman"/>
          <w:color w:val="auto"/>
          <w:u w:val="none"/>
        </w:rPr>
        <w:t xml:space="preserve">resurrect </w:t>
      </w:r>
      <w:r w:rsidR="00664B3A">
        <w:rPr>
          <w:rStyle w:val="Hyperlink"/>
          <w:rFonts w:eastAsia="Times New Roman"/>
          <w:color w:val="auto"/>
          <w:u w:val="none"/>
        </w:rPr>
        <w:t xml:space="preserve">the cost allocation policies </w:t>
      </w:r>
      <w:r w:rsidR="00673941">
        <w:rPr>
          <w:rStyle w:val="Hyperlink"/>
          <w:rFonts w:eastAsia="Times New Roman"/>
          <w:color w:val="auto"/>
          <w:u w:val="none"/>
        </w:rPr>
        <w:t>that were mooted by resolution of the</w:t>
      </w:r>
      <w:r w:rsidR="00123297">
        <w:rPr>
          <w:rStyle w:val="Hyperlink"/>
          <w:rFonts w:eastAsia="Times New Roman"/>
          <w:color w:val="auto"/>
          <w:u w:val="none"/>
        </w:rPr>
        <w:t xml:space="preserve"> SCT directives and thus would </w:t>
      </w:r>
      <w:r w:rsidR="00664B3A">
        <w:rPr>
          <w:rStyle w:val="Hyperlink"/>
          <w:rFonts w:eastAsia="Times New Roman"/>
          <w:color w:val="auto"/>
          <w:u w:val="none"/>
        </w:rPr>
        <w:t>requir</w:t>
      </w:r>
      <w:r w:rsidR="00123297">
        <w:rPr>
          <w:rStyle w:val="Hyperlink"/>
          <w:rFonts w:eastAsia="Times New Roman"/>
          <w:color w:val="auto"/>
          <w:u w:val="none"/>
        </w:rPr>
        <w:t>e</w:t>
      </w:r>
      <w:r w:rsidR="00664B3A">
        <w:rPr>
          <w:rStyle w:val="Hyperlink"/>
          <w:rFonts w:eastAsia="Times New Roman"/>
          <w:color w:val="auto"/>
          <w:u w:val="none"/>
        </w:rPr>
        <w:t xml:space="preserve"> </w:t>
      </w:r>
      <w:r w:rsidR="00673941">
        <w:rPr>
          <w:rStyle w:val="Hyperlink"/>
          <w:rFonts w:eastAsia="Times New Roman"/>
          <w:color w:val="auto"/>
          <w:u w:val="none"/>
        </w:rPr>
        <w:t xml:space="preserve">additional </w:t>
      </w:r>
      <w:r w:rsidR="00664B3A">
        <w:rPr>
          <w:rStyle w:val="Hyperlink"/>
          <w:rFonts w:eastAsia="Times New Roman"/>
          <w:color w:val="auto"/>
          <w:u w:val="none"/>
        </w:rPr>
        <w:t>Commission action.</w:t>
      </w:r>
    </w:p>
    <w:p w14:paraId="69D7C3DC" w14:textId="2BE42CAB" w:rsidR="00664B3A" w:rsidRDefault="00664B3A"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Consistency in treatment of DC ties in both ERCOT operations and ERCOT planning is critical as ERCOT has indicated full import of DC ties does not guarantee any improvement in ERCOT reliability as the condition of neighboring grids will determine import availability.</w:t>
      </w:r>
    </w:p>
    <w:p w14:paraId="38F82424" w14:textId="7C3D8632" w:rsidR="006C3EAD" w:rsidRDefault="001C1598"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A m</w:t>
      </w:r>
      <w:r w:rsidR="006C3EAD">
        <w:rPr>
          <w:rStyle w:val="Hyperlink"/>
          <w:rFonts w:eastAsia="Times New Roman"/>
          <w:color w:val="auto"/>
          <w:u w:val="none"/>
        </w:rPr>
        <w:t>iddle ground</w:t>
      </w:r>
      <w:r>
        <w:rPr>
          <w:rStyle w:val="Hyperlink"/>
          <w:rFonts w:eastAsia="Times New Roman"/>
          <w:color w:val="auto"/>
          <w:u w:val="none"/>
        </w:rPr>
        <w:t xml:space="preserve"> solution</w:t>
      </w:r>
      <w:r w:rsidR="006C3EAD">
        <w:rPr>
          <w:rStyle w:val="Hyperlink"/>
          <w:rFonts w:eastAsia="Times New Roman"/>
          <w:color w:val="auto"/>
          <w:u w:val="none"/>
        </w:rPr>
        <w:t xml:space="preserve"> is difficult since exports and imports are economic transactions scheduled by private parties outside of the ERCOT real-time market and are not currently dispatchable by ERCOT in SCED. Relative economics between two grids</w:t>
      </w:r>
      <w:r w:rsidR="002D2F61">
        <w:rPr>
          <w:rStyle w:val="Hyperlink"/>
          <w:rFonts w:eastAsia="Times New Roman"/>
          <w:color w:val="auto"/>
          <w:u w:val="none"/>
        </w:rPr>
        <w:t xml:space="preserve"> (and conditions of neighboring grids)</w:t>
      </w:r>
      <w:r w:rsidR="006C3EAD">
        <w:rPr>
          <w:rStyle w:val="Hyperlink"/>
          <w:rFonts w:eastAsia="Times New Roman"/>
          <w:color w:val="auto"/>
          <w:u w:val="none"/>
        </w:rPr>
        <w:t xml:space="preserve"> will dictate availability of the DC tie and not the available transmission infrastructure.</w:t>
      </w:r>
    </w:p>
    <w:p w14:paraId="461BC788" w14:textId="67C9AE53" w:rsidR="006C3EAD" w:rsidRDefault="006C3EAD" w:rsidP="002162A4">
      <w:pPr>
        <w:pStyle w:val="ListParagraph"/>
        <w:numPr>
          <w:ilvl w:val="0"/>
          <w:numId w:val="35"/>
        </w:numPr>
        <w:spacing w:after="0" w:line="240" w:lineRule="auto"/>
        <w:jc w:val="left"/>
        <w:rPr>
          <w:rStyle w:val="Hyperlink"/>
          <w:rFonts w:eastAsia="Times New Roman"/>
          <w:color w:val="auto"/>
          <w:u w:val="none"/>
        </w:rPr>
      </w:pPr>
      <w:proofErr w:type="gramStart"/>
      <w:r>
        <w:rPr>
          <w:rStyle w:val="Hyperlink"/>
          <w:rFonts w:eastAsia="Times New Roman"/>
          <w:color w:val="auto"/>
          <w:u w:val="none"/>
        </w:rPr>
        <w:t>A middle</w:t>
      </w:r>
      <w:proofErr w:type="gramEnd"/>
      <w:r>
        <w:rPr>
          <w:rStyle w:val="Hyperlink"/>
          <w:rFonts w:eastAsia="Times New Roman"/>
          <w:color w:val="auto"/>
          <w:u w:val="none"/>
        </w:rPr>
        <w:t xml:space="preserve"> ground assumes reliability criteria for DC tie deliverability and there are not any today.</w:t>
      </w:r>
    </w:p>
    <w:p w14:paraId="6A3E76FA" w14:textId="43855966" w:rsidR="006C3EAD" w:rsidRDefault="006C3EA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Any minimum deliverability criteria for planning purposes will require accreditation based on an analysis of how much firm capacity is behind the tie. Recent winter storms demonstrate the difficulty in doing that as adjacent grids were experiencing the same storms and grappling with their in-region generation outages.</w:t>
      </w:r>
    </w:p>
    <w:p w14:paraId="7D5A2F31" w14:textId="0C08B004" w:rsidR="006C3EAD" w:rsidRDefault="006C3EA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In-ERCOT dispatchable generation has been a clear priority of the Legislature, the Governor, and the Commission. The premise of planning around deliverability from other grids is counter to the programs enacted in SB 3, HB 1500, and SB 2627 and provides a disincentive to invest in new generation in ERCOT.</w:t>
      </w:r>
    </w:p>
    <w:p w14:paraId="15E3FE91" w14:textId="5A7CC557" w:rsidR="006C3EAD" w:rsidRDefault="006C3EA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 xml:space="preserve">ERCOT continues to have an energy-only market and has </w:t>
      </w:r>
      <w:proofErr w:type="gramStart"/>
      <w:r>
        <w:rPr>
          <w:rStyle w:val="Hyperlink"/>
          <w:rFonts w:eastAsia="Times New Roman"/>
          <w:color w:val="auto"/>
          <w:u w:val="none"/>
        </w:rPr>
        <w:t>a number of</w:t>
      </w:r>
      <w:proofErr w:type="gramEnd"/>
      <w:r>
        <w:rPr>
          <w:rStyle w:val="Hyperlink"/>
          <w:rFonts w:eastAsia="Times New Roman"/>
          <w:color w:val="auto"/>
          <w:u w:val="none"/>
        </w:rPr>
        <w:t xml:space="preserve"> market design changes under development. Those changes will not counterbalance the price formation </w:t>
      </w:r>
      <w:r>
        <w:rPr>
          <w:rStyle w:val="Hyperlink"/>
          <w:rFonts w:eastAsia="Times New Roman"/>
          <w:color w:val="auto"/>
          <w:u w:val="none"/>
        </w:rPr>
        <w:lastRenderedPageBreak/>
        <w:t xml:space="preserve">interference or congestion that </w:t>
      </w:r>
      <w:r w:rsidR="00C9281D">
        <w:rPr>
          <w:rStyle w:val="Hyperlink"/>
          <w:rFonts w:eastAsia="Times New Roman"/>
          <w:color w:val="auto"/>
          <w:u w:val="none"/>
        </w:rPr>
        <w:t xml:space="preserve">imperils in-ERCOT thermal resources </w:t>
      </w:r>
      <w:proofErr w:type="gramStart"/>
      <w:r w:rsidR="00C9281D">
        <w:rPr>
          <w:rStyle w:val="Hyperlink"/>
          <w:rFonts w:eastAsia="Times New Roman"/>
          <w:color w:val="auto"/>
          <w:u w:val="none"/>
        </w:rPr>
        <w:t>as a result of</w:t>
      </w:r>
      <w:proofErr w:type="gramEnd"/>
      <w:r w:rsidR="00C9281D">
        <w:rPr>
          <w:rStyle w:val="Hyperlink"/>
          <w:rFonts w:eastAsia="Times New Roman"/>
          <w:color w:val="auto"/>
          <w:u w:val="none"/>
        </w:rPr>
        <w:t xml:space="preserve"> imports over DC ties.</w:t>
      </w:r>
    </w:p>
    <w:p w14:paraId="71BB72C5" w14:textId="5F3F3780" w:rsidR="00C9281D" w:rsidRDefault="00C9281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Consumers could be subject to perversely more expensive power if DC tie imports congest out relatively less expensive resources in ERCOT or force thermal assets into early retirement or Reliability Must Run (RMR) status because market economics do not support their continued operation.</w:t>
      </w:r>
    </w:p>
    <w:p w14:paraId="37BC2028" w14:textId="503D8E42" w:rsidR="00C9281D" w:rsidRDefault="00C9281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The Legislature has enacted programs designed to increase investment in dispatchable generation inside ERCOT. DC ties not only do not spur investment in in-state generation but could ultimately undermine the programs enacted to increase investment in ERCOT generation resources.</w:t>
      </w:r>
    </w:p>
    <w:p w14:paraId="37B57E71" w14:textId="6797EE2F" w:rsidR="00C9281D" w:rsidRDefault="00C9281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Assuming that it is technically feasible to apply the same planning assumptions and deliverability criteria to DC ties that applies to generation resources is a false premise because there are numerous requirements and standards applicable to generation resources that are unlikely to be able to apply to DC ties.</w:t>
      </w:r>
    </w:p>
    <w:p w14:paraId="7A0AA01D" w14:textId="5F521F67" w:rsidR="00C9281D" w:rsidRPr="002162A4" w:rsidRDefault="00C9281D" w:rsidP="002162A4">
      <w:pPr>
        <w:pStyle w:val="ListParagraph"/>
        <w:numPr>
          <w:ilvl w:val="0"/>
          <w:numId w:val="35"/>
        </w:numPr>
        <w:spacing w:after="0" w:line="240" w:lineRule="auto"/>
        <w:jc w:val="left"/>
        <w:rPr>
          <w:rStyle w:val="Hyperlink"/>
          <w:rFonts w:eastAsia="Times New Roman"/>
          <w:color w:val="auto"/>
          <w:u w:val="none"/>
        </w:rPr>
      </w:pPr>
      <w:r>
        <w:rPr>
          <w:rStyle w:val="Hyperlink"/>
          <w:rFonts w:eastAsia="Times New Roman"/>
          <w:color w:val="auto"/>
          <w:u w:val="none"/>
        </w:rPr>
        <w:t>The Commission has already endorsed deliverability criteria in SCT and should ensure that ERCOT operations are aligned with ERCOT’s planning posture and require curtailment of DC ties when they create congestion to the detriment of in</w:t>
      </w:r>
      <w:r w:rsidR="00A01CD5">
        <w:rPr>
          <w:rStyle w:val="Hyperlink"/>
          <w:rFonts w:eastAsia="Times New Roman"/>
          <w:color w:val="auto"/>
          <w:u w:val="none"/>
        </w:rPr>
        <w:t>-</w:t>
      </w:r>
      <w:r>
        <w:rPr>
          <w:rStyle w:val="Hyperlink"/>
          <w:rFonts w:eastAsia="Times New Roman"/>
          <w:color w:val="auto"/>
          <w:u w:val="none"/>
        </w:rPr>
        <w:t>ERCOT resources.</w:t>
      </w:r>
    </w:p>
    <w:p w14:paraId="064C4822" w14:textId="77777777" w:rsidR="00AE1B92" w:rsidRPr="002162A4" w:rsidRDefault="00AE1B92" w:rsidP="00AE1B92">
      <w:pPr>
        <w:spacing w:after="0" w:line="240" w:lineRule="auto"/>
        <w:ind w:firstLine="720"/>
        <w:jc w:val="center"/>
        <w:rPr>
          <w:rStyle w:val="Hyperlink"/>
          <w:rFonts w:eastAsia="Times New Roman"/>
          <w:u w:val="none"/>
        </w:rPr>
      </w:pPr>
    </w:p>
    <w:sectPr w:rsidR="00AE1B92" w:rsidRPr="002162A4" w:rsidSect="00030B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01B7" w14:textId="77777777" w:rsidR="00B80293" w:rsidRDefault="00B80293" w:rsidP="0042771D">
      <w:pPr>
        <w:spacing w:after="0" w:line="240" w:lineRule="auto"/>
      </w:pPr>
      <w:r>
        <w:separator/>
      </w:r>
    </w:p>
  </w:endnote>
  <w:endnote w:type="continuationSeparator" w:id="0">
    <w:p w14:paraId="3F66E3B8" w14:textId="77777777" w:rsidR="00B80293" w:rsidRDefault="00B80293" w:rsidP="004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1ED" w14:textId="77777777" w:rsidR="00DE39FD" w:rsidRDefault="00DE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6768"/>
      <w:docPartObj>
        <w:docPartGallery w:val="Page Numbers (Bottom of Page)"/>
        <w:docPartUnique/>
      </w:docPartObj>
    </w:sdtPr>
    <w:sdtEndPr>
      <w:rPr>
        <w:noProof/>
      </w:rPr>
    </w:sdtEndPr>
    <w:sdtContent>
      <w:p w14:paraId="4AEF83AE" w14:textId="051591AA" w:rsidR="000D4A46" w:rsidRDefault="000D4A46">
        <w:pPr>
          <w:pStyle w:val="Footer"/>
          <w:jc w:val="right"/>
        </w:pPr>
        <w:r>
          <w:fldChar w:fldCharType="begin"/>
        </w:r>
        <w:r>
          <w:instrText xml:space="preserve"> PAGE   \* MERGEFORMAT </w:instrText>
        </w:r>
        <w:r>
          <w:fldChar w:fldCharType="separate"/>
        </w:r>
        <w:r w:rsidR="001D5695">
          <w:rPr>
            <w:noProof/>
          </w:rPr>
          <w:t>1</w:t>
        </w:r>
        <w:r>
          <w:rPr>
            <w:noProof/>
          </w:rPr>
          <w:fldChar w:fldCharType="end"/>
        </w:r>
      </w:p>
    </w:sdtContent>
  </w:sdt>
  <w:p w14:paraId="619B8001" w14:textId="77777777" w:rsidR="000D4A46" w:rsidRDefault="000D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7A0" w14:textId="77777777" w:rsidR="00DE39FD" w:rsidRDefault="00DE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31D3" w14:textId="77777777" w:rsidR="00B80293" w:rsidRDefault="00B80293" w:rsidP="0042771D">
      <w:pPr>
        <w:spacing w:after="0" w:line="240" w:lineRule="auto"/>
      </w:pPr>
      <w:r>
        <w:separator/>
      </w:r>
    </w:p>
  </w:footnote>
  <w:footnote w:type="continuationSeparator" w:id="0">
    <w:p w14:paraId="5F198FF0" w14:textId="77777777" w:rsidR="00B80293" w:rsidRDefault="00B80293" w:rsidP="0042771D">
      <w:pPr>
        <w:spacing w:after="0" w:line="240" w:lineRule="auto"/>
      </w:pPr>
      <w:r>
        <w:continuationSeparator/>
      </w:r>
    </w:p>
  </w:footnote>
  <w:footnote w:id="1">
    <w:p w14:paraId="309A9CE7" w14:textId="5C874A64" w:rsidR="00552F98" w:rsidRPr="00855095" w:rsidRDefault="00552F98" w:rsidP="00552F98">
      <w:pPr>
        <w:pStyle w:val="FootnoteText"/>
        <w:ind w:firstLine="720"/>
        <w:rPr>
          <w:rFonts w:cs="Times New Roman"/>
        </w:rPr>
      </w:pPr>
      <w:r w:rsidRPr="00855095">
        <w:rPr>
          <w:rStyle w:val="FootnoteReference"/>
        </w:rPr>
        <w:footnoteRef/>
      </w:r>
      <w:r w:rsidRPr="00855095">
        <w:rPr>
          <w:rFonts w:cs="Times New Roman"/>
        </w:rPr>
        <w:t xml:space="preserve"> TCPA is a trade association representing power generation companies and wholesale power marketers with investments in Texas and the Electric Reliability Council of Texas (ERCOT) wholesale electric market. TCPA members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w:t>
      </w:r>
      <w:r>
        <w:rPr>
          <w:rFonts w:cs="Times New Roman"/>
        </w:rPr>
        <w:t>own more than 55,000 MW of</w:t>
      </w:r>
      <w:r w:rsidRPr="00855095">
        <w:rPr>
          <w:rFonts w:cs="Times New Roman"/>
        </w:rPr>
        <w:t xml:space="preserve"> generating capacity in ERCOT, representing billions of dollars of investment in the state, and employing thousands of Texans. </w:t>
      </w:r>
      <w:r w:rsidRPr="0011418A">
        <w:rPr>
          <w:rFonts w:cs="Times New Roman"/>
        </w:rPr>
        <w:t xml:space="preserve">TCPA member companies participating in these comments </w:t>
      </w:r>
      <w:proofErr w:type="gramStart"/>
      <w:r w:rsidRPr="0011418A">
        <w:rPr>
          <w:rFonts w:cs="Times New Roman"/>
        </w:rPr>
        <w:t>include:</w:t>
      </w:r>
      <w:proofErr w:type="gramEnd"/>
      <w:r w:rsidRPr="0011418A">
        <w:rPr>
          <w:rFonts w:cs="Times New Roman"/>
        </w:rPr>
        <w:t xml:space="preserve"> Calpine, </w:t>
      </w:r>
      <w:proofErr w:type="spellStart"/>
      <w:r w:rsidRPr="0011418A">
        <w:rPr>
          <w:rFonts w:cs="Times New Roman"/>
        </w:rPr>
        <w:t>Cogentrix</w:t>
      </w:r>
      <w:proofErr w:type="spellEnd"/>
      <w:r w:rsidRPr="0011418A">
        <w:rPr>
          <w:rFonts w:cs="Times New Roman"/>
        </w:rPr>
        <w:t xml:space="preserve">, Constellation (formerly Exelon), EDF Trading North America, </w:t>
      </w:r>
      <w:r>
        <w:rPr>
          <w:rFonts w:cs="Times New Roman"/>
        </w:rPr>
        <w:t>Hull Street Energy</w:t>
      </w:r>
      <w:r w:rsidRPr="0011418A">
        <w:rPr>
          <w:rFonts w:cs="Times New Roman"/>
        </w:rPr>
        <w:t>,</w:t>
      </w:r>
      <w:r>
        <w:rPr>
          <w:rFonts w:cs="Times New Roman"/>
        </w:rPr>
        <w:t xml:space="preserve"> LS Power,</w:t>
      </w:r>
      <w:r w:rsidRPr="0011418A">
        <w:rPr>
          <w:rFonts w:cs="Times New Roman"/>
        </w:rPr>
        <w:t xml:space="preserve"> </w:t>
      </w:r>
      <w:r w:rsidR="00DC16B8">
        <w:rPr>
          <w:rFonts w:cs="Times New Roman"/>
        </w:rPr>
        <w:t>Luminant</w:t>
      </w:r>
      <w:r w:rsidR="002162A4">
        <w:rPr>
          <w:rFonts w:cs="Times New Roman"/>
        </w:rPr>
        <w:t xml:space="preserve"> (aka Vistra)</w:t>
      </w:r>
      <w:r w:rsidR="00DC16B8">
        <w:rPr>
          <w:rFonts w:cs="Times New Roman"/>
        </w:rPr>
        <w:t xml:space="preserve">, </w:t>
      </w:r>
      <w:r>
        <w:rPr>
          <w:rFonts w:cs="Times New Roman"/>
        </w:rPr>
        <w:t>NRG, Rockland Capital</w:t>
      </w:r>
      <w:r w:rsidRPr="0011418A">
        <w:rPr>
          <w:rFonts w:cs="Times New Roman"/>
        </w:rPr>
        <w:t xml:space="preserve">, </w:t>
      </w:r>
      <w:r>
        <w:rPr>
          <w:rFonts w:cs="Times New Roman"/>
        </w:rPr>
        <w:t xml:space="preserve">Shell Energy North America, </w:t>
      </w:r>
      <w:r w:rsidRPr="0011418A">
        <w:rPr>
          <w:rFonts w:cs="Times New Roman"/>
        </w:rPr>
        <w:t xml:space="preserve">Talen Energy, </w:t>
      </w:r>
      <w:r w:rsidR="00DC16B8">
        <w:rPr>
          <w:rFonts w:cs="Times New Roman"/>
        </w:rPr>
        <w:t xml:space="preserve">and </w:t>
      </w:r>
      <w:proofErr w:type="spellStart"/>
      <w:r w:rsidRPr="0011418A">
        <w:rPr>
          <w:rFonts w:cs="Times New Roman"/>
        </w:rPr>
        <w:t>TexGen</w:t>
      </w:r>
      <w:proofErr w:type="spellEnd"/>
      <w:r w:rsidRPr="0011418A">
        <w:rPr>
          <w:rFonts w:cs="Times New Roman"/>
        </w:rPr>
        <w:t xml:space="preserve"> Power</w:t>
      </w:r>
      <w:r w:rsidR="00FD3A88">
        <w:rPr>
          <w:rFonts w:cs="Times New Roman"/>
        </w:rPr>
        <w:t>.</w:t>
      </w:r>
      <w:r w:rsidRPr="0011418A">
        <w:rPr>
          <w:rFonts w:cs="Times New Roman"/>
        </w:rPr>
        <w:t xml:space="preserve"> </w:t>
      </w:r>
      <w:r w:rsidR="00996046">
        <w:rPr>
          <w:rFonts w:cs="Times New Roman"/>
        </w:rPr>
        <w:t>Tenaska Power Services is filing comments separately.</w:t>
      </w:r>
    </w:p>
  </w:footnote>
  <w:footnote w:id="2">
    <w:p w14:paraId="578B5EBF" w14:textId="29A677E4" w:rsidR="004E5915" w:rsidRDefault="004E5915">
      <w:pPr>
        <w:pStyle w:val="FootnoteText"/>
      </w:pPr>
      <w:r>
        <w:rPr>
          <w:rStyle w:val="FootnoteReference"/>
        </w:rPr>
        <w:footnoteRef/>
      </w:r>
      <w:r>
        <w:t xml:space="preserve"> </w:t>
      </w:r>
      <w:r w:rsidR="00FD3A88" w:rsidRPr="0011730F">
        <w:rPr>
          <w:i/>
          <w:iCs/>
        </w:rPr>
        <w:t>Application of the City of Garland to Amend a Certificate of Convenience and Necessity for the Rusk to Panola Double-Circuit 345-KV Transmission Line in Rusk and Panola Counties</w:t>
      </w:r>
      <w:r w:rsidR="00FD3A88">
        <w:t xml:space="preserve">, </w:t>
      </w:r>
      <w:r>
        <w:t>Docket</w:t>
      </w:r>
      <w:r w:rsidR="0011730F">
        <w:t xml:space="preserve"> No.</w:t>
      </w:r>
      <w:r>
        <w:t xml:space="preserve"> </w:t>
      </w:r>
      <w:r w:rsidR="009421E6">
        <w:t xml:space="preserve">45624, </w:t>
      </w:r>
      <w:r w:rsidR="009421E6" w:rsidRPr="0011730F">
        <w:t>Revised Order Creating and Scoping Project</w:t>
      </w:r>
      <w:r w:rsidR="0011730F">
        <w:t xml:space="preserve"> (</w:t>
      </w:r>
      <w:r w:rsidR="005F378B">
        <w:t>May 23, 2017</w:t>
      </w:r>
      <w:r w:rsidR="0011730F">
        <w:t>)</w:t>
      </w:r>
      <w:r w:rsidR="005F378B">
        <w:t>.</w:t>
      </w:r>
    </w:p>
  </w:footnote>
  <w:footnote w:id="3">
    <w:p w14:paraId="14B6FEFB" w14:textId="5498A060" w:rsidR="005F378B" w:rsidRDefault="005F378B">
      <w:pPr>
        <w:pStyle w:val="FootnoteText"/>
      </w:pPr>
      <w:r>
        <w:rPr>
          <w:rStyle w:val="FootnoteReference"/>
        </w:rPr>
        <w:footnoteRef/>
      </w:r>
      <w:r>
        <w:t xml:space="preserve"> </w:t>
      </w:r>
      <w:r w:rsidR="00B91A19" w:rsidRPr="00F60B4B">
        <w:rPr>
          <w:i/>
          <w:iCs/>
        </w:rPr>
        <w:t xml:space="preserve">Oversight Proceeding Regarding ERCOT Matters Arising Out of Docket </w:t>
      </w:r>
      <w:r w:rsidR="0011730F">
        <w:rPr>
          <w:i/>
          <w:iCs/>
        </w:rPr>
        <w:t xml:space="preserve">No. </w:t>
      </w:r>
      <w:r w:rsidR="00B91A19" w:rsidRPr="00F60B4B">
        <w:rPr>
          <w:i/>
          <w:iCs/>
        </w:rPr>
        <w:t>45624</w:t>
      </w:r>
      <w:r w:rsidR="00D51E08">
        <w:t xml:space="preserve">, </w:t>
      </w:r>
      <w:r w:rsidR="0011730F">
        <w:t xml:space="preserve">Project No. 46304, </w:t>
      </w:r>
      <w:r w:rsidR="0011730F" w:rsidRPr="009B3ECE">
        <w:t>Revised Order Creating and Scoping Project</w:t>
      </w:r>
      <w:r w:rsidR="0011730F">
        <w:t xml:space="preserve"> (</w:t>
      </w:r>
      <w:r w:rsidR="00D51E08">
        <w:t>May 23, 2017</w:t>
      </w:r>
      <w:r w:rsidR="0011730F">
        <w:t>)</w:t>
      </w:r>
      <w:r w:rsidR="00D51E08">
        <w:t>.</w:t>
      </w:r>
    </w:p>
  </w:footnote>
  <w:footnote w:id="4">
    <w:p w14:paraId="12B09199" w14:textId="688C96D9" w:rsidR="00F60B4B" w:rsidRDefault="00F60B4B">
      <w:pPr>
        <w:pStyle w:val="FootnoteText"/>
      </w:pPr>
      <w:r>
        <w:rPr>
          <w:rStyle w:val="FootnoteReference"/>
        </w:rPr>
        <w:footnoteRef/>
      </w:r>
      <w:r>
        <w:t xml:space="preserve"> </w:t>
      </w:r>
      <w:r w:rsidRPr="00F60B4B">
        <w:rPr>
          <w:i/>
          <w:iCs/>
        </w:rPr>
        <w:t>Id</w:t>
      </w:r>
      <w:r>
        <w:t xml:space="preserve"> at 2.</w:t>
      </w:r>
    </w:p>
  </w:footnote>
  <w:footnote w:id="5">
    <w:p w14:paraId="5AB497DC" w14:textId="75CC6605" w:rsidR="007A3C01" w:rsidRDefault="007A3C01">
      <w:pPr>
        <w:pStyle w:val="FootnoteText"/>
      </w:pPr>
      <w:r>
        <w:rPr>
          <w:rStyle w:val="FootnoteReference"/>
        </w:rPr>
        <w:footnoteRef/>
      </w:r>
      <w:r>
        <w:t xml:space="preserve"> </w:t>
      </w:r>
      <w:r w:rsidR="0011730F">
        <w:rPr>
          <w:i/>
          <w:iCs/>
        </w:rPr>
        <w:t xml:space="preserve">See </w:t>
      </w:r>
      <w:r w:rsidR="007B46E5">
        <w:t>Project</w:t>
      </w:r>
      <w:r w:rsidR="0011730F">
        <w:t xml:space="preserve"> No.</w:t>
      </w:r>
      <w:r w:rsidR="007B46E5">
        <w:t xml:space="preserve"> 46304, </w:t>
      </w:r>
      <w:r w:rsidR="00035B1D">
        <w:t>Order Closing Project</w:t>
      </w:r>
      <w:r w:rsidR="0011730F">
        <w:t xml:space="preserve"> (Sept. 30, 2022),</w:t>
      </w:r>
      <w:r w:rsidR="00035B1D">
        <w:t xml:space="preserve"> and</w:t>
      </w:r>
      <w:r w:rsidR="0011730F">
        <w:t xml:space="preserve"> </w:t>
      </w:r>
      <w:r w:rsidR="0011730F" w:rsidRPr="00C26907">
        <w:rPr>
          <w:i/>
          <w:iCs/>
        </w:rPr>
        <w:t xml:space="preserve">Compliance Project Related to Project </w:t>
      </w:r>
      <w:r w:rsidR="0011730F">
        <w:rPr>
          <w:i/>
          <w:iCs/>
        </w:rPr>
        <w:t xml:space="preserve">No. </w:t>
      </w:r>
      <w:r w:rsidR="0011730F" w:rsidRPr="00C26907">
        <w:rPr>
          <w:i/>
          <w:iCs/>
        </w:rPr>
        <w:t>46304</w:t>
      </w:r>
      <w:r w:rsidR="0011730F">
        <w:t>,</w:t>
      </w:r>
      <w:r w:rsidR="00035B1D">
        <w:t xml:space="preserve"> Project</w:t>
      </w:r>
      <w:r w:rsidR="0011730F">
        <w:t xml:space="preserve"> No.</w:t>
      </w:r>
      <w:r w:rsidR="00035B1D">
        <w:t xml:space="preserve"> 54166, </w:t>
      </w:r>
      <w:r w:rsidR="0059362A">
        <w:t>Order Opening Project</w:t>
      </w:r>
      <w:r w:rsidR="0011730F">
        <w:t xml:space="preserve"> at 1</w:t>
      </w:r>
      <w:r w:rsidR="0059362A">
        <w:t xml:space="preserve"> </w:t>
      </w:r>
      <w:r w:rsidR="0011730F">
        <w:t>(</w:t>
      </w:r>
      <w:r w:rsidR="0059362A">
        <w:t>Sept</w:t>
      </w:r>
      <w:r w:rsidR="0011730F">
        <w:t>.</w:t>
      </w:r>
      <w:r w:rsidR="0059362A">
        <w:t xml:space="preserve"> 30, 2022</w:t>
      </w:r>
      <w:r w:rsidR="0011730F">
        <w:t>)</w:t>
      </w:r>
      <w:r w:rsidR="00C26907">
        <w:t>.</w:t>
      </w:r>
    </w:p>
  </w:footnote>
  <w:footnote w:id="6">
    <w:p w14:paraId="74FC5C8E" w14:textId="77777777" w:rsidR="00805815" w:rsidRPr="00533434" w:rsidRDefault="00805815" w:rsidP="00805815">
      <w:pPr>
        <w:pStyle w:val="FootnoteText"/>
      </w:pPr>
      <w:r>
        <w:rPr>
          <w:rStyle w:val="FootnoteReference"/>
        </w:rPr>
        <w:footnoteRef/>
      </w:r>
      <w:r>
        <w:t xml:space="preserve"> Directive 6, </w:t>
      </w:r>
      <w:r>
        <w:rPr>
          <w:i/>
          <w:iCs/>
        </w:rPr>
        <w:t>Determination regarding any needed transmission upgrades</w:t>
      </w:r>
      <w:r>
        <w:t xml:space="preserve"> (“</w:t>
      </w:r>
      <w:r w:rsidRPr="004D0DDD">
        <w:t>ERCOT shall study and determine what transmission upgrades, if any, are necessary to manage congestion resulting from power flows over the Southern Cross DC tie, make any necessary revisions to its standards, guides, systems, and protocols as appropriate, and certify to the Commission when it has completed these actions.</w:t>
      </w:r>
      <w:r>
        <w:t>”)</w:t>
      </w:r>
    </w:p>
  </w:footnote>
  <w:footnote w:id="7">
    <w:p w14:paraId="1077B42B" w14:textId="77777777" w:rsidR="00805815" w:rsidRPr="004D0DDD" w:rsidRDefault="00805815" w:rsidP="00805815">
      <w:pPr>
        <w:pStyle w:val="FootnoteText"/>
      </w:pPr>
      <w:r>
        <w:rPr>
          <w:rStyle w:val="FootnoteReference"/>
        </w:rPr>
        <w:footnoteRef/>
      </w:r>
      <w:r>
        <w:t xml:space="preserve"> Directive 11, </w:t>
      </w:r>
      <w:r w:rsidRPr="00116B69">
        <w:rPr>
          <w:i/>
          <w:iCs/>
        </w:rPr>
        <w:t>Determination regarding allocation of costs identified in PUC Docket No. 45624</w:t>
      </w:r>
      <w:r>
        <w:t xml:space="preserve"> (“</w:t>
      </w:r>
      <w:r w:rsidRPr="004D0DDD">
        <w:t>As ordered by the Public Utility Commission of Texas (PUCT) in Project No. 46304: 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r>
        <w:t>”)</w:t>
      </w:r>
    </w:p>
  </w:footnote>
  <w:footnote w:id="8">
    <w:p w14:paraId="759BCAC1" w14:textId="747C8AEC" w:rsidR="00F05C5D" w:rsidRDefault="00F05C5D" w:rsidP="00F05C5D">
      <w:pPr>
        <w:pStyle w:val="FootnoteText"/>
      </w:pPr>
      <w:r>
        <w:rPr>
          <w:rStyle w:val="FootnoteReference"/>
        </w:rPr>
        <w:footnoteRef/>
      </w:r>
      <w:r>
        <w:t xml:space="preserve"> </w:t>
      </w:r>
      <w:r w:rsidR="00B654C6">
        <w:t>Docket No. 45624, Order on Rehearing at 62 (Ordering Paragraphs 44-45).</w:t>
      </w:r>
    </w:p>
  </w:footnote>
  <w:footnote w:id="9">
    <w:p w14:paraId="0705EDF7" w14:textId="3162A828" w:rsidR="005579CC" w:rsidRDefault="005579CC">
      <w:pPr>
        <w:pStyle w:val="FootnoteText"/>
      </w:pPr>
      <w:r>
        <w:rPr>
          <w:rStyle w:val="FootnoteReference"/>
        </w:rPr>
        <w:footnoteRef/>
      </w:r>
      <w:r>
        <w:t xml:space="preserve"> Docket </w:t>
      </w:r>
      <w:r w:rsidR="0011730F">
        <w:t xml:space="preserve">No. </w:t>
      </w:r>
      <w:r>
        <w:t xml:space="preserve">45624, </w:t>
      </w:r>
      <w:r w:rsidRPr="0011730F">
        <w:t>Revised Order Creating and Scoping Project</w:t>
      </w:r>
      <w:r w:rsidR="0011730F">
        <w:t xml:space="preserve"> at 2-4</w:t>
      </w:r>
      <w:r>
        <w:t xml:space="preserve"> </w:t>
      </w:r>
      <w:r w:rsidR="0011730F">
        <w:t>(</w:t>
      </w:r>
      <w:r>
        <w:t>May 23, 2017</w:t>
      </w:r>
      <w:r w:rsidR="0011730F">
        <w:t>)</w:t>
      </w:r>
      <w:r>
        <w:t>.</w:t>
      </w:r>
    </w:p>
  </w:footnote>
  <w:footnote w:id="10">
    <w:p w14:paraId="182CEC24" w14:textId="546701FE" w:rsidR="004B3B02" w:rsidRDefault="004B3B02">
      <w:pPr>
        <w:pStyle w:val="FootnoteText"/>
      </w:pPr>
      <w:r>
        <w:rPr>
          <w:rStyle w:val="FootnoteReference"/>
        </w:rPr>
        <w:footnoteRef/>
      </w:r>
      <w:r>
        <w:t xml:space="preserve"> </w:t>
      </w:r>
      <w:hyperlink r:id="rId1" w:history="1">
        <w:r w:rsidR="00F05C7F" w:rsidRPr="00F05C7F">
          <w:rPr>
            <w:rStyle w:val="Hyperlink"/>
          </w:rPr>
          <w:t>https://www.ercot.com/files/docs/2022/05/31/Directive_6_ERCOT_Determination_regarding_Any_Needed_</w:t>
        </w:r>
        <w:r w:rsidR="00F05C7F" w:rsidRPr="00F05C7F">
          <w:rPr>
            <w:rStyle w:val="Hyperlink"/>
          </w:rPr>
          <w:br/>
          <w:t>Transmission_Upgrades.pdf</w:t>
        </w:r>
      </w:hyperlink>
      <w:r w:rsidR="0073492A">
        <w:t xml:space="preserve">. </w:t>
      </w:r>
    </w:p>
  </w:footnote>
  <w:footnote w:id="11">
    <w:p w14:paraId="2C8F9300" w14:textId="5F34D573" w:rsidR="0055798E" w:rsidRPr="00FE042A" w:rsidRDefault="0055798E" w:rsidP="0055798E">
      <w:pPr>
        <w:pStyle w:val="FootnoteText"/>
      </w:pPr>
      <w:r>
        <w:rPr>
          <w:rStyle w:val="FootnoteReference"/>
        </w:rPr>
        <w:footnoteRef/>
      </w:r>
      <w:r>
        <w:t xml:space="preserve"> </w:t>
      </w:r>
      <w:hyperlink r:id="rId2" w:history="1">
        <w:r w:rsidR="0073492A" w:rsidRPr="00DE0B26">
          <w:rPr>
            <w:rStyle w:val="Hyperlink"/>
          </w:rPr>
          <w:t>https://www.ercot.com/mktrules/puctDirectives/southernCross</w:t>
        </w:r>
      </w:hyperlink>
      <w:r w:rsidR="001B539A">
        <w:t xml:space="preserve">; </w:t>
      </w:r>
      <w:r w:rsidR="001B539A">
        <w:rPr>
          <w:i/>
          <w:iCs/>
        </w:rPr>
        <w:t>see also</w:t>
      </w:r>
      <w:r w:rsidR="001B539A">
        <w:t xml:space="preserve"> Planning Guide Revision Request (PGRR) 077, Board Report (</w:t>
      </w:r>
      <w:r w:rsidR="00FE042A">
        <w:t xml:space="preserve">eff. Nov. 1, 2020), </w:t>
      </w:r>
      <w:r w:rsidR="00FE042A">
        <w:rPr>
          <w:i/>
          <w:iCs/>
        </w:rPr>
        <w:t>available at</w:t>
      </w:r>
      <w:r w:rsidR="00FE042A">
        <w:t xml:space="preserve">: </w:t>
      </w:r>
      <w:hyperlink r:id="rId3" w:history="1">
        <w:r w:rsidR="00FE042A" w:rsidRPr="001376CB">
          <w:rPr>
            <w:rStyle w:val="Hyperlink"/>
          </w:rPr>
          <w:t>https://www.ercot.com/files/docs/2020/10/16/077PGRR-24_Board_Report_101320.doc</w:t>
        </w:r>
      </w:hyperlink>
      <w:r w:rsidR="00FE042A">
        <w:t xml:space="preserve">. </w:t>
      </w:r>
    </w:p>
  </w:footnote>
  <w:footnote w:id="12">
    <w:p w14:paraId="3626C3D6" w14:textId="4F7C18E4" w:rsidR="003B7D81" w:rsidRDefault="003B7D81">
      <w:pPr>
        <w:pStyle w:val="FootnoteText"/>
      </w:pPr>
      <w:r>
        <w:rPr>
          <w:rStyle w:val="FootnoteReference"/>
        </w:rPr>
        <w:footnoteRef/>
      </w:r>
      <w:r>
        <w:t xml:space="preserve"> </w:t>
      </w:r>
      <w:r w:rsidRPr="001A68F4">
        <w:rPr>
          <w:i/>
          <w:iCs/>
        </w:rPr>
        <w:t>ERCOT Interconnection Study for 2023 Biennial Report</w:t>
      </w:r>
      <w:r>
        <w:t xml:space="preserve">, Project No. 54163, Comments of Electric Reliability Council of Texas, Inc. at </w:t>
      </w:r>
      <w:r w:rsidR="00B51E9F">
        <w:t>4</w:t>
      </w:r>
      <w:r>
        <w:t xml:space="preserve"> (Oct. 21, 2022).</w:t>
      </w:r>
    </w:p>
  </w:footnote>
  <w:footnote w:id="13">
    <w:p w14:paraId="2AB754F0" w14:textId="0EE5E818" w:rsidR="002F4C24" w:rsidRDefault="002F4C24">
      <w:pPr>
        <w:pStyle w:val="FootnoteText"/>
      </w:pPr>
      <w:r>
        <w:rPr>
          <w:rStyle w:val="FootnoteReference"/>
        </w:rPr>
        <w:footnoteRef/>
      </w:r>
      <w:r>
        <w:t xml:space="preserve"> </w:t>
      </w:r>
      <w:r w:rsidR="005334E5">
        <w:t>Project No. 54163,</w:t>
      </w:r>
      <w:r w:rsidR="00744E24">
        <w:t xml:space="preserve"> Comments of Electric Reliability Council of Texas, Inc. </w:t>
      </w:r>
      <w:r w:rsidR="001A68F4">
        <w:t>at 3</w:t>
      </w:r>
      <w:r w:rsidR="005334E5">
        <w:t xml:space="preserve"> (Oct. 21, 2022)</w:t>
      </w:r>
      <w:r w:rsidR="001A68F4">
        <w:t>.</w:t>
      </w:r>
    </w:p>
  </w:footnote>
  <w:footnote w:id="14">
    <w:p w14:paraId="134112FB" w14:textId="2C9BB422" w:rsidR="003263D7" w:rsidRDefault="003263D7">
      <w:pPr>
        <w:pStyle w:val="FootnoteText"/>
      </w:pPr>
      <w:r>
        <w:rPr>
          <w:rStyle w:val="FootnoteReference"/>
        </w:rPr>
        <w:footnoteRef/>
      </w:r>
      <w:r>
        <w:t xml:space="preserve"> </w:t>
      </w:r>
      <w:r w:rsidRPr="003263D7">
        <w:rPr>
          <w:i/>
          <w:iCs/>
        </w:rPr>
        <w:t>Id</w:t>
      </w:r>
      <w:r>
        <w:t xml:space="preserve"> at 4.</w:t>
      </w:r>
    </w:p>
  </w:footnote>
  <w:footnote w:id="15">
    <w:p w14:paraId="01A23697" w14:textId="77777777" w:rsidR="004733CF" w:rsidRDefault="004733CF" w:rsidP="004733CF">
      <w:pPr>
        <w:pStyle w:val="FootnoteText"/>
      </w:pPr>
      <w:r>
        <w:rPr>
          <w:rStyle w:val="FootnoteReference"/>
        </w:rPr>
        <w:footnoteRef/>
      </w:r>
      <w:r>
        <w:t xml:space="preserve"> Federal Energy Regulatory Commission (FERC), North American Electric Reliability Corporation (NERC), and Regional Entity Staff Report: </w:t>
      </w:r>
      <w:r w:rsidRPr="00271C22">
        <w:rPr>
          <w:rFonts w:cs="Times New Roman"/>
          <w:i/>
          <w:iCs/>
          <w:shd w:val="clear" w:color="auto" w:fill="FFFFFF"/>
        </w:rPr>
        <w:t>Inquiry into Bulk-Power System Operations During December 2022 Winter Storm Elliott</w:t>
      </w:r>
      <w:r>
        <w:rPr>
          <w:rFonts w:cs="Times New Roman"/>
          <w:shd w:val="clear" w:color="auto" w:fill="FFFFFF"/>
        </w:rPr>
        <w:t xml:space="preserve">, November 7, </w:t>
      </w:r>
      <w:proofErr w:type="gramStart"/>
      <w:r>
        <w:rPr>
          <w:rFonts w:cs="Times New Roman"/>
          <w:shd w:val="clear" w:color="auto" w:fill="FFFFFF"/>
        </w:rPr>
        <w:t>2023</w:t>
      </w:r>
      <w:proofErr w:type="gramEnd"/>
      <w:r>
        <w:rPr>
          <w:rFonts w:cs="Times New Roman"/>
          <w:shd w:val="clear" w:color="auto" w:fill="FFFFFF"/>
        </w:rPr>
        <w:t xml:space="preserve"> at 46.</w:t>
      </w:r>
    </w:p>
  </w:footnote>
  <w:footnote w:id="16">
    <w:p w14:paraId="4714F148" w14:textId="77777777" w:rsidR="004733CF" w:rsidRDefault="004733CF" w:rsidP="004733CF">
      <w:pPr>
        <w:pStyle w:val="FootnoteText"/>
      </w:pPr>
      <w:r>
        <w:rPr>
          <w:rStyle w:val="FootnoteReference"/>
        </w:rPr>
        <w:footnoteRef/>
      </w:r>
      <w:r>
        <w:t xml:space="preserve"> </w:t>
      </w:r>
      <w:r w:rsidRPr="00E346E7">
        <w:rPr>
          <w:i/>
          <w:iCs/>
        </w:rPr>
        <w:t>Id</w:t>
      </w:r>
      <w:r>
        <w:t xml:space="preserve"> at 57-61.</w:t>
      </w:r>
    </w:p>
  </w:footnote>
  <w:footnote w:id="17">
    <w:p w14:paraId="7AD70E27" w14:textId="4E58AE33" w:rsidR="00A845F0" w:rsidRDefault="00A845F0">
      <w:pPr>
        <w:pStyle w:val="FootnoteText"/>
      </w:pPr>
      <w:r>
        <w:rPr>
          <w:rStyle w:val="FootnoteReference"/>
        </w:rPr>
        <w:footnoteRef/>
      </w:r>
      <w:r w:rsidR="005F7490">
        <w:rPr>
          <w:i/>
          <w:iCs/>
        </w:rPr>
        <w:t>E.g.</w:t>
      </w:r>
      <w:r w:rsidR="005F7490">
        <w:t xml:space="preserve">, </w:t>
      </w:r>
      <w:r w:rsidR="006A4725">
        <w:t>88</w:t>
      </w:r>
      <w:r w:rsidR="006A4725" w:rsidRPr="006A4725">
        <w:rPr>
          <w:vertAlign w:val="superscript"/>
        </w:rPr>
        <w:t>th</w:t>
      </w:r>
      <w:r w:rsidR="006A4725">
        <w:t xml:space="preserve"> </w:t>
      </w:r>
      <w:r w:rsidR="005334E5">
        <w:t>Tex. Leg., R.S., House Bill 1500 (</w:t>
      </w:r>
      <w:r w:rsidR="006A4725">
        <w:t>Enrolled</w:t>
      </w:r>
      <w:r w:rsidR="005334E5">
        <w:t>) and Senate Bill 2627 (Enrolled)</w:t>
      </w:r>
      <w:r w:rsidR="00761123">
        <w:t>.</w:t>
      </w:r>
    </w:p>
  </w:footnote>
  <w:footnote w:id="18">
    <w:p w14:paraId="2ED36E11" w14:textId="43446DC6" w:rsidR="00250655" w:rsidRDefault="00250655">
      <w:pPr>
        <w:pStyle w:val="FootnoteText"/>
      </w:pPr>
      <w:r>
        <w:rPr>
          <w:rStyle w:val="FootnoteReference"/>
        </w:rPr>
        <w:footnoteRef/>
      </w:r>
      <w:r>
        <w:t xml:space="preserve"> Project</w:t>
      </w:r>
      <w:r w:rsidR="0073492A">
        <w:t xml:space="preserve"> No.</w:t>
      </w:r>
      <w:r>
        <w:t xml:space="preserve"> 54163, Comments of Electric Reliability Council of Texas, Inc. at 6</w:t>
      </w:r>
      <w:r w:rsidR="005334E5">
        <w:t xml:space="preserve"> (Oct. 21, 2022)</w:t>
      </w:r>
      <w:r>
        <w:t>.</w:t>
      </w:r>
    </w:p>
  </w:footnote>
  <w:footnote w:id="19">
    <w:p w14:paraId="7B79BCF7" w14:textId="615BC7BA" w:rsidR="004906FC" w:rsidRDefault="004906FC">
      <w:pPr>
        <w:pStyle w:val="FootnoteText"/>
      </w:pPr>
      <w:r>
        <w:rPr>
          <w:rStyle w:val="FootnoteReference"/>
        </w:rPr>
        <w:footnoteRef/>
      </w:r>
      <w:r>
        <w:t xml:space="preserve"> </w:t>
      </w:r>
      <w:r w:rsidRPr="004906FC">
        <w:rPr>
          <w:i/>
          <w:iCs/>
        </w:rPr>
        <w:t>Id</w:t>
      </w:r>
      <w:r>
        <w:t>.</w:t>
      </w:r>
    </w:p>
  </w:footnote>
  <w:footnote w:id="20">
    <w:p w14:paraId="3DBC095E" w14:textId="2DC6CED1" w:rsidR="00EC57F4" w:rsidRPr="00EC57F4" w:rsidRDefault="00EC57F4">
      <w:pPr>
        <w:pStyle w:val="FootnoteText"/>
      </w:pPr>
      <w:r>
        <w:rPr>
          <w:rStyle w:val="FootnoteReference"/>
        </w:rPr>
        <w:footnoteRef/>
      </w:r>
      <w:r>
        <w:t xml:space="preserve"> </w:t>
      </w:r>
      <w:r>
        <w:rPr>
          <w:i/>
          <w:iCs/>
        </w:rPr>
        <w:t>See Project for Commission Ordered Transmission Facilities</w:t>
      </w:r>
      <w:r>
        <w:t>, Project No. 52682, Order (Oct. 14, 2021).</w:t>
      </w:r>
    </w:p>
  </w:footnote>
  <w:footnote w:id="21">
    <w:p w14:paraId="1E96DD02" w14:textId="0C612D26" w:rsidR="00D42C53" w:rsidRPr="00D42C53" w:rsidRDefault="00D42C53">
      <w:pPr>
        <w:pStyle w:val="FootnoteText"/>
      </w:pPr>
      <w:r>
        <w:rPr>
          <w:rStyle w:val="FootnoteReference"/>
        </w:rPr>
        <w:footnoteRef/>
      </w:r>
      <w:r>
        <w:t xml:space="preserve"> </w:t>
      </w:r>
      <w:r>
        <w:rPr>
          <w:i/>
          <w:iCs/>
        </w:rPr>
        <w:t>See</w:t>
      </w:r>
      <w:r>
        <w:t xml:space="preserve"> </w:t>
      </w:r>
      <w:r w:rsidR="00643A4D">
        <w:t>Public Utility Regulatory Act (PURA), Tex. Util. Code § 39.1594.</w:t>
      </w:r>
    </w:p>
  </w:footnote>
  <w:footnote w:id="22">
    <w:p w14:paraId="1EC78934" w14:textId="3C0484EC" w:rsidR="006D43C5" w:rsidRDefault="006D43C5">
      <w:pPr>
        <w:pStyle w:val="FootnoteText"/>
      </w:pPr>
      <w:r>
        <w:rPr>
          <w:rStyle w:val="FootnoteReference"/>
        </w:rPr>
        <w:footnoteRef/>
      </w:r>
      <w:r>
        <w:t xml:space="preserve"> </w:t>
      </w:r>
      <w:r w:rsidR="005F35B7">
        <w:t xml:space="preserve">FERC Panel 4: Meeting the Goal of Increased Interregional Transfer Capability Commission Staff-Led Workshop, Dec. 6, 2022, </w:t>
      </w:r>
      <w:r w:rsidR="005F35B7" w:rsidRPr="005F35B7">
        <w:rPr>
          <w:i/>
          <w:iCs/>
        </w:rPr>
        <w:t>Opening Statement of Travis Kavulla Vice President, Regulatory Affairs NRG Energy, Inc.</w:t>
      </w:r>
      <w:r w:rsidR="005F35B7">
        <w:t xml:space="preserve"> </w:t>
      </w:r>
      <w:r>
        <w:t>at 7.</w:t>
      </w:r>
    </w:p>
  </w:footnote>
  <w:footnote w:id="23">
    <w:p w14:paraId="68AA6ABD" w14:textId="6F3FF7BF" w:rsidR="006A0266" w:rsidRPr="0073492A" w:rsidRDefault="006A0266" w:rsidP="006A0266">
      <w:pPr>
        <w:rPr>
          <w:szCs w:val="24"/>
        </w:rPr>
      </w:pPr>
      <w:r>
        <w:rPr>
          <w:rStyle w:val="FootnoteReference"/>
        </w:rPr>
        <w:footnoteRef/>
      </w:r>
      <w:r>
        <w:t xml:space="preserve"> </w:t>
      </w:r>
      <w:hyperlink r:id="rId4" w:history="1">
        <w:r w:rsidR="008B6302" w:rsidRPr="002162A4">
          <w:rPr>
            <w:rStyle w:val="Hyperlink"/>
            <w:sz w:val="20"/>
            <w:szCs w:val="20"/>
          </w:rPr>
          <w:t>https://www.ercot.com/files/docs/2022/05/31/Directive_6_ERCOT_Determination_regarding_Any_Needed_</w:t>
        </w:r>
        <w:r w:rsidR="008B6302" w:rsidRPr="008B6302">
          <w:rPr>
            <w:rStyle w:val="Hyperlink"/>
            <w:sz w:val="20"/>
            <w:szCs w:val="20"/>
          </w:rPr>
          <w:br/>
        </w:r>
        <w:r w:rsidR="008B6302" w:rsidRPr="002162A4">
          <w:rPr>
            <w:rStyle w:val="Hyperlink"/>
            <w:sz w:val="20"/>
            <w:szCs w:val="20"/>
          </w:rPr>
          <w:t>Transmission_Upgrades.pdf</w:t>
        </w:r>
      </w:hyperlink>
      <w:r w:rsidR="008B6302">
        <w:rPr>
          <w:sz w:val="20"/>
          <w:szCs w:val="20"/>
        </w:rPr>
        <w:t xml:space="preserve">. </w:t>
      </w:r>
      <w:r>
        <w:rPr>
          <w:szCs w:val="24"/>
        </w:rPr>
        <w:t xml:space="preserve"> </w:t>
      </w:r>
    </w:p>
  </w:footnote>
  <w:footnote w:id="24">
    <w:p w14:paraId="6CE0794B" w14:textId="77259A7D" w:rsidR="00B95B7A" w:rsidRPr="00B95B7A" w:rsidRDefault="00B95B7A">
      <w:pPr>
        <w:pStyle w:val="FootnoteText"/>
        <w:rPr>
          <w:i/>
          <w:iCs/>
        </w:rPr>
      </w:pPr>
      <w:r>
        <w:rPr>
          <w:rStyle w:val="FootnoteReference"/>
        </w:rPr>
        <w:footnoteRef/>
      </w:r>
      <w:r>
        <w:t xml:space="preserve"> </w:t>
      </w:r>
      <w:r>
        <w:rPr>
          <w:i/>
          <w:iCs/>
        </w:rPr>
        <w:t>Id.</w:t>
      </w:r>
    </w:p>
  </w:footnote>
  <w:footnote w:id="25">
    <w:p w14:paraId="381F5BFF" w14:textId="04105AF8" w:rsidR="00A75951" w:rsidRDefault="00A75951" w:rsidP="0073492A">
      <w:pPr>
        <w:pStyle w:val="pf0"/>
        <w:spacing w:before="0" w:beforeAutospacing="0" w:after="0" w:afterAutospacing="0"/>
      </w:pPr>
      <w:r>
        <w:rPr>
          <w:rStyle w:val="FootnoteReference"/>
        </w:rPr>
        <w:footnoteRef/>
      </w:r>
      <w:r>
        <w:t xml:space="preserve"> </w:t>
      </w:r>
      <w:hyperlink w:history="1">
        <w:r w:rsidR="00A30BB6" w:rsidRPr="00A30BB6">
          <w:rPr>
            <w:rStyle w:val="Hyperlink"/>
            <w:sz w:val="20"/>
            <w:szCs w:val="20"/>
          </w:rPr>
          <w:t>https://</w:t>
        </w:r>
        <w:r w:rsidR="00A30BB6" w:rsidRPr="00A30BB6" w:rsidDel="00A17807">
          <w:rPr>
            <w:rStyle w:val="Hyperlink"/>
            <w:sz w:val="20"/>
            <w:szCs w:val="20"/>
          </w:rPr>
          <w:t xml:space="preserve"> </w:t>
        </w:r>
        <w:r w:rsidR="00A30BB6" w:rsidRPr="00A30BB6">
          <w:rPr>
            <w:rStyle w:val="Hyperlink"/>
            <w:sz w:val="20"/>
            <w:szCs w:val="20"/>
          </w:rPr>
          <w:t>www.kvue.com/amp/article/news/investigations/defenders/</w:t>
        </w:r>
        <w:r w:rsidR="00A30BB6" w:rsidRPr="00A30BB6">
          <w:rPr>
            <w:rStyle w:val="Hyperlink"/>
            <w:sz w:val="20"/>
            <w:szCs w:val="20"/>
          </w:rPr>
          <w:br/>
          <w:t>connect-texas-power-grid-nationally-plan-ercot/269-2918ca91-8e6a-43d3-9fa1-ee2af138e487</w:t>
        </w:r>
      </w:hyperlink>
      <w:r w:rsidR="0073492A">
        <w:rPr>
          <w:rStyle w:val="cf01"/>
          <w:rFonts w:ascii="Times New Roman" w:hAnsi="Times New Roman" w:cs="Times New Roman"/>
          <w:color w:val="0000FF"/>
          <w:sz w:val="20"/>
          <w:szCs w:val="20"/>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C9F6" w14:textId="77777777" w:rsidR="00DE39FD" w:rsidRDefault="00DE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4E26" w14:textId="5F7F3729" w:rsidR="00DE39FD" w:rsidRDefault="00DE3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959" w14:textId="77777777" w:rsidR="00DE39FD" w:rsidRDefault="00DE3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40"/>
    <w:multiLevelType w:val="hybridMultilevel"/>
    <w:tmpl w:val="FC82BE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059D"/>
    <w:multiLevelType w:val="hybridMultilevel"/>
    <w:tmpl w:val="FCF4BCCE"/>
    <w:lvl w:ilvl="0" w:tplc="D6866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7317"/>
    <w:multiLevelType w:val="hybridMultilevel"/>
    <w:tmpl w:val="626AFF66"/>
    <w:lvl w:ilvl="0" w:tplc="AD82FC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14FA"/>
    <w:multiLevelType w:val="hybridMultilevel"/>
    <w:tmpl w:val="0C22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F74"/>
    <w:multiLevelType w:val="hybridMultilevel"/>
    <w:tmpl w:val="2C5A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C0A14"/>
    <w:multiLevelType w:val="hybridMultilevel"/>
    <w:tmpl w:val="9D0C81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11FA8"/>
    <w:multiLevelType w:val="hybridMultilevel"/>
    <w:tmpl w:val="6890D0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030F9B"/>
    <w:multiLevelType w:val="hybridMultilevel"/>
    <w:tmpl w:val="F8822D0C"/>
    <w:lvl w:ilvl="0" w:tplc="36A824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D1D3E"/>
    <w:multiLevelType w:val="hybridMultilevel"/>
    <w:tmpl w:val="15A0EB6A"/>
    <w:lvl w:ilvl="0" w:tplc="01F8EA62">
      <w:start w:val="1"/>
      <w:numFmt w:val="bullet"/>
      <w:lvlText w:val="•"/>
      <w:lvlJc w:val="left"/>
      <w:pPr>
        <w:tabs>
          <w:tab w:val="num" w:pos="720"/>
        </w:tabs>
        <w:ind w:left="720" w:hanging="360"/>
      </w:pPr>
      <w:rPr>
        <w:rFonts w:ascii="Arial" w:hAnsi="Arial" w:hint="default"/>
      </w:rPr>
    </w:lvl>
    <w:lvl w:ilvl="1" w:tplc="3214AE98">
      <w:numFmt w:val="bullet"/>
      <w:lvlText w:val="–"/>
      <w:lvlJc w:val="left"/>
      <w:pPr>
        <w:tabs>
          <w:tab w:val="num" w:pos="1440"/>
        </w:tabs>
        <w:ind w:left="1440" w:hanging="360"/>
      </w:pPr>
      <w:rPr>
        <w:rFonts w:ascii="Arial" w:hAnsi="Arial" w:hint="default"/>
      </w:rPr>
    </w:lvl>
    <w:lvl w:ilvl="2" w:tplc="952649A0" w:tentative="1">
      <w:start w:val="1"/>
      <w:numFmt w:val="bullet"/>
      <w:lvlText w:val="•"/>
      <w:lvlJc w:val="left"/>
      <w:pPr>
        <w:tabs>
          <w:tab w:val="num" w:pos="2160"/>
        </w:tabs>
        <w:ind w:left="2160" w:hanging="360"/>
      </w:pPr>
      <w:rPr>
        <w:rFonts w:ascii="Arial" w:hAnsi="Arial" w:hint="default"/>
      </w:rPr>
    </w:lvl>
    <w:lvl w:ilvl="3" w:tplc="E4AE625E" w:tentative="1">
      <w:start w:val="1"/>
      <w:numFmt w:val="bullet"/>
      <w:lvlText w:val="•"/>
      <w:lvlJc w:val="left"/>
      <w:pPr>
        <w:tabs>
          <w:tab w:val="num" w:pos="2880"/>
        </w:tabs>
        <w:ind w:left="2880" w:hanging="360"/>
      </w:pPr>
      <w:rPr>
        <w:rFonts w:ascii="Arial" w:hAnsi="Arial" w:hint="default"/>
      </w:rPr>
    </w:lvl>
    <w:lvl w:ilvl="4" w:tplc="0BC0437E" w:tentative="1">
      <w:start w:val="1"/>
      <w:numFmt w:val="bullet"/>
      <w:lvlText w:val="•"/>
      <w:lvlJc w:val="left"/>
      <w:pPr>
        <w:tabs>
          <w:tab w:val="num" w:pos="3600"/>
        </w:tabs>
        <w:ind w:left="3600" w:hanging="360"/>
      </w:pPr>
      <w:rPr>
        <w:rFonts w:ascii="Arial" w:hAnsi="Arial" w:hint="default"/>
      </w:rPr>
    </w:lvl>
    <w:lvl w:ilvl="5" w:tplc="B7D85F80" w:tentative="1">
      <w:start w:val="1"/>
      <w:numFmt w:val="bullet"/>
      <w:lvlText w:val="•"/>
      <w:lvlJc w:val="left"/>
      <w:pPr>
        <w:tabs>
          <w:tab w:val="num" w:pos="4320"/>
        </w:tabs>
        <w:ind w:left="4320" w:hanging="360"/>
      </w:pPr>
      <w:rPr>
        <w:rFonts w:ascii="Arial" w:hAnsi="Arial" w:hint="default"/>
      </w:rPr>
    </w:lvl>
    <w:lvl w:ilvl="6" w:tplc="0F6266E2" w:tentative="1">
      <w:start w:val="1"/>
      <w:numFmt w:val="bullet"/>
      <w:lvlText w:val="•"/>
      <w:lvlJc w:val="left"/>
      <w:pPr>
        <w:tabs>
          <w:tab w:val="num" w:pos="5040"/>
        </w:tabs>
        <w:ind w:left="5040" w:hanging="360"/>
      </w:pPr>
      <w:rPr>
        <w:rFonts w:ascii="Arial" w:hAnsi="Arial" w:hint="default"/>
      </w:rPr>
    </w:lvl>
    <w:lvl w:ilvl="7" w:tplc="5DB66918" w:tentative="1">
      <w:start w:val="1"/>
      <w:numFmt w:val="bullet"/>
      <w:lvlText w:val="•"/>
      <w:lvlJc w:val="left"/>
      <w:pPr>
        <w:tabs>
          <w:tab w:val="num" w:pos="5760"/>
        </w:tabs>
        <w:ind w:left="5760" w:hanging="360"/>
      </w:pPr>
      <w:rPr>
        <w:rFonts w:ascii="Arial" w:hAnsi="Arial" w:hint="default"/>
      </w:rPr>
    </w:lvl>
    <w:lvl w:ilvl="8" w:tplc="38D24C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F61B8"/>
    <w:multiLevelType w:val="hybridMultilevel"/>
    <w:tmpl w:val="0E22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B347F7"/>
    <w:multiLevelType w:val="hybridMultilevel"/>
    <w:tmpl w:val="12908388"/>
    <w:lvl w:ilvl="0" w:tplc="CA3E52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60608"/>
    <w:multiLevelType w:val="hybridMultilevel"/>
    <w:tmpl w:val="3DD8D81E"/>
    <w:lvl w:ilvl="0" w:tplc="B056543C">
      <w:start w:val="1"/>
      <w:numFmt w:val="decimal"/>
      <w:lvlText w:val="%1."/>
      <w:lvlJc w:val="left"/>
      <w:pPr>
        <w:ind w:left="1440" w:hanging="360"/>
      </w:pPr>
      <w:rPr>
        <w:rFonts w:hint="default"/>
        <w:b/>
        <w:bCs/>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CF157F"/>
    <w:multiLevelType w:val="hybridMultilevel"/>
    <w:tmpl w:val="993E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C4DEC"/>
    <w:multiLevelType w:val="hybridMultilevel"/>
    <w:tmpl w:val="FE7C7FD4"/>
    <w:lvl w:ilvl="0" w:tplc="6414D2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9503C"/>
    <w:multiLevelType w:val="hybridMultilevel"/>
    <w:tmpl w:val="BEB49316"/>
    <w:lvl w:ilvl="0" w:tplc="31920566">
      <w:start w:val="1"/>
      <w:numFmt w:val="bullet"/>
      <w:lvlText w:val="•"/>
      <w:lvlJc w:val="left"/>
      <w:pPr>
        <w:tabs>
          <w:tab w:val="num" w:pos="720"/>
        </w:tabs>
        <w:ind w:left="720" w:hanging="360"/>
      </w:pPr>
      <w:rPr>
        <w:rFonts w:ascii="Arial" w:hAnsi="Arial" w:hint="default"/>
      </w:rPr>
    </w:lvl>
    <w:lvl w:ilvl="1" w:tplc="8DFEE1EE" w:tentative="1">
      <w:start w:val="1"/>
      <w:numFmt w:val="bullet"/>
      <w:lvlText w:val="•"/>
      <w:lvlJc w:val="left"/>
      <w:pPr>
        <w:tabs>
          <w:tab w:val="num" w:pos="1440"/>
        </w:tabs>
        <w:ind w:left="1440" w:hanging="360"/>
      </w:pPr>
      <w:rPr>
        <w:rFonts w:ascii="Arial" w:hAnsi="Arial" w:hint="default"/>
      </w:rPr>
    </w:lvl>
    <w:lvl w:ilvl="2" w:tplc="E20EBE08" w:tentative="1">
      <w:start w:val="1"/>
      <w:numFmt w:val="bullet"/>
      <w:lvlText w:val="•"/>
      <w:lvlJc w:val="left"/>
      <w:pPr>
        <w:tabs>
          <w:tab w:val="num" w:pos="2160"/>
        </w:tabs>
        <w:ind w:left="2160" w:hanging="360"/>
      </w:pPr>
      <w:rPr>
        <w:rFonts w:ascii="Arial" w:hAnsi="Arial" w:hint="default"/>
      </w:rPr>
    </w:lvl>
    <w:lvl w:ilvl="3" w:tplc="BDEEFED2" w:tentative="1">
      <w:start w:val="1"/>
      <w:numFmt w:val="bullet"/>
      <w:lvlText w:val="•"/>
      <w:lvlJc w:val="left"/>
      <w:pPr>
        <w:tabs>
          <w:tab w:val="num" w:pos="2880"/>
        </w:tabs>
        <w:ind w:left="2880" w:hanging="360"/>
      </w:pPr>
      <w:rPr>
        <w:rFonts w:ascii="Arial" w:hAnsi="Arial" w:hint="default"/>
      </w:rPr>
    </w:lvl>
    <w:lvl w:ilvl="4" w:tplc="6530510E" w:tentative="1">
      <w:start w:val="1"/>
      <w:numFmt w:val="bullet"/>
      <w:lvlText w:val="•"/>
      <w:lvlJc w:val="left"/>
      <w:pPr>
        <w:tabs>
          <w:tab w:val="num" w:pos="3600"/>
        </w:tabs>
        <w:ind w:left="3600" w:hanging="360"/>
      </w:pPr>
      <w:rPr>
        <w:rFonts w:ascii="Arial" w:hAnsi="Arial" w:hint="default"/>
      </w:rPr>
    </w:lvl>
    <w:lvl w:ilvl="5" w:tplc="EFB0D0EC" w:tentative="1">
      <w:start w:val="1"/>
      <w:numFmt w:val="bullet"/>
      <w:lvlText w:val="•"/>
      <w:lvlJc w:val="left"/>
      <w:pPr>
        <w:tabs>
          <w:tab w:val="num" w:pos="4320"/>
        </w:tabs>
        <w:ind w:left="4320" w:hanging="360"/>
      </w:pPr>
      <w:rPr>
        <w:rFonts w:ascii="Arial" w:hAnsi="Arial" w:hint="default"/>
      </w:rPr>
    </w:lvl>
    <w:lvl w:ilvl="6" w:tplc="6818E4E6" w:tentative="1">
      <w:start w:val="1"/>
      <w:numFmt w:val="bullet"/>
      <w:lvlText w:val="•"/>
      <w:lvlJc w:val="left"/>
      <w:pPr>
        <w:tabs>
          <w:tab w:val="num" w:pos="5040"/>
        </w:tabs>
        <w:ind w:left="5040" w:hanging="360"/>
      </w:pPr>
      <w:rPr>
        <w:rFonts w:ascii="Arial" w:hAnsi="Arial" w:hint="default"/>
      </w:rPr>
    </w:lvl>
    <w:lvl w:ilvl="7" w:tplc="0E74D28C" w:tentative="1">
      <w:start w:val="1"/>
      <w:numFmt w:val="bullet"/>
      <w:lvlText w:val="•"/>
      <w:lvlJc w:val="left"/>
      <w:pPr>
        <w:tabs>
          <w:tab w:val="num" w:pos="5760"/>
        </w:tabs>
        <w:ind w:left="5760" w:hanging="360"/>
      </w:pPr>
      <w:rPr>
        <w:rFonts w:ascii="Arial" w:hAnsi="Arial" w:hint="default"/>
      </w:rPr>
    </w:lvl>
    <w:lvl w:ilvl="8" w:tplc="FA3683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055C3D"/>
    <w:multiLevelType w:val="hybridMultilevel"/>
    <w:tmpl w:val="D5BC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81C25"/>
    <w:multiLevelType w:val="hybridMultilevel"/>
    <w:tmpl w:val="0E82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3239D"/>
    <w:multiLevelType w:val="hybridMultilevel"/>
    <w:tmpl w:val="909E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43CB9"/>
    <w:multiLevelType w:val="hybridMultilevel"/>
    <w:tmpl w:val="BDBEAD18"/>
    <w:lvl w:ilvl="0" w:tplc="DEE20C9A">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D2190"/>
    <w:multiLevelType w:val="hybridMultilevel"/>
    <w:tmpl w:val="A55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B779E"/>
    <w:multiLevelType w:val="hybridMultilevel"/>
    <w:tmpl w:val="3A70574E"/>
    <w:lvl w:ilvl="0" w:tplc="313E5E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D0B75"/>
    <w:multiLevelType w:val="hybridMultilevel"/>
    <w:tmpl w:val="70A0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1539F"/>
    <w:multiLevelType w:val="hybridMultilevel"/>
    <w:tmpl w:val="7C207A4A"/>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3" w15:restartNumberingAfterBreak="0">
    <w:nsid w:val="5F1B4A1E"/>
    <w:multiLevelType w:val="hybridMultilevel"/>
    <w:tmpl w:val="F59ADF52"/>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96102"/>
    <w:multiLevelType w:val="hybridMultilevel"/>
    <w:tmpl w:val="98EC3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12130"/>
    <w:multiLevelType w:val="hybridMultilevel"/>
    <w:tmpl w:val="DDF45DF4"/>
    <w:lvl w:ilvl="0" w:tplc="1CF2B41A">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3084A"/>
    <w:multiLevelType w:val="hybridMultilevel"/>
    <w:tmpl w:val="D3804B54"/>
    <w:lvl w:ilvl="0" w:tplc="511CE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93CBC"/>
    <w:multiLevelType w:val="hybridMultilevel"/>
    <w:tmpl w:val="5D48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A4449D"/>
    <w:multiLevelType w:val="hybridMultilevel"/>
    <w:tmpl w:val="13CE3DE6"/>
    <w:lvl w:ilvl="0" w:tplc="F4C24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030AA"/>
    <w:multiLevelType w:val="hybridMultilevel"/>
    <w:tmpl w:val="4A2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3775B"/>
    <w:multiLevelType w:val="hybridMultilevel"/>
    <w:tmpl w:val="FD5699C6"/>
    <w:lvl w:ilvl="0" w:tplc="A57290A8">
      <w:start w:val="1"/>
      <w:numFmt w:val="decimal"/>
      <w:lvlText w:val="%1)"/>
      <w:lvlJc w:val="left"/>
      <w:pPr>
        <w:ind w:left="1080" w:hanging="360"/>
      </w:pPr>
      <w:rPr>
        <w:rFonts w:ascii="Times New Roman" w:hAnsi="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3679F"/>
    <w:multiLevelType w:val="hybridMultilevel"/>
    <w:tmpl w:val="ABDC8AC4"/>
    <w:lvl w:ilvl="0" w:tplc="F09E7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06803"/>
    <w:multiLevelType w:val="hybridMultilevel"/>
    <w:tmpl w:val="25A80E54"/>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3" w15:restartNumberingAfterBreak="0">
    <w:nsid w:val="75EB7DD9"/>
    <w:multiLevelType w:val="hybridMultilevel"/>
    <w:tmpl w:val="543CE608"/>
    <w:lvl w:ilvl="0" w:tplc="4CE44E5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7E0BA9"/>
    <w:multiLevelType w:val="hybridMultilevel"/>
    <w:tmpl w:val="34A883D6"/>
    <w:lvl w:ilvl="0" w:tplc="36A82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1018740">
    <w:abstractNumId w:val="20"/>
  </w:num>
  <w:num w:numId="2" w16cid:durableId="978070174">
    <w:abstractNumId w:val="2"/>
  </w:num>
  <w:num w:numId="3" w16cid:durableId="119954539">
    <w:abstractNumId w:val="18"/>
  </w:num>
  <w:num w:numId="4" w16cid:durableId="966425253">
    <w:abstractNumId w:val="32"/>
  </w:num>
  <w:num w:numId="5" w16cid:durableId="1201236475">
    <w:abstractNumId w:val="4"/>
  </w:num>
  <w:num w:numId="6" w16cid:durableId="1407680066">
    <w:abstractNumId w:val="0"/>
  </w:num>
  <w:num w:numId="7" w16cid:durableId="321860005">
    <w:abstractNumId w:val="3"/>
  </w:num>
  <w:num w:numId="8" w16cid:durableId="1544709148">
    <w:abstractNumId w:val="17"/>
  </w:num>
  <w:num w:numId="9" w16cid:durableId="1289163390">
    <w:abstractNumId w:val="30"/>
  </w:num>
  <w:num w:numId="10" w16cid:durableId="1332879076">
    <w:abstractNumId w:val="15"/>
  </w:num>
  <w:num w:numId="11" w16cid:durableId="665519651">
    <w:abstractNumId w:val="24"/>
  </w:num>
  <w:num w:numId="12" w16cid:durableId="115833920">
    <w:abstractNumId w:val="7"/>
  </w:num>
  <w:num w:numId="13" w16cid:durableId="1137143107">
    <w:abstractNumId w:val="29"/>
  </w:num>
  <w:num w:numId="14" w16cid:durableId="176311929">
    <w:abstractNumId w:val="34"/>
  </w:num>
  <w:num w:numId="15" w16cid:durableId="495149820">
    <w:abstractNumId w:val="22"/>
  </w:num>
  <w:num w:numId="16" w16cid:durableId="936326690">
    <w:abstractNumId w:val="23"/>
  </w:num>
  <w:num w:numId="17" w16cid:durableId="1689797044">
    <w:abstractNumId w:val="8"/>
  </w:num>
  <w:num w:numId="18" w16cid:durableId="1755513299">
    <w:abstractNumId w:val="33"/>
  </w:num>
  <w:num w:numId="19" w16cid:durableId="768165272">
    <w:abstractNumId w:val="28"/>
  </w:num>
  <w:num w:numId="20" w16cid:durableId="1149901058">
    <w:abstractNumId w:val="10"/>
  </w:num>
  <w:num w:numId="21" w16cid:durableId="1711880868">
    <w:abstractNumId w:val="11"/>
  </w:num>
  <w:num w:numId="22" w16cid:durableId="169174875">
    <w:abstractNumId w:val="19"/>
  </w:num>
  <w:num w:numId="23" w16cid:durableId="1535312168">
    <w:abstractNumId w:val="13"/>
  </w:num>
  <w:num w:numId="24" w16cid:durableId="1732381512">
    <w:abstractNumId w:val="31"/>
  </w:num>
  <w:num w:numId="25" w16cid:durableId="238291574">
    <w:abstractNumId w:val="5"/>
  </w:num>
  <w:num w:numId="26" w16cid:durableId="511721425">
    <w:abstractNumId w:val="6"/>
  </w:num>
  <w:num w:numId="27" w16cid:durableId="1414278426">
    <w:abstractNumId w:val="14"/>
  </w:num>
  <w:num w:numId="28" w16cid:durableId="1390835543">
    <w:abstractNumId w:val="9"/>
  </w:num>
  <w:num w:numId="29" w16cid:durableId="30346058">
    <w:abstractNumId w:val="16"/>
  </w:num>
  <w:num w:numId="30" w16cid:durableId="494153167">
    <w:abstractNumId w:val="27"/>
  </w:num>
  <w:num w:numId="31" w16cid:durableId="1347097847">
    <w:abstractNumId w:val="21"/>
  </w:num>
  <w:num w:numId="32" w16cid:durableId="395130207">
    <w:abstractNumId w:val="26"/>
  </w:num>
  <w:num w:numId="33" w16cid:durableId="743601399">
    <w:abstractNumId w:val="25"/>
  </w:num>
  <w:num w:numId="34" w16cid:durableId="1117408967">
    <w:abstractNumId w:val="1"/>
  </w:num>
  <w:num w:numId="35" w16cid:durableId="8371620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2C"/>
    <w:rsid w:val="00002236"/>
    <w:rsid w:val="00002EDD"/>
    <w:rsid w:val="000043B8"/>
    <w:rsid w:val="000124C0"/>
    <w:rsid w:val="0001267D"/>
    <w:rsid w:val="000134D5"/>
    <w:rsid w:val="00014A00"/>
    <w:rsid w:val="00014D09"/>
    <w:rsid w:val="00016180"/>
    <w:rsid w:val="0001654D"/>
    <w:rsid w:val="000214C2"/>
    <w:rsid w:val="00022219"/>
    <w:rsid w:val="0002383A"/>
    <w:rsid w:val="0002528C"/>
    <w:rsid w:val="000253AC"/>
    <w:rsid w:val="000256EA"/>
    <w:rsid w:val="00025770"/>
    <w:rsid w:val="000277FC"/>
    <w:rsid w:val="00030BCE"/>
    <w:rsid w:val="00032C55"/>
    <w:rsid w:val="00034C02"/>
    <w:rsid w:val="00035AB2"/>
    <w:rsid w:val="00035B1D"/>
    <w:rsid w:val="00036011"/>
    <w:rsid w:val="00036BDC"/>
    <w:rsid w:val="00040095"/>
    <w:rsid w:val="000401CA"/>
    <w:rsid w:val="00040F7D"/>
    <w:rsid w:val="00044C58"/>
    <w:rsid w:val="00047133"/>
    <w:rsid w:val="00052054"/>
    <w:rsid w:val="0005216E"/>
    <w:rsid w:val="00053AD1"/>
    <w:rsid w:val="000567BE"/>
    <w:rsid w:val="00056D15"/>
    <w:rsid w:val="00060ADE"/>
    <w:rsid w:val="00063BC3"/>
    <w:rsid w:val="00065D5D"/>
    <w:rsid w:val="00070455"/>
    <w:rsid w:val="0007595A"/>
    <w:rsid w:val="00077A91"/>
    <w:rsid w:val="00083468"/>
    <w:rsid w:val="00084352"/>
    <w:rsid w:val="00085215"/>
    <w:rsid w:val="0009281F"/>
    <w:rsid w:val="0009426D"/>
    <w:rsid w:val="00096BDC"/>
    <w:rsid w:val="0009760C"/>
    <w:rsid w:val="000A13C9"/>
    <w:rsid w:val="000A2A8A"/>
    <w:rsid w:val="000A618B"/>
    <w:rsid w:val="000B019A"/>
    <w:rsid w:val="000B2043"/>
    <w:rsid w:val="000B2B08"/>
    <w:rsid w:val="000B478C"/>
    <w:rsid w:val="000B4B25"/>
    <w:rsid w:val="000B5381"/>
    <w:rsid w:val="000B6CB9"/>
    <w:rsid w:val="000C3B93"/>
    <w:rsid w:val="000D2FA4"/>
    <w:rsid w:val="000D40C6"/>
    <w:rsid w:val="000D4A46"/>
    <w:rsid w:val="000D51A0"/>
    <w:rsid w:val="000D72A4"/>
    <w:rsid w:val="000E1768"/>
    <w:rsid w:val="000E2DA1"/>
    <w:rsid w:val="000E3167"/>
    <w:rsid w:val="000E4EE3"/>
    <w:rsid w:val="000E75C5"/>
    <w:rsid w:val="000F0214"/>
    <w:rsid w:val="000F15FC"/>
    <w:rsid w:val="000F23B7"/>
    <w:rsid w:val="00101D49"/>
    <w:rsid w:val="001035A9"/>
    <w:rsid w:val="001040A9"/>
    <w:rsid w:val="00110087"/>
    <w:rsid w:val="00110A58"/>
    <w:rsid w:val="001132FC"/>
    <w:rsid w:val="00113ABA"/>
    <w:rsid w:val="0011512E"/>
    <w:rsid w:val="0011730F"/>
    <w:rsid w:val="00121B9C"/>
    <w:rsid w:val="00122989"/>
    <w:rsid w:val="00122CA7"/>
    <w:rsid w:val="00123297"/>
    <w:rsid w:val="0012474E"/>
    <w:rsid w:val="00124F50"/>
    <w:rsid w:val="00126633"/>
    <w:rsid w:val="0012679C"/>
    <w:rsid w:val="00126F9F"/>
    <w:rsid w:val="0013131B"/>
    <w:rsid w:val="001348BF"/>
    <w:rsid w:val="0014077B"/>
    <w:rsid w:val="00140D9F"/>
    <w:rsid w:val="00140DF8"/>
    <w:rsid w:val="00143126"/>
    <w:rsid w:val="00145D86"/>
    <w:rsid w:val="00146823"/>
    <w:rsid w:val="00146A41"/>
    <w:rsid w:val="0014703E"/>
    <w:rsid w:val="0015165E"/>
    <w:rsid w:val="00151FF2"/>
    <w:rsid w:val="001522F7"/>
    <w:rsid w:val="001540A5"/>
    <w:rsid w:val="00155CE7"/>
    <w:rsid w:val="001569EC"/>
    <w:rsid w:val="00156EBA"/>
    <w:rsid w:val="00157DDD"/>
    <w:rsid w:val="00162D41"/>
    <w:rsid w:val="0016395E"/>
    <w:rsid w:val="001654D5"/>
    <w:rsid w:val="00167BC5"/>
    <w:rsid w:val="0017428F"/>
    <w:rsid w:val="00174642"/>
    <w:rsid w:val="00177690"/>
    <w:rsid w:val="00177B68"/>
    <w:rsid w:val="001800CC"/>
    <w:rsid w:val="00184F09"/>
    <w:rsid w:val="00191CA5"/>
    <w:rsid w:val="00191F9D"/>
    <w:rsid w:val="0019396E"/>
    <w:rsid w:val="00197C03"/>
    <w:rsid w:val="001A10C4"/>
    <w:rsid w:val="001A18C6"/>
    <w:rsid w:val="001A38D4"/>
    <w:rsid w:val="001A3DF9"/>
    <w:rsid w:val="001A52A6"/>
    <w:rsid w:val="001A68F4"/>
    <w:rsid w:val="001B327D"/>
    <w:rsid w:val="001B48FC"/>
    <w:rsid w:val="001B539A"/>
    <w:rsid w:val="001B5E4A"/>
    <w:rsid w:val="001B72BE"/>
    <w:rsid w:val="001B7F1E"/>
    <w:rsid w:val="001C0FC7"/>
    <w:rsid w:val="001C1598"/>
    <w:rsid w:val="001C3B41"/>
    <w:rsid w:val="001C4346"/>
    <w:rsid w:val="001C453F"/>
    <w:rsid w:val="001C4D2E"/>
    <w:rsid w:val="001C4DB4"/>
    <w:rsid w:val="001C4E09"/>
    <w:rsid w:val="001C7A7E"/>
    <w:rsid w:val="001D0BF5"/>
    <w:rsid w:val="001D0E7D"/>
    <w:rsid w:val="001D2144"/>
    <w:rsid w:val="001D3208"/>
    <w:rsid w:val="001D4743"/>
    <w:rsid w:val="001D5695"/>
    <w:rsid w:val="001D70AA"/>
    <w:rsid w:val="001D7579"/>
    <w:rsid w:val="001E230B"/>
    <w:rsid w:val="001E2EA2"/>
    <w:rsid w:val="001E33F4"/>
    <w:rsid w:val="001E4207"/>
    <w:rsid w:val="001E6F81"/>
    <w:rsid w:val="001F012E"/>
    <w:rsid w:val="001F23E1"/>
    <w:rsid w:val="001F38E6"/>
    <w:rsid w:val="001F7301"/>
    <w:rsid w:val="001F7E12"/>
    <w:rsid w:val="00202A73"/>
    <w:rsid w:val="0020396C"/>
    <w:rsid w:val="00203D7B"/>
    <w:rsid w:val="002049E2"/>
    <w:rsid w:val="00204B7B"/>
    <w:rsid w:val="00204D3E"/>
    <w:rsid w:val="0020550C"/>
    <w:rsid w:val="00210450"/>
    <w:rsid w:val="00210859"/>
    <w:rsid w:val="002129EE"/>
    <w:rsid w:val="00213221"/>
    <w:rsid w:val="002162A4"/>
    <w:rsid w:val="0022424C"/>
    <w:rsid w:val="002249D8"/>
    <w:rsid w:val="00230377"/>
    <w:rsid w:val="00236997"/>
    <w:rsid w:val="00243151"/>
    <w:rsid w:val="0024529B"/>
    <w:rsid w:val="00245908"/>
    <w:rsid w:val="0024633F"/>
    <w:rsid w:val="00250655"/>
    <w:rsid w:val="00251261"/>
    <w:rsid w:val="00255C23"/>
    <w:rsid w:val="00257F7A"/>
    <w:rsid w:val="00261B2C"/>
    <w:rsid w:val="00264B89"/>
    <w:rsid w:val="00264DA3"/>
    <w:rsid w:val="00265BF3"/>
    <w:rsid w:val="002660F1"/>
    <w:rsid w:val="00271C22"/>
    <w:rsid w:val="00272042"/>
    <w:rsid w:val="002734B6"/>
    <w:rsid w:val="002735DB"/>
    <w:rsid w:val="00274B19"/>
    <w:rsid w:val="002766B8"/>
    <w:rsid w:val="00276E9D"/>
    <w:rsid w:val="00281FC9"/>
    <w:rsid w:val="00285986"/>
    <w:rsid w:val="002910C1"/>
    <w:rsid w:val="00291AD3"/>
    <w:rsid w:val="00295A08"/>
    <w:rsid w:val="00295F26"/>
    <w:rsid w:val="00296389"/>
    <w:rsid w:val="00296DC9"/>
    <w:rsid w:val="002976BE"/>
    <w:rsid w:val="002A02D5"/>
    <w:rsid w:val="002A57B4"/>
    <w:rsid w:val="002B01F3"/>
    <w:rsid w:val="002B0FD3"/>
    <w:rsid w:val="002B375D"/>
    <w:rsid w:val="002B4E3F"/>
    <w:rsid w:val="002B74D4"/>
    <w:rsid w:val="002C7790"/>
    <w:rsid w:val="002D2F61"/>
    <w:rsid w:val="002D5222"/>
    <w:rsid w:val="002D5369"/>
    <w:rsid w:val="002E12D3"/>
    <w:rsid w:val="002E414A"/>
    <w:rsid w:val="002E4365"/>
    <w:rsid w:val="002F28D7"/>
    <w:rsid w:val="002F2CAB"/>
    <w:rsid w:val="002F4C24"/>
    <w:rsid w:val="002F4C3D"/>
    <w:rsid w:val="002F4D09"/>
    <w:rsid w:val="002F6143"/>
    <w:rsid w:val="002F63E6"/>
    <w:rsid w:val="00305352"/>
    <w:rsid w:val="00305ADF"/>
    <w:rsid w:val="003068C7"/>
    <w:rsid w:val="0032028C"/>
    <w:rsid w:val="00320FC6"/>
    <w:rsid w:val="00321A7B"/>
    <w:rsid w:val="00322903"/>
    <w:rsid w:val="00322AF8"/>
    <w:rsid w:val="003263D7"/>
    <w:rsid w:val="0033338F"/>
    <w:rsid w:val="003333DF"/>
    <w:rsid w:val="003367C7"/>
    <w:rsid w:val="0034247F"/>
    <w:rsid w:val="00343606"/>
    <w:rsid w:val="00343984"/>
    <w:rsid w:val="00350EDF"/>
    <w:rsid w:val="00351979"/>
    <w:rsid w:val="00352EC2"/>
    <w:rsid w:val="00355213"/>
    <w:rsid w:val="00355442"/>
    <w:rsid w:val="003554DD"/>
    <w:rsid w:val="00355D72"/>
    <w:rsid w:val="00360BE6"/>
    <w:rsid w:val="00360E60"/>
    <w:rsid w:val="00360F5D"/>
    <w:rsid w:val="003635ED"/>
    <w:rsid w:val="0037092F"/>
    <w:rsid w:val="00372DC9"/>
    <w:rsid w:val="003746DE"/>
    <w:rsid w:val="00374758"/>
    <w:rsid w:val="00374F7D"/>
    <w:rsid w:val="00381BC5"/>
    <w:rsid w:val="00382911"/>
    <w:rsid w:val="00383083"/>
    <w:rsid w:val="00383EB0"/>
    <w:rsid w:val="0038480A"/>
    <w:rsid w:val="003913F2"/>
    <w:rsid w:val="0039197A"/>
    <w:rsid w:val="003920D6"/>
    <w:rsid w:val="0039362A"/>
    <w:rsid w:val="00395351"/>
    <w:rsid w:val="003A08FB"/>
    <w:rsid w:val="003A1D8C"/>
    <w:rsid w:val="003A489B"/>
    <w:rsid w:val="003A5BB5"/>
    <w:rsid w:val="003A66A5"/>
    <w:rsid w:val="003B233D"/>
    <w:rsid w:val="003B3B0E"/>
    <w:rsid w:val="003B3BA3"/>
    <w:rsid w:val="003B7D81"/>
    <w:rsid w:val="003C1B03"/>
    <w:rsid w:val="003C3F90"/>
    <w:rsid w:val="003C5FE6"/>
    <w:rsid w:val="003C7A8F"/>
    <w:rsid w:val="003D0A0C"/>
    <w:rsid w:val="003D2863"/>
    <w:rsid w:val="003D6089"/>
    <w:rsid w:val="003D6440"/>
    <w:rsid w:val="003D6544"/>
    <w:rsid w:val="003D6757"/>
    <w:rsid w:val="003D733F"/>
    <w:rsid w:val="003E11CD"/>
    <w:rsid w:val="003E4FCC"/>
    <w:rsid w:val="003E53F4"/>
    <w:rsid w:val="003E566B"/>
    <w:rsid w:val="003E6680"/>
    <w:rsid w:val="003E7191"/>
    <w:rsid w:val="003E73D6"/>
    <w:rsid w:val="003F5FA0"/>
    <w:rsid w:val="0040373A"/>
    <w:rsid w:val="004065E2"/>
    <w:rsid w:val="00407D0B"/>
    <w:rsid w:val="00415376"/>
    <w:rsid w:val="00417154"/>
    <w:rsid w:val="00425FDF"/>
    <w:rsid w:val="0042771D"/>
    <w:rsid w:val="00431CAA"/>
    <w:rsid w:val="00432955"/>
    <w:rsid w:val="00433A01"/>
    <w:rsid w:val="00436028"/>
    <w:rsid w:val="00440645"/>
    <w:rsid w:val="004411EB"/>
    <w:rsid w:val="004425DC"/>
    <w:rsid w:val="00442731"/>
    <w:rsid w:val="00443D48"/>
    <w:rsid w:val="004442BF"/>
    <w:rsid w:val="0044736D"/>
    <w:rsid w:val="00450053"/>
    <w:rsid w:val="00453825"/>
    <w:rsid w:val="0045451E"/>
    <w:rsid w:val="004607CC"/>
    <w:rsid w:val="004623B6"/>
    <w:rsid w:val="0046399F"/>
    <w:rsid w:val="00465176"/>
    <w:rsid w:val="0046574C"/>
    <w:rsid w:val="0046735D"/>
    <w:rsid w:val="00470CD9"/>
    <w:rsid w:val="00472E9F"/>
    <w:rsid w:val="004733CF"/>
    <w:rsid w:val="004735F7"/>
    <w:rsid w:val="00474F4C"/>
    <w:rsid w:val="004763A8"/>
    <w:rsid w:val="00481664"/>
    <w:rsid w:val="00487F6C"/>
    <w:rsid w:val="004903D4"/>
    <w:rsid w:val="004906FC"/>
    <w:rsid w:val="00495818"/>
    <w:rsid w:val="004A0B17"/>
    <w:rsid w:val="004B2C88"/>
    <w:rsid w:val="004B3B02"/>
    <w:rsid w:val="004B521C"/>
    <w:rsid w:val="004B5449"/>
    <w:rsid w:val="004B7292"/>
    <w:rsid w:val="004C0C77"/>
    <w:rsid w:val="004C1873"/>
    <w:rsid w:val="004D0593"/>
    <w:rsid w:val="004D22A7"/>
    <w:rsid w:val="004D2307"/>
    <w:rsid w:val="004D2BD4"/>
    <w:rsid w:val="004D3E50"/>
    <w:rsid w:val="004D4291"/>
    <w:rsid w:val="004D685F"/>
    <w:rsid w:val="004E0A65"/>
    <w:rsid w:val="004E3E69"/>
    <w:rsid w:val="004E51D3"/>
    <w:rsid w:val="004E5575"/>
    <w:rsid w:val="004E5915"/>
    <w:rsid w:val="004E62BB"/>
    <w:rsid w:val="004E6D8A"/>
    <w:rsid w:val="004E7917"/>
    <w:rsid w:val="004F0561"/>
    <w:rsid w:val="004F3B59"/>
    <w:rsid w:val="004F56EE"/>
    <w:rsid w:val="004F5E28"/>
    <w:rsid w:val="004F6229"/>
    <w:rsid w:val="004F77DA"/>
    <w:rsid w:val="00500AB3"/>
    <w:rsid w:val="0050231F"/>
    <w:rsid w:val="005066CB"/>
    <w:rsid w:val="005105B2"/>
    <w:rsid w:val="005110B0"/>
    <w:rsid w:val="00512C50"/>
    <w:rsid w:val="00516264"/>
    <w:rsid w:val="00521B29"/>
    <w:rsid w:val="00521D04"/>
    <w:rsid w:val="00525872"/>
    <w:rsid w:val="00526C5F"/>
    <w:rsid w:val="0053111E"/>
    <w:rsid w:val="00531E3E"/>
    <w:rsid w:val="00532E8A"/>
    <w:rsid w:val="005334E5"/>
    <w:rsid w:val="00534DE7"/>
    <w:rsid w:val="00535A34"/>
    <w:rsid w:val="005372F6"/>
    <w:rsid w:val="005403A1"/>
    <w:rsid w:val="0054098C"/>
    <w:rsid w:val="00543510"/>
    <w:rsid w:val="00543573"/>
    <w:rsid w:val="00543707"/>
    <w:rsid w:val="005473DA"/>
    <w:rsid w:val="00552F98"/>
    <w:rsid w:val="00554645"/>
    <w:rsid w:val="00557025"/>
    <w:rsid w:val="0055798E"/>
    <w:rsid w:val="005579CC"/>
    <w:rsid w:val="00560075"/>
    <w:rsid w:val="00560269"/>
    <w:rsid w:val="00561449"/>
    <w:rsid w:val="0056298F"/>
    <w:rsid w:val="005666ED"/>
    <w:rsid w:val="0056735F"/>
    <w:rsid w:val="00572402"/>
    <w:rsid w:val="00572C1D"/>
    <w:rsid w:val="00580E9F"/>
    <w:rsid w:val="00581852"/>
    <w:rsid w:val="00583B75"/>
    <w:rsid w:val="005848C4"/>
    <w:rsid w:val="00590B61"/>
    <w:rsid w:val="00590E65"/>
    <w:rsid w:val="0059279E"/>
    <w:rsid w:val="0059362A"/>
    <w:rsid w:val="00593C4A"/>
    <w:rsid w:val="005A310D"/>
    <w:rsid w:val="005B0D3B"/>
    <w:rsid w:val="005B2C8A"/>
    <w:rsid w:val="005B3477"/>
    <w:rsid w:val="005B5496"/>
    <w:rsid w:val="005B5F99"/>
    <w:rsid w:val="005B7254"/>
    <w:rsid w:val="005B7D3C"/>
    <w:rsid w:val="005B7F4D"/>
    <w:rsid w:val="005C17A8"/>
    <w:rsid w:val="005C3D1F"/>
    <w:rsid w:val="005C5F1D"/>
    <w:rsid w:val="005C71A8"/>
    <w:rsid w:val="005D17EE"/>
    <w:rsid w:val="005D1EFB"/>
    <w:rsid w:val="005D1F2E"/>
    <w:rsid w:val="005D2BE9"/>
    <w:rsid w:val="005D6598"/>
    <w:rsid w:val="005E00F4"/>
    <w:rsid w:val="005E0516"/>
    <w:rsid w:val="005E1DBC"/>
    <w:rsid w:val="005E3C2D"/>
    <w:rsid w:val="005E5BE5"/>
    <w:rsid w:val="005E73E9"/>
    <w:rsid w:val="005F1930"/>
    <w:rsid w:val="005F35B7"/>
    <w:rsid w:val="005F378B"/>
    <w:rsid w:val="005F4AC8"/>
    <w:rsid w:val="005F7386"/>
    <w:rsid w:val="005F7490"/>
    <w:rsid w:val="00601919"/>
    <w:rsid w:val="0060195E"/>
    <w:rsid w:val="00604F1C"/>
    <w:rsid w:val="006064D9"/>
    <w:rsid w:val="00606B33"/>
    <w:rsid w:val="00607625"/>
    <w:rsid w:val="00610E73"/>
    <w:rsid w:val="00611305"/>
    <w:rsid w:val="00613B10"/>
    <w:rsid w:val="006170B3"/>
    <w:rsid w:val="00620C6E"/>
    <w:rsid w:val="0062172E"/>
    <w:rsid w:val="006256A5"/>
    <w:rsid w:val="006307B5"/>
    <w:rsid w:val="006314CA"/>
    <w:rsid w:val="006337ED"/>
    <w:rsid w:val="006338B2"/>
    <w:rsid w:val="00636FC0"/>
    <w:rsid w:val="0063765A"/>
    <w:rsid w:val="00637FC2"/>
    <w:rsid w:val="00640E16"/>
    <w:rsid w:val="0064167E"/>
    <w:rsid w:val="00642BAB"/>
    <w:rsid w:val="00642E65"/>
    <w:rsid w:val="00643A4D"/>
    <w:rsid w:val="00646A42"/>
    <w:rsid w:val="00650D65"/>
    <w:rsid w:val="00654241"/>
    <w:rsid w:val="006546A4"/>
    <w:rsid w:val="00656DE9"/>
    <w:rsid w:val="00660A4A"/>
    <w:rsid w:val="006636B9"/>
    <w:rsid w:val="00664B3A"/>
    <w:rsid w:val="006658D8"/>
    <w:rsid w:val="006659D3"/>
    <w:rsid w:val="00666F1D"/>
    <w:rsid w:val="0067065E"/>
    <w:rsid w:val="00670759"/>
    <w:rsid w:val="00670E0E"/>
    <w:rsid w:val="0067202A"/>
    <w:rsid w:val="00673941"/>
    <w:rsid w:val="006740F8"/>
    <w:rsid w:val="00674EB8"/>
    <w:rsid w:val="0068185A"/>
    <w:rsid w:val="00681895"/>
    <w:rsid w:val="00684129"/>
    <w:rsid w:val="00685872"/>
    <w:rsid w:val="00685C4E"/>
    <w:rsid w:val="0069118D"/>
    <w:rsid w:val="006928F9"/>
    <w:rsid w:val="006A0266"/>
    <w:rsid w:val="006A0D47"/>
    <w:rsid w:val="006A1C55"/>
    <w:rsid w:val="006A4725"/>
    <w:rsid w:val="006B1369"/>
    <w:rsid w:val="006B1386"/>
    <w:rsid w:val="006B39D0"/>
    <w:rsid w:val="006B3FBA"/>
    <w:rsid w:val="006C0BBD"/>
    <w:rsid w:val="006C3EAD"/>
    <w:rsid w:val="006C4C26"/>
    <w:rsid w:val="006D3A6E"/>
    <w:rsid w:val="006D43C5"/>
    <w:rsid w:val="006D499E"/>
    <w:rsid w:val="006D55CB"/>
    <w:rsid w:val="006D5C91"/>
    <w:rsid w:val="006D70F5"/>
    <w:rsid w:val="006E2064"/>
    <w:rsid w:val="006E30AB"/>
    <w:rsid w:val="006E537A"/>
    <w:rsid w:val="006E5CCC"/>
    <w:rsid w:val="006F2560"/>
    <w:rsid w:val="006F6ED3"/>
    <w:rsid w:val="00702067"/>
    <w:rsid w:val="007027AB"/>
    <w:rsid w:val="00703850"/>
    <w:rsid w:val="00703A87"/>
    <w:rsid w:val="007047C5"/>
    <w:rsid w:val="007053CA"/>
    <w:rsid w:val="007059CB"/>
    <w:rsid w:val="00706BCE"/>
    <w:rsid w:val="00710BDC"/>
    <w:rsid w:val="00712F31"/>
    <w:rsid w:val="00712F7B"/>
    <w:rsid w:val="00712FA4"/>
    <w:rsid w:val="00713A09"/>
    <w:rsid w:val="0071467D"/>
    <w:rsid w:val="00714AB8"/>
    <w:rsid w:val="0072063D"/>
    <w:rsid w:val="00720841"/>
    <w:rsid w:val="00723F15"/>
    <w:rsid w:val="00724078"/>
    <w:rsid w:val="00725D34"/>
    <w:rsid w:val="00730E9D"/>
    <w:rsid w:val="0073247B"/>
    <w:rsid w:val="00734546"/>
    <w:rsid w:val="0073492A"/>
    <w:rsid w:val="00734BC9"/>
    <w:rsid w:val="0073585C"/>
    <w:rsid w:val="007359BF"/>
    <w:rsid w:val="00736189"/>
    <w:rsid w:val="00736A01"/>
    <w:rsid w:val="00736C38"/>
    <w:rsid w:val="00736CDB"/>
    <w:rsid w:val="00744E24"/>
    <w:rsid w:val="0074522C"/>
    <w:rsid w:val="00747303"/>
    <w:rsid w:val="00752749"/>
    <w:rsid w:val="00752A7F"/>
    <w:rsid w:val="00752C69"/>
    <w:rsid w:val="00752FC6"/>
    <w:rsid w:val="0075369A"/>
    <w:rsid w:val="00756936"/>
    <w:rsid w:val="00757D68"/>
    <w:rsid w:val="00761123"/>
    <w:rsid w:val="007616F8"/>
    <w:rsid w:val="00762CE6"/>
    <w:rsid w:val="00763DA7"/>
    <w:rsid w:val="00765076"/>
    <w:rsid w:val="0076531D"/>
    <w:rsid w:val="0077182D"/>
    <w:rsid w:val="00771FC6"/>
    <w:rsid w:val="00772161"/>
    <w:rsid w:val="007723F4"/>
    <w:rsid w:val="00773A93"/>
    <w:rsid w:val="00775292"/>
    <w:rsid w:val="00782227"/>
    <w:rsid w:val="00784C2E"/>
    <w:rsid w:val="007913F5"/>
    <w:rsid w:val="00791435"/>
    <w:rsid w:val="007947B0"/>
    <w:rsid w:val="00797C70"/>
    <w:rsid w:val="007A0415"/>
    <w:rsid w:val="007A1032"/>
    <w:rsid w:val="007A23B5"/>
    <w:rsid w:val="007A293A"/>
    <w:rsid w:val="007A31D2"/>
    <w:rsid w:val="007A3C01"/>
    <w:rsid w:val="007A6CDD"/>
    <w:rsid w:val="007B06FD"/>
    <w:rsid w:val="007B30E0"/>
    <w:rsid w:val="007B3F8E"/>
    <w:rsid w:val="007B4249"/>
    <w:rsid w:val="007B46E5"/>
    <w:rsid w:val="007B4C2B"/>
    <w:rsid w:val="007B53D8"/>
    <w:rsid w:val="007B5D21"/>
    <w:rsid w:val="007C0C90"/>
    <w:rsid w:val="007C72FB"/>
    <w:rsid w:val="007D0D96"/>
    <w:rsid w:val="007D33D2"/>
    <w:rsid w:val="007D597E"/>
    <w:rsid w:val="007D60CF"/>
    <w:rsid w:val="007D7431"/>
    <w:rsid w:val="007E0381"/>
    <w:rsid w:val="007E06AD"/>
    <w:rsid w:val="007E55AE"/>
    <w:rsid w:val="007E7FB9"/>
    <w:rsid w:val="007F0C32"/>
    <w:rsid w:val="007F2057"/>
    <w:rsid w:val="007F2D2C"/>
    <w:rsid w:val="00802F73"/>
    <w:rsid w:val="00805815"/>
    <w:rsid w:val="00807819"/>
    <w:rsid w:val="00810571"/>
    <w:rsid w:val="00814B22"/>
    <w:rsid w:val="00816A9A"/>
    <w:rsid w:val="008200B3"/>
    <w:rsid w:val="00821BD8"/>
    <w:rsid w:val="008274A1"/>
    <w:rsid w:val="0082778C"/>
    <w:rsid w:val="0083134C"/>
    <w:rsid w:val="008376CE"/>
    <w:rsid w:val="00837CC9"/>
    <w:rsid w:val="00841533"/>
    <w:rsid w:val="00842CC4"/>
    <w:rsid w:val="008442EA"/>
    <w:rsid w:val="00844333"/>
    <w:rsid w:val="0084615D"/>
    <w:rsid w:val="00850800"/>
    <w:rsid w:val="00852441"/>
    <w:rsid w:val="00865F8C"/>
    <w:rsid w:val="008664C8"/>
    <w:rsid w:val="00870091"/>
    <w:rsid w:val="00871B5E"/>
    <w:rsid w:val="0087345F"/>
    <w:rsid w:val="00874548"/>
    <w:rsid w:val="00875615"/>
    <w:rsid w:val="00877337"/>
    <w:rsid w:val="0088097B"/>
    <w:rsid w:val="008853B8"/>
    <w:rsid w:val="00886737"/>
    <w:rsid w:val="00887B31"/>
    <w:rsid w:val="00887EEB"/>
    <w:rsid w:val="00891BF5"/>
    <w:rsid w:val="00892F1D"/>
    <w:rsid w:val="00893282"/>
    <w:rsid w:val="00895973"/>
    <w:rsid w:val="00896ACB"/>
    <w:rsid w:val="008A0ED5"/>
    <w:rsid w:val="008A34AF"/>
    <w:rsid w:val="008A388F"/>
    <w:rsid w:val="008B28C4"/>
    <w:rsid w:val="008B58DE"/>
    <w:rsid w:val="008B6302"/>
    <w:rsid w:val="008B7FC4"/>
    <w:rsid w:val="008C04F8"/>
    <w:rsid w:val="008C055F"/>
    <w:rsid w:val="008C16E8"/>
    <w:rsid w:val="008C3300"/>
    <w:rsid w:val="008C3327"/>
    <w:rsid w:val="008C3377"/>
    <w:rsid w:val="008C5057"/>
    <w:rsid w:val="008D1B8C"/>
    <w:rsid w:val="008D2F95"/>
    <w:rsid w:val="008E0E7C"/>
    <w:rsid w:val="008E14CB"/>
    <w:rsid w:val="008E3B66"/>
    <w:rsid w:val="008E3EC4"/>
    <w:rsid w:val="008E537E"/>
    <w:rsid w:val="008E65F3"/>
    <w:rsid w:val="008E7489"/>
    <w:rsid w:val="008F15EA"/>
    <w:rsid w:val="008F1715"/>
    <w:rsid w:val="008F1CE8"/>
    <w:rsid w:val="008F347F"/>
    <w:rsid w:val="008F4DF3"/>
    <w:rsid w:val="008F5C3A"/>
    <w:rsid w:val="0090166E"/>
    <w:rsid w:val="00903CD9"/>
    <w:rsid w:val="00904A76"/>
    <w:rsid w:val="00912F86"/>
    <w:rsid w:val="00916BA2"/>
    <w:rsid w:val="0092329B"/>
    <w:rsid w:val="009243EC"/>
    <w:rsid w:val="00926FC3"/>
    <w:rsid w:val="00927B11"/>
    <w:rsid w:val="00930DE0"/>
    <w:rsid w:val="00932412"/>
    <w:rsid w:val="00935DC1"/>
    <w:rsid w:val="00936B3D"/>
    <w:rsid w:val="009374F7"/>
    <w:rsid w:val="009413D5"/>
    <w:rsid w:val="00941603"/>
    <w:rsid w:val="00941F4A"/>
    <w:rsid w:val="009421E6"/>
    <w:rsid w:val="009422F7"/>
    <w:rsid w:val="00942AC4"/>
    <w:rsid w:val="00942F78"/>
    <w:rsid w:val="0094592F"/>
    <w:rsid w:val="00945BD8"/>
    <w:rsid w:val="00946454"/>
    <w:rsid w:val="009472B0"/>
    <w:rsid w:val="009475DB"/>
    <w:rsid w:val="009479CA"/>
    <w:rsid w:val="009508FA"/>
    <w:rsid w:val="00953CC4"/>
    <w:rsid w:val="00953EE0"/>
    <w:rsid w:val="009563BC"/>
    <w:rsid w:val="00956A21"/>
    <w:rsid w:val="00966DAB"/>
    <w:rsid w:val="00970873"/>
    <w:rsid w:val="00974EA3"/>
    <w:rsid w:val="00975D0A"/>
    <w:rsid w:val="00977D8B"/>
    <w:rsid w:val="009804B3"/>
    <w:rsid w:val="00980C0E"/>
    <w:rsid w:val="00983471"/>
    <w:rsid w:val="00983AC7"/>
    <w:rsid w:val="009909A6"/>
    <w:rsid w:val="00991C07"/>
    <w:rsid w:val="00992F5A"/>
    <w:rsid w:val="009932B5"/>
    <w:rsid w:val="00993C46"/>
    <w:rsid w:val="0099467E"/>
    <w:rsid w:val="00995DDF"/>
    <w:rsid w:val="00995F32"/>
    <w:rsid w:val="00996046"/>
    <w:rsid w:val="00996B40"/>
    <w:rsid w:val="009979AC"/>
    <w:rsid w:val="00997BB1"/>
    <w:rsid w:val="009A263D"/>
    <w:rsid w:val="009A48A2"/>
    <w:rsid w:val="009A6E92"/>
    <w:rsid w:val="009A746E"/>
    <w:rsid w:val="009B0E5B"/>
    <w:rsid w:val="009B145A"/>
    <w:rsid w:val="009B197D"/>
    <w:rsid w:val="009B3A20"/>
    <w:rsid w:val="009B55B9"/>
    <w:rsid w:val="009B62B9"/>
    <w:rsid w:val="009C52F8"/>
    <w:rsid w:val="009C5CA1"/>
    <w:rsid w:val="009C60C3"/>
    <w:rsid w:val="009D37B8"/>
    <w:rsid w:val="009D4587"/>
    <w:rsid w:val="009D51FD"/>
    <w:rsid w:val="009D55B3"/>
    <w:rsid w:val="009D5B79"/>
    <w:rsid w:val="009D5B89"/>
    <w:rsid w:val="009D6E63"/>
    <w:rsid w:val="009D705F"/>
    <w:rsid w:val="009D7802"/>
    <w:rsid w:val="009E5099"/>
    <w:rsid w:val="009E52EC"/>
    <w:rsid w:val="009E65AF"/>
    <w:rsid w:val="009E6CA7"/>
    <w:rsid w:val="009E70CE"/>
    <w:rsid w:val="009E7106"/>
    <w:rsid w:val="009E71DA"/>
    <w:rsid w:val="009F1ADA"/>
    <w:rsid w:val="00A01922"/>
    <w:rsid w:val="00A01CD5"/>
    <w:rsid w:val="00A041C3"/>
    <w:rsid w:val="00A042B0"/>
    <w:rsid w:val="00A05AE8"/>
    <w:rsid w:val="00A07E8D"/>
    <w:rsid w:val="00A10875"/>
    <w:rsid w:val="00A1168B"/>
    <w:rsid w:val="00A156FE"/>
    <w:rsid w:val="00A15936"/>
    <w:rsid w:val="00A17529"/>
    <w:rsid w:val="00A17807"/>
    <w:rsid w:val="00A20E18"/>
    <w:rsid w:val="00A21528"/>
    <w:rsid w:val="00A23EAC"/>
    <w:rsid w:val="00A2445E"/>
    <w:rsid w:val="00A24F1F"/>
    <w:rsid w:val="00A24F49"/>
    <w:rsid w:val="00A2580E"/>
    <w:rsid w:val="00A30736"/>
    <w:rsid w:val="00A30BB6"/>
    <w:rsid w:val="00A338C1"/>
    <w:rsid w:val="00A35066"/>
    <w:rsid w:val="00A350D3"/>
    <w:rsid w:val="00A3699C"/>
    <w:rsid w:val="00A3760D"/>
    <w:rsid w:val="00A4176F"/>
    <w:rsid w:val="00A42EA2"/>
    <w:rsid w:val="00A47340"/>
    <w:rsid w:val="00A47AF8"/>
    <w:rsid w:val="00A506CB"/>
    <w:rsid w:val="00A50B94"/>
    <w:rsid w:val="00A51F74"/>
    <w:rsid w:val="00A52E33"/>
    <w:rsid w:val="00A53E86"/>
    <w:rsid w:val="00A64D7C"/>
    <w:rsid w:val="00A67260"/>
    <w:rsid w:val="00A7001C"/>
    <w:rsid w:val="00A72462"/>
    <w:rsid w:val="00A736B5"/>
    <w:rsid w:val="00A75951"/>
    <w:rsid w:val="00A775D6"/>
    <w:rsid w:val="00A845F0"/>
    <w:rsid w:val="00A901A2"/>
    <w:rsid w:val="00A935E8"/>
    <w:rsid w:val="00A9374D"/>
    <w:rsid w:val="00A94AF3"/>
    <w:rsid w:val="00A958F0"/>
    <w:rsid w:val="00A978A6"/>
    <w:rsid w:val="00AA1B6A"/>
    <w:rsid w:val="00AA2C03"/>
    <w:rsid w:val="00AA38A3"/>
    <w:rsid w:val="00AB2248"/>
    <w:rsid w:val="00AB27F2"/>
    <w:rsid w:val="00AB3640"/>
    <w:rsid w:val="00AC00D2"/>
    <w:rsid w:val="00AC046F"/>
    <w:rsid w:val="00AC07EA"/>
    <w:rsid w:val="00AC2170"/>
    <w:rsid w:val="00AD08EC"/>
    <w:rsid w:val="00AD16B9"/>
    <w:rsid w:val="00AD2D8A"/>
    <w:rsid w:val="00AD32A4"/>
    <w:rsid w:val="00AD6056"/>
    <w:rsid w:val="00AD7FBB"/>
    <w:rsid w:val="00AE02CA"/>
    <w:rsid w:val="00AE1B92"/>
    <w:rsid w:val="00AE277B"/>
    <w:rsid w:val="00AE2808"/>
    <w:rsid w:val="00AE5C75"/>
    <w:rsid w:val="00AF050B"/>
    <w:rsid w:val="00AF0FB7"/>
    <w:rsid w:val="00AF1241"/>
    <w:rsid w:val="00AF1AC7"/>
    <w:rsid w:val="00AF1BB9"/>
    <w:rsid w:val="00AF4CEC"/>
    <w:rsid w:val="00AF5459"/>
    <w:rsid w:val="00B00C51"/>
    <w:rsid w:val="00B03245"/>
    <w:rsid w:val="00B04F6E"/>
    <w:rsid w:val="00B05280"/>
    <w:rsid w:val="00B07C40"/>
    <w:rsid w:val="00B12B68"/>
    <w:rsid w:val="00B1350D"/>
    <w:rsid w:val="00B1424B"/>
    <w:rsid w:val="00B1439A"/>
    <w:rsid w:val="00B150D1"/>
    <w:rsid w:val="00B2091B"/>
    <w:rsid w:val="00B20AFC"/>
    <w:rsid w:val="00B216A2"/>
    <w:rsid w:val="00B22487"/>
    <w:rsid w:val="00B243E2"/>
    <w:rsid w:val="00B24889"/>
    <w:rsid w:val="00B24F5A"/>
    <w:rsid w:val="00B264DF"/>
    <w:rsid w:val="00B33061"/>
    <w:rsid w:val="00B331A9"/>
    <w:rsid w:val="00B37BDB"/>
    <w:rsid w:val="00B40136"/>
    <w:rsid w:val="00B405D1"/>
    <w:rsid w:val="00B426BF"/>
    <w:rsid w:val="00B51E9F"/>
    <w:rsid w:val="00B52907"/>
    <w:rsid w:val="00B5418F"/>
    <w:rsid w:val="00B54D1D"/>
    <w:rsid w:val="00B57155"/>
    <w:rsid w:val="00B579F8"/>
    <w:rsid w:val="00B610A4"/>
    <w:rsid w:val="00B612FE"/>
    <w:rsid w:val="00B62D71"/>
    <w:rsid w:val="00B63CA3"/>
    <w:rsid w:val="00B654C6"/>
    <w:rsid w:val="00B7028B"/>
    <w:rsid w:val="00B71234"/>
    <w:rsid w:val="00B72069"/>
    <w:rsid w:val="00B73303"/>
    <w:rsid w:val="00B74F24"/>
    <w:rsid w:val="00B80293"/>
    <w:rsid w:val="00B804BD"/>
    <w:rsid w:val="00B81FB3"/>
    <w:rsid w:val="00B827B8"/>
    <w:rsid w:val="00B83A3B"/>
    <w:rsid w:val="00B86BD2"/>
    <w:rsid w:val="00B87BF6"/>
    <w:rsid w:val="00B91837"/>
    <w:rsid w:val="00B91A19"/>
    <w:rsid w:val="00B92BC3"/>
    <w:rsid w:val="00B9340B"/>
    <w:rsid w:val="00B94860"/>
    <w:rsid w:val="00B95B7A"/>
    <w:rsid w:val="00BA0576"/>
    <w:rsid w:val="00BA3E59"/>
    <w:rsid w:val="00BA486E"/>
    <w:rsid w:val="00BA4957"/>
    <w:rsid w:val="00BA4EA0"/>
    <w:rsid w:val="00BB33F9"/>
    <w:rsid w:val="00BB5882"/>
    <w:rsid w:val="00BB7712"/>
    <w:rsid w:val="00BB7BE2"/>
    <w:rsid w:val="00BC1A1E"/>
    <w:rsid w:val="00BC1F32"/>
    <w:rsid w:val="00BC2860"/>
    <w:rsid w:val="00BC4C31"/>
    <w:rsid w:val="00BC524C"/>
    <w:rsid w:val="00BD01DF"/>
    <w:rsid w:val="00BD1D2C"/>
    <w:rsid w:val="00BD2C7E"/>
    <w:rsid w:val="00BD2FC6"/>
    <w:rsid w:val="00BD2FC7"/>
    <w:rsid w:val="00BD3EE3"/>
    <w:rsid w:val="00BD5EA2"/>
    <w:rsid w:val="00BD683D"/>
    <w:rsid w:val="00BD74F4"/>
    <w:rsid w:val="00BE0492"/>
    <w:rsid w:val="00BE3C57"/>
    <w:rsid w:val="00BE3D6A"/>
    <w:rsid w:val="00BF1710"/>
    <w:rsid w:val="00BF2DCA"/>
    <w:rsid w:val="00BF4F12"/>
    <w:rsid w:val="00BF69FA"/>
    <w:rsid w:val="00BF7D3A"/>
    <w:rsid w:val="00C01119"/>
    <w:rsid w:val="00C01300"/>
    <w:rsid w:val="00C01760"/>
    <w:rsid w:val="00C06035"/>
    <w:rsid w:val="00C0798A"/>
    <w:rsid w:val="00C126C2"/>
    <w:rsid w:val="00C128BF"/>
    <w:rsid w:val="00C13287"/>
    <w:rsid w:val="00C14522"/>
    <w:rsid w:val="00C15B4B"/>
    <w:rsid w:val="00C16A33"/>
    <w:rsid w:val="00C20837"/>
    <w:rsid w:val="00C2097A"/>
    <w:rsid w:val="00C23393"/>
    <w:rsid w:val="00C26907"/>
    <w:rsid w:val="00C269C3"/>
    <w:rsid w:val="00C32BEA"/>
    <w:rsid w:val="00C40409"/>
    <w:rsid w:val="00C41AFC"/>
    <w:rsid w:val="00C4234A"/>
    <w:rsid w:val="00C43CB8"/>
    <w:rsid w:val="00C44F40"/>
    <w:rsid w:val="00C4515D"/>
    <w:rsid w:val="00C52EA6"/>
    <w:rsid w:val="00C54189"/>
    <w:rsid w:val="00C548F0"/>
    <w:rsid w:val="00C54EE1"/>
    <w:rsid w:val="00C55B79"/>
    <w:rsid w:val="00C56C03"/>
    <w:rsid w:val="00C57FC5"/>
    <w:rsid w:val="00C6188C"/>
    <w:rsid w:val="00C6690C"/>
    <w:rsid w:val="00C67A1F"/>
    <w:rsid w:val="00C67D68"/>
    <w:rsid w:val="00C704B3"/>
    <w:rsid w:val="00C704FA"/>
    <w:rsid w:val="00C724C8"/>
    <w:rsid w:val="00C734D6"/>
    <w:rsid w:val="00C7411E"/>
    <w:rsid w:val="00C75811"/>
    <w:rsid w:val="00C76468"/>
    <w:rsid w:val="00C76F1A"/>
    <w:rsid w:val="00C9281D"/>
    <w:rsid w:val="00C92AE3"/>
    <w:rsid w:val="00C93E36"/>
    <w:rsid w:val="00C9494A"/>
    <w:rsid w:val="00C95DF6"/>
    <w:rsid w:val="00C95FFB"/>
    <w:rsid w:val="00C96BFB"/>
    <w:rsid w:val="00C97F6D"/>
    <w:rsid w:val="00CA248A"/>
    <w:rsid w:val="00CA3D83"/>
    <w:rsid w:val="00CA40F2"/>
    <w:rsid w:val="00CA5397"/>
    <w:rsid w:val="00CA5C05"/>
    <w:rsid w:val="00CB2B12"/>
    <w:rsid w:val="00CB3AE8"/>
    <w:rsid w:val="00CB6BB0"/>
    <w:rsid w:val="00CB6FC8"/>
    <w:rsid w:val="00CB73A7"/>
    <w:rsid w:val="00CC045D"/>
    <w:rsid w:val="00CC04EF"/>
    <w:rsid w:val="00CC4055"/>
    <w:rsid w:val="00CC41CC"/>
    <w:rsid w:val="00CC46FA"/>
    <w:rsid w:val="00CC4E27"/>
    <w:rsid w:val="00CC4FBC"/>
    <w:rsid w:val="00CD029F"/>
    <w:rsid w:val="00CD1437"/>
    <w:rsid w:val="00CD1445"/>
    <w:rsid w:val="00CD320A"/>
    <w:rsid w:val="00CD676B"/>
    <w:rsid w:val="00CD6778"/>
    <w:rsid w:val="00CE23A5"/>
    <w:rsid w:val="00CF25D8"/>
    <w:rsid w:val="00CF466A"/>
    <w:rsid w:val="00CF6F5E"/>
    <w:rsid w:val="00CF7776"/>
    <w:rsid w:val="00D07DB6"/>
    <w:rsid w:val="00D1451C"/>
    <w:rsid w:val="00D15867"/>
    <w:rsid w:val="00D1703B"/>
    <w:rsid w:val="00D2032F"/>
    <w:rsid w:val="00D22165"/>
    <w:rsid w:val="00D22C91"/>
    <w:rsid w:val="00D2374F"/>
    <w:rsid w:val="00D2509A"/>
    <w:rsid w:val="00D26458"/>
    <w:rsid w:val="00D26E2F"/>
    <w:rsid w:val="00D329A3"/>
    <w:rsid w:val="00D36DBF"/>
    <w:rsid w:val="00D40B34"/>
    <w:rsid w:val="00D42C53"/>
    <w:rsid w:val="00D4498C"/>
    <w:rsid w:val="00D51015"/>
    <w:rsid w:val="00D51892"/>
    <w:rsid w:val="00D51E08"/>
    <w:rsid w:val="00D52F9F"/>
    <w:rsid w:val="00D62E40"/>
    <w:rsid w:val="00D66B70"/>
    <w:rsid w:val="00D71501"/>
    <w:rsid w:val="00D73BF3"/>
    <w:rsid w:val="00D776BC"/>
    <w:rsid w:val="00D81CE0"/>
    <w:rsid w:val="00D87812"/>
    <w:rsid w:val="00D92539"/>
    <w:rsid w:val="00D94049"/>
    <w:rsid w:val="00D97DEC"/>
    <w:rsid w:val="00DA3264"/>
    <w:rsid w:val="00DA5621"/>
    <w:rsid w:val="00DB0229"/>
    <w:rsid w:val="00DB0CB6"/>
    <w:rsid w:val="00DB5962"/>
    <w:rsid w:val="00DB7033"/>
    <w:rsid w:val="00DC0723"/>
    <w:rsid w:val="00DC16B8"/>
    <w:rsid w:val="00DC1FB3"/>
    <w:rsid w:val="00DC2014"/>
    <w:rsid w:val="00DC20FA"/>
    <w:rsid w:val="00DC2B1F"/>
    <w:rsid w:val="00DC5EEB"/>
    <w:rsid w:val="00DD0235"/>
    <w:rsid w:val="00DD21EC"/>
    <w:rsid w:val="00DD3F62"/>
    <w:rsid w:val="00DD4379"/>
    <w:rsid w:val="00DD4543"/>
    <w:rsid w:val="00DD659E"/>
    <w:rsid w:val="00DD6DB9"/>
    <w:rsid w:val="00DE39FD"/>
    <w:rsid w:val="00DE4BA8"/>
    <w:rsid w:val="00DE560D"/>
    <w:rsid w:val="00DE74FA"/>
    <w:rsid w:val="00DE7ABD"/>
    <w:rsid w:val="00DF0A51"/>
    <w:rsid w:val="00DF2826"/>
    <w:rsid w:val="00DF4885"/>
    <w:rsid w:val="00DF680B"/>
    <w:rsid w:val="00DF724C"/>
    <w:rsid w:val="00E02629"/>
    <w:rsid w:val="00E0272F"/>
    <w:rsid w:val="00E0311E"/>
    <w:rsid w:val="00E031D6"/>
    <w:rsid w:val="00E07631"/>
    <w:rsid w:val="00E07B77"/>
    <w:rsid w:val="00E12E21"/>
    <w:rsid w:val="00E13FEA"/>
    <w:rsid w:val="00E1597D"/>
    <w:rsid w:val="00E16042"/>
    <w:rsid w:val="00E171D6"/>
    <w:rsid w:val="00E20554"/>
    <w:rsid w:val="00E2185F"/>
    <w:rsid w:val="00E23859"/>
    <w:rsid w:val="00E2387B"/>
    <w:rsid w:val="00E2663C"/>
    <w:rsid w:val="00E30A86"/>
    <w:rsid w:val="00E30CB1"/>
    <w:rsid w:val="00E346E7"/>
    <w:rsid w:val="00E34A0B"/>
    <w:rsid w:val="00E378BD"/>
    <w:rsid w:val="00E400F7"/>
    <w:rsid w:val="00E41EE3"/>
    <w:rsid w:val="00E45847"/>
    <w:rsid w:val="00E4644A"/>
    <w:rsid w:val="00E46BBF"/>
    <w:rsid w:val="00E53585"/>
    <w:rsid w:val="00E55741"/>
    <w:rsid w:val="00E57A41"/>
    <w:rsid w:val="00E6070F"/>
    <w:rsid w:val="00E63BEC"/>
    <w:rsid w:val="00E642C6"/>
    <w:rsid w:val="00E650FD"/>
    <w:rsid w:val="00E664B6"/>
    <w:rsid w:val="00E66BBA"/>
    <w:rsid w:val="00E74A78"/>
    <w:rsid w:val="00E74B5B"/>
    <w:rsid w:val="00E80A87"/>
    <w:rsid w:val="00E81177"/>
    <w:rsid w:val="00E86820"/>
    <w:rsid w:val="00E90C22"/>
    <w:rsid w:val="00E969D2"/>
    <w:rsid w:val="00EA33A5"/>
    <w:rsid w:val="00EA399A"/>
    <w:rsid w:val="00EA5CF9"/>
    <w:rsid w:val="00EB23DE"/>
    <w:rsid w:val="00EB2A16"/>
    <w:rsid w:val="00EB3A43"/>
    <w:rsid w:val="00EB5F85"/>
    <w:rsid w:val="00EB7238"/>
    <w:rsid w:val="00EC57F4"/>
    <w:rsid w:val="00EC690B"/>
    <w:rsid w:val="00ED0609"/>
    <w:rsid w:val="00ED0C3A"/>
    <w:rsid w:val="00ED2B24"/>
    <w:rsid w:val="00ED3179"/>
    <w:rsid w:val="00ED4067"/>
    <w:rsid w:val="00ED5782"/>
    <w:rsid w:val="00EE05ED"/>
    <w:rsid w:val="00EE202B"/>
    <w:rsid w:val="00EE6833"/>
    <w:rsid w:val="00EE7EEF"/>
    <w:rsid w:val="00EF07DF"/>
    <w:rsid w:val="00EF1660"/>
    <w:rsid w:val="00EF699D"/>
    <w:rsid w:val="00F006E3"/>
    <w:rsid w:val="00F03384"/>
    <w:rsid w:val="00F03FFE"/>
    <w:rsid w:val="00F05C5D"/>
    <w:rsid w:val="00F05C7F"/>
    <w:rsid w:val="00F1077B"/>
    <w:rsid w:val="00F11CE5"/>
    <w:rsid w:val="00F15164"/>
    <w:rsid w:val="00F1727A"/>
    <w:rsid w:val="00F17385"/>
    <w:rsid w:val="00F221C6"/>
    <w:rsid w:val="00F255CC"/>
    <w:rsid w:val="00F2603C"/>
    <w:rsid w:val="00F305C4"/>
    <w:rsid w:val="00F30998"/>
    <w:rsid w:val="00F32EDD"/>
    <w:rsid w:val="00F334BA"/>
    <w:rsid w:val="00F33C9C"/>
    <w:rsid w:val="00F367E1"/>
    <w:rsid w:val="00F37EC4"/>
    <w:rsid w:val="00F4071F"/>
    <w:rsid w:val="00F42D64"/>
    <w:rsid w:val="00F43BBB"/>
    <w:rsid w:val="00F44180"/>
    <w:rsid w:val="00F46C93"/>
    <w:rsid w:val="00F51B66"/>
    <w:rsid w:val="00F51CC6"/>
    <w:rsid w:val="00F53808"/>
    <w:rsid w:val="00F54BEE"/>
    <w:rsid w:val="00F56D21"/>
    <w:rsid w:val="00F5718A"/>
    <w:rsid w:val="00F57199"/>
    <w:rsid w:val="00F57573"/>
    <w:rsid w:val="00F60B4B"/>
    <w:rsid w:val="00F60D64"/>
    <w:rsid w:val="00F6423D"/>
    <w:rsid w:val="00F65C4E"/>
    <w:rsid w:val="00F6740A"/>
    <w:rsid w:val="00F72650"/>
    <w:rsid w:val="00F7283B"/>
    <w:rsid w:val="00F72D83"/>
    <w:rsid w:val="00F747FC"/>
    <w:rsid w:val="00F85253"/>
    <w:rsid w:val="00F855CF"/>
    <w:rsid w:val="00F8773C"/>
    <w:rsid w:val="00F87A64"/>
    <w:rsid w:val="00F9204E"/>
    <w:rsid w:val="00F92CAA"/>
    <w:rsid w:val="00F94840"/>
    <w:rsid w:val="00F9671C"/>
    <w:rsid w:val="00F97222"/>
    <w:rsid w:val="00FA0121"/>
    <w:rsid w:val="00FA448B"/>
    <w:rsid w:val="00FA546D"/>
    <w:rsid w:val="00FA5896"/>
    <w:rsid w:val="00FA5FCE"/>
    <w:rsid w:val="00FA734E"/>
    <w:rsid w:val="00FB2442"/>
    <w:rsid w:val="00FB3A2D"/>
    <w:rsid w:val="00FB3D6A"/>
    <w:rsid w:val="00FB4C1C"/>
    <w:rsid w:val="00FB6999"/>
    <w:rsid w:val="00FB7497"/>
    <w:rsid w:val="00FC0999"/>
    <w:rsid w:val="00FC1625"/>
    <w:rsid w:val="00FC35FC"/>
    <w:rsid w:val="00FC42DF"/>
    <w:rsid w:val="00FC66BF"/>
    <w:rsid w:val="00FD042F"/>
    <w:rsid w:val="00FD3A88"/>
    <w:rsid w:val="00FD436A"/>
    <w:rsid w:val="00FD5B6B"/>
    <w:rsid w:val="00FD6062"/>
    <w:rsid w:val="00FE042A"/>
    <w:rsid w:val="00FE1019"/>
    <w:rsid w:val="00FE41D9"/>
    <w:rsid w:val="00FE5130"/>
    <w:rsid w:val="00FE6DF3"/>
    <w:rsid w:val="00FF0CC3"/>
    <w:rsid w:val="00FF0E29"/>
    <w:rsid w:val="00FF25DA"/>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17BD"/>
  <w15:chartTrackingRefBased/>
  <w15:docId w15:val="{50213DCA-EBD9-42A0-A24B-7A5AB05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2C"/>
    <w:pPr>
      <w:spacing w:after="12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1267D"/>
    <w:pPr>
      <w:spacing w:after="0" w:line="240" w:lineRule="auto"/>
      <w:ind w:left="720"/>
      <w:jc w:val="left"/>
    </w:pPr>
    <w:rPr>
      <w:rFonts w:cs="Times New Roman"/>
      <w:szCs w:val="24"/>
    </w:rPr>
  </w:style>
  <w:style w:type="paragraph" w:styleId="FootnoteText">
    <w:name w:val="footnote text"/>
    <w:basedOn w:val="Normal"/>
    <w:link w:val="FootnoteTextChar"/>
    <w:uiPriority w:val="99"/>
    <w:unhideWhenUsed/>
    <w:rsid w:val="0042771D"/>
    <w:pPr>
      <w:spacing w:after="0" w:line="240" w:lineRule="auto"/>
    </w:pPr>
    <w:rPr>
      <w:sz w:val="20"/>
      <w:szCs w:val="20"/>
    </w:rPr>
  </w:style>
  <w:style w:type="character" w:customStyle="1" w:styleId="FootnoteTextChar">
    <w:name w:val="Footnote Text Char"/>
    <w:basedOn w:val="DefaultParagraphFont"/>
    <w:link w:val="FootnoteText"/>
    <w:uiPriority w:val="99"/>
    <w:rsid w:val="0042771D"/>
    <w:rPr>
      <w:rFonts w:ascii="Times New Roman" w:hAnsi="Times New Roman"/>
      <w:sz w:val="20"/>
      <w:szCs w:val="20"/>
    </w:rPr>
  </w:style>
  <w:style w:type="character" w:styleId="FootnoteReference">
    <w:name w:val="footnote reference"/>
    <w:basedOn w:val="DefaultParagraphFont"/>
    <w:uiPriority w:val="99"/>
    <w:unhideWhenUsed/>
    <w:rsid w:val="0042771D"/>
    <w:rPr>
      <w:vertAlign w:val="superscript"/>
    </w:rPr>
  </w:style>
  <w:style w:type="character" w:styleId="Hyperlink">
    <w:name w:val="Hyperlink"/>
    <w:basedOn w:val="DefaultParagraphFont"/>
    <w:uiPriority w:val="99"/>
    <w:unhideWhenUsed/>
    <w:rsid w:val="00BB5882"/>
    <w:rPr>
      <w:color w:val="0563C1" w:themeColor="hyperlink"/>
      <w:u w:val="single"/>
    </w:rPr>
  </w:style>
  <w:style w:type="paragraph" w:styleId="ListParagraph">
    <w:name w:val="List Paragraph"/>
    <w:basedOn w:val="Normal"/>
    <w:uiPriority w:val="34"/>
    <w:qFormat/>
    <w:rsid w:val="00DB0CB6"/>
    <w:pPr>
      <w:ind w:left="720"/>
      <w:contextualSpacing/>
    </w:pPr>
  </w:style>
  <w:style w:type="paragraph" w:styleId="Title">
    <w:name w:val="Title"/>
    <w:basedOn w:val="Normal"/>
    <w:link w:val="TitleChar"/>
    <w:qFormat/>
    <w:rsid w:val="00CF7776"/>
    <w:pPr>
      <w:spacing w:after="0" w:line="240" w:lineRule="auto"/>
      <w:jc w:val="center"/>
    </w:pPr>
    <w:rPr>
      <w:rFonts w:eastAsia="Times New Roman" w:cs="Times New Roman"/>
      <w:szCs w:val="20"/>
    </w:rPr>
  </w:style>
  <w:style w:type="character" w:customStyle="1" w:styleId="TitleChar">
    <w:name w:val="Title Char"/>
    <w:basedOn w:val="DefaultParagraphFont"/>
    <w:link w:val="Title"/>
    <w:rsid w:val="00CF7776"/>
    <w:rPr>
      <w:rFonts w:ascii="Times New Roman" w:eastAsia="Times New Roman" w:hAnsi="Times New Roman" w:cs="Times New Roman"/>
      <w:sz w:val="24"/>
      <w:szCs w:val="20"/>
    </w:rPr>
  </w:style>
  <w:style w:type="paragraph" w:styleId="Caption">
    <w:name w:val="caption"/>
    <w:basedOn w:val="Normal"/>
    <w:next w:val="Normal"/>
    <w:qFormat/>
    <w:rsid w:val="00CF7776"/>
    <w:pPr>
      <w:spacing w:after="0" w:line="240" w:lineRule="auto"/>
      <w:jc w:val="center"/>
    </w:pPr>
    <w:rPr>
      <w:rFonts w:eastAsia="Times New Roman" w:cs="Times New Roman"/>
      <w:b/>
      <w:szCs w:val="20"/>
    </w:rPr>
  </w:style>
  <w:style w:type="paragraph" w:styleId="BalloonText">
    <w:name w:val="Balloon Text"/>
    <w:basedOn w:val="Normal"/>
    <w:link w:val="BalloonTextChar"/>
    <w:uiPriority w:val="99"/>
    <w:semiHidden/>
    <w:unhideWhenUsed/>
    <w:rsid w:val="00CF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76"/>
    <w:rPr>
      <w:rFonts w:ascii="Segoe UI" w:hAnsi="Segoe UI" w:cs="Segoe UI"/>
      <w:sz w:val="18"/>
      <w:szCs w:val="18"/>
    </w:rPr>
  </w:style>
  <w:style w:type="paragraph" w:styleId="Header">
    <w:name w:val="header"/>
    <w:basedOn w:val="Normal"/>
    <w:link w:val="HeaderChar"/>
    <w:uiPriority w:val="99"/>
    <w:unhideWhenUsed/>
    <w:rsid w:val="00C7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A"/>
    <w:rPr>
      <w:rFonts w:ascii="Times New Roman" w:hAnsi="Times New Roman"/>
      <w:sz w:val="24"/>
    </w:rPr>
  </w:style>
  <w:style w:type="paragraph" w:styleId="Footer">
    <w:name w:val="footer"/>
    <w:basedOn w:val="Normal"/>
    <w:link w:val="FooterChar"/>
    <w:uiPriority w:val="99"/>
    <w:unhideWhenUsed/>
    <w:rsid w:val="00C7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A"/>
    <w:rPr>
      <w:rFonts w:ascii="Times New Roman" w:hAnsi="Times New Roman"/>
      <w:sz w:val="24"/>
    </w:rPr>
  </w:style>
  <w:style w:type="character" w:styleId="CommentReference">
    <w:name w:val="annotation reference"/>
    <w:basedOn w:val="DefaultParagraphFont"/>
    <w:uiPriority w:val="99"/>
    <w:semiHidden/>
    <w:unhideWhenUsed/>
    <w:rsid w:val="00525872"/>
    <w:rPr>
      <w:sz w:val="16"/>
      <w:szCs w:val="16"/>
    </w:rPr>
  </w:style>
  <w:style w:type="paragraph" w:styleId="CommentText">
    <w:name w:val="annotation text"/>
    <w:basedOn w:val="Normal"/>
    <w:link w:val="CommentTextChar"/>
    <w:uiPriority w:val="99"/>
    <w:unhideWhenUsed/>
    <w:rsid w:val="00525872"/>
    <w:pPr>
      <w:spacing w:line="240" w:lineRule="auto"/>
    </w:pPr>
    <w:rPr>
      <w:sz w:val="20"/>
      <w:szCs w:val="20"/>
    </w:rPr>
  </w:style>
  <w:style w:type="character" w:customStyle="1" w:styleId="CommentTextChar">
    <w:name w:val="Comment Text Char"/>
    <w:basedOn w:val="DefaultParagraphFont"/>
    <w:link w:val="CommentText"/>
    <w:uiPriority w:val="99"/>
    <w:rsid w:val="005258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872"/>
    <w:rPr>
      <w:b/>
      <w:bCs/>
    </w:rPr>
  </w:style>
  <w:style w:type="character" w:customStyle="1" w:styleId="CommentSubjectChar">
    <w:name w:val="Comment Subject Char"/>
    <w:basedOn w:val="CommentTextChar"/>
    <w:link w:val="CommentSubject"/>
    <w:uiPriority w:val="99"/>
    <w:semiHidden/>
    <w:rsid w:val="00525872"/>
    <w:rPr>
      <w:rFonts w:ascii="Times New Roman" w:hAnsi="Times New Roman"/>
      <w:b/>
      <w:bCs/>
      <w:sz w:val="20"/>
      <w:szCs w:val="20"/>
    </w:rPr>
  </w:style>
  <w:style w:type="paragraph" w:styleId="BodyText">
    <w:name w:val="Body Text"/>
    <w:basedOn w:val="Normal"/>
    <w:link w:val="BodyTextChar"/>
    <w:rsid w:val="00B62D71"/>
    <w:pPr>
      <w:spacing w:after="0" w:line="480" w:lineRule="auto"/>
    </w:pPr>
    <w:rPr>
      <w:rFonts w:eastAsia="Times New Roman" w:cs="Times New Roman"/>
      <w:szCs w:val="20"/>
    </w:rPr>
  </w:style>
  <w:style w:type="character" w:customStyle="1" w:styleId="BodyTextChar">
    <w:name w:val="Body Text Char"/>
    <w:basedOn w:val="DefaultParagraphFont"/>
    <w:link w:val="BodyText"/>
    <w:rsid w:val="00B62D71"/>
    <w:rPr>
      <w:rFonts w:ascii="Times New Roman" w:eastAsia="Times New Roman" w:hAnsi="Times New Roman" w:cs="Times New Roman"/>
      <w:sz w:val="24"/>
      <w:szCs w:val="20"/>
    </w:rPr>
  </w:style>
  <w:style w:type="paragraph" w:styleId="Signature">
    <w:name w:val="Signature"/>
    <w:basedOn w:val="Normal"/>
    <w:link w:val="SignatureChar"/>
    <w:rsid w:val="00B62D71"/>
    <w:pPr>
      <w:keepNext/>
      <w:keepLines/>
      <w:tabs>
        <w:tab w:val="right" w:pos="9360"/>
      </w:tabs>
      <w:spacing w:after="0" w:line="240" w:lineRule="auto"/>
      <w:ind w:left="4680"/>
      <w:jc w:val="left"/>
    </w:pPr>
    <w:rPr>
      <w:rFonts w:eastAsia="MS Mincho" w:cs="Times New Roman"/>
      <w:szCs w:val="20"/>
    </w:rPr>
  </w:style>
  <w:style w:type="character" w:customStyle="1" w:styleId="SignatureChar">
    <w:name w:val="Signature Char"/>
    <w:basedOn w:val="DefaultParagraphFont"/>
    <w:link w:val="Signature"/>
    <w:rsid w:val="00B62D71"/>
    <w:rPr>
      <w:rFonts w:ascii="Times New Roman" w:eastAsia="MS Mincho" w:hAnsi="Times New Roman" w:cs="Times New Roman"/>
      <w:sz w:val="24"/>
      <w:szCs w:val="20"/>
    </w:rPr>
  </w:style>
  <w:style w:type="character" w:customStyle="1" w:styleId="UnresolvedMention1">
    <w:name w:val="Unresolved Mention1"/>
    <w:basedOn w:val="DefaultParagraphFont"/>
    <w:uiPriority w:val="99"/>
    <w:semiHidden/>
    <w:unhideWhenUsed/>
    <w:rsid w:val="00360F5D"/>
    <w:rPr>
      <w:color w:val="605E5C"/>
      <w:shd w:val="clear" w:color="auto" w:fill="E1DFDD"/>
    </w:rPr>
  </w:style>
  <w:style w:type="table" w:styleId="TableGrid">
    <w:name w:val="Table Grid"/>
    <w:basedOn w:val="TableNormal"/>
    <w:uiPriority w:val="39"/>
    <w:rsid w:val="00D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07819"/>
    <w:pPr>
      <w:spacing w:after="0" w:line="240" w:lineRule="auto"/>
      <w:jc w:val="left"/>
    </w:pPr>
    <w:rPr>
      <w:rFonts w:ascii="Calibri" w:hAnsi="Calibri" w:cs="Calibri"/>
      <w:sz w:val="22"/>
    </w:rPr>
  </w:style>
  <w:style w:type="character" w:styleId="FollowedHyperlink">
    <w:name w:val="FollowedHyperlink"/>
    <w:basedOn w:val="DefaultParagraphFont"/>
    <w:uiPriority w:val="99"/>
    <w:semiHidden/>
    <w:unhideWhenUsed/>
    <w:rsid w:val="008E537E"/>
    <w:rPr>
      <w:color w:val="954F72" w:themeColor="followedHyperlink"/>
      <w:u w:val="single"/>
    </w:rPr>
  </w:style>
  <w:style w:type="paragraph" w:styleId="Revision">
    <w:name w:val="Revision"/>
    <w:hidden/>
    <w:uiPriority w:val="99"/>
    <w:semiHidden/>
    <w:rsid w:val="006D70F5"/>
    <w:pPr>
      <w:spacing w:after="0" w:line="240" w:lineRule="auto"/>
    </w:pPr>
    <w:rPr>
      <w:rFonts w:ascii="Times New Roman" w:hAnsi="Times New Roman"/>
      <w:sz w:val="24"/>
    </w:rPr>
  </w:style>
  <w:style w:type="paragraph" w:customStyle="1" w:styleId="Default">
    <w:name w:val="Default"/>
    <w:rsid w:val="0084153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57F7A"/>
    <w:rPr>
      <w:b/>
      <w:bCs/>
    </w:rPr>
  </w:style>
  <w:style w:type="paragraph" w:customStyle="1" w:styleId="pf0">
    <w:name w:val="pf0"/>
    <w:basedOn w:val="Normal"/>
    <w:rsid w:val="002B01F3"/>
    <w:pPr>
      <w:spacing w:before="100" w:beforeAutospacing="1" w:after="100" w:afterAutospacing="1" w:line="240" w:lineRule="auto"/>
      <w:jc w:val="left"/>
    </w:pPr>
    <w:rPr>
      <w:rFonts w:eastAsia="Times New Roman" w:cs="Times New Roman"/>
      <w:szCs w:val="24"/>
    </w:rPr>
  </w:style>
  <w:style w:type="character" w:customStyle="1" w:styleId="cf01">
    <w:name w:val="cf01"/>
    <w:basedOn w:val="DefaultParagraphFont"/>
    <w:rsid w:val="002B01F3"/>
    <w:rPr>
      <w:rFonts w:ascii="Segoe UI" w:hAnsi="Segoe UI" w:cs="Segoe UI" w:hint="default"/>
      <w:sz w:val="18"/>
      <w:szCs w:val="18"/>
    </w:rPr>
  </w:style>
  <w:style w:type="paragraph" w:styleId="NormalWeb">
    <w:name w:val="Normal (Web)"/>
    <w:basedOn w:val="Normal"/>
    <w:uiPriority w:val="99"/>
    <w:unhideWhenUsed/>
    <w:rsid w:val="000F0214"/>
    <w:pPr>
      <w:spacing w:before="100" w:beforeAutospacing="1" w:after="100" w:afterAutospacing="1" w:line="240" w:lineRule="auto"/>
      <w:jc w:val="left"/>
    </w:pPr>
    <w:rPr>
      <w:rFonts w:eastAsia="Times New Roman" w:cs="Times New Roman"/>
      <w:szCs w:val="24"/>
    </w:rPr>
  </w:style>
  <w:style w:type="character" w:customStyle="1" w:styleId="UnresolvedMention2">
    <w:name w:val="Unresolved Mention2"/>
    <w:basedOn w:val="DefaultParagraphFont"/>
    <w:uiPriority w:val="99"/>
    <w:semiHidden/>
    <w:unhideWhenUsed/>
    <w:rsid w:val="0073492A"/>
    <w:rPr>
      <w:color w:val="605E5C"/>
      <w:shd w:val="clear" w:color="auto" w:fill="E1DFDD"/>
    </w:rPr>
  </w:style>
  <w:style w:type="character" w:styleId="UnresolvedMention">
    <w:name w:val="Unresolved Mention"/>
    <w:basedOn w:val="DefaultParagraphFont"/>
    <w:uiPriority w:val="99"/>
    <w:semiHidden/>
    <w:unhideWhenUsed/>
    <w:rsid w:val="00F0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685">
      <w:bodyDiv w:val="1"/>
      <w:marLeft w:val="0"/>
      <w:marRight w:val="0"/>
      <w:marTop w:val="0"/>
      <w:marBottom w:val="0"/>
      <w:divBdr>
        <w:top w:val="none" w:sz="0" w:space="0" w:color="auto"/>
        <w:left w:val="none" w:sz="0" w:space="0" w:color="auto"/>
        <w:bottom w:val="none" w:sz="0" w:space="0" w:color="auto"/>
        <w:right w:val="none" w:sz="0" w:space="0" w:color="auto"/>
      </w:divBdr>
      <w:divsChild>
        <w:div w:id="728576107">
          <w:marLeft w:val="274"/>
          <w:marRight w:val="0"/>
          <w:marTop w:val="150"/>
          <w:marBottom w:val="0"/>
          <w:divBdr>
            <w:top w:val="none" w:sz="0" w:space="0" w:color="auto"/>
            <w:left w:val="none" w:sz="0" w:space="0" w:color="auto"/>
            <w:bottom w:val="none" w:sz="0" w:space="0" w:color="auto"/>
            <w:right w:val="none" w:sz="0" w:space="0" w:color="auto"/>
          </w:divBdr>
        </w:div>
      </w:divsChild>
    </w:div>
    <w:div w:id="247350625">
      <w:bodyDiv w:val="1"/>
      <w:marLeft w:val="0"/>
      <w:marRight w:val="0"/>
      <w:marTop w:val="0"/>
      <w:marBottom w:val="0"/>
      <w:divBdr>
        <w:top w:val="none" w:sz="0" w:space="0" w:color="auto"/>
        <w:left w:val="none" w:sz="0" w:space="0" w:color="auto"/>
        <w:bottom w:val="none" w:sz="0" w:space="0" w:color="auto"/>
        <w:right w:val="none" w:sz="0" w:space="0" w:color="auto"/>
      </w:divBdr>
    </w:div>
    <w:div w:id="298075943">
      <w:bodyDiv w:val="1"/>
      <w:marLeft w:val="0"/>
      <w:marRight w:val="0"/>
      <w:marTop w:val="0"/>
      <w:marBottom w:val="0"/>
      <w:divBdr>
        <w:top w:val="none" w:sz="0" w:space="0" w:color="auto"/>
        <w:left w:val="none" w:sz="0" w:space="0" w:color="auto"/>
        <w:bottom w:val="none" w:sz="0" w:space="0" w:color="auto"/>
        <w:right w:val="none" w:sz="0" w:space="0" w:color="auto"/>
      </w:divBdr>
    </w:div>
    <w:div w:id="312872200">
      <w:bodyDiv w:val="1"/>
      <w:marLeft w:val="0"/>
      <w:marRight w:val="0"/>
      <w:marTop w:val="0"/>
      <w:marBottom w:val="0"/>
      <w:divBdr>
        <w:top w:val="none" w:sz="0" w:space="0" w:color="auto"/>
        <w:left w:val="none" w:sz="0" w:space="0" w:color="auto"/>
        <w:bottom w:val="none" w:sz="0" w:space="0" w:color="auto"/>
        <w:right w:val="none" w:sz="0" w:space="0" w:color="auto"/>
      </w:divBdr>
    </w:div>
    <w:div w:id="399787026">
      <w:bodyDiv w:val="1"/>
      <w:marLeft w:val="0"/>
      <w:marRight w:val="0"/>
      <w:marTop w:val="0"/>
      <w:marBottom w:val="0"/>
      <w:divBdr>
        <w:top w:val="none" w:sz="0" w:space="0" w:color="auto"/>
        <w:left w:val="none" w:sz="0" w:space="0" w:color="auto"/>
        <w:bottom w:val="none" w:sz="0" w:space="0" w:color="auto"/>
        <w:right w:val="none" w:sz="0" w:space="0" w:color="auto"/>
      </w:divBdr>
    </w:div>
    <w:div w:id="615479607">
      <w:bodyDiv w:val="1"/>
      <w:marLeft w:val="0"/>
      <w:marRight w:val="0"/>
      <w:marTop w:val="0"/>
      <w:marBottom w:val="0"/>
      <w:divBdr>
        <w:top w:val="none" w:sz="0" w:space="0" w:color="auto"/>
        <w:left w:val="none" w:sz="0" w:space="0" w:color="auto"/>
        <w:bottom w:val="none" w:sz="0" w:space="0" w:color="auto"/>
        <w:right w:val="none" w:sz="0" w:space="0" w:color="auto"/>
      </w:divBdr>
    </w:div>
    <w:div w:id="671377715">
      <w:bodyDiv w:val="1"/>
      <w:marLeft w:val="0"/>
      <w:marRight w:val="0"/>
      <w:marTop w:val="0"/>
      <w:marBottom w:val="0"/>
      <w:divBdr>
        <w:top w:val="none" w:sz="0" w:space="0" w:color="auto"/>
        <w:left w:val="none" w:sz="0" w:space="0" w:color="auto"/>
        <w:bottom w:val="none" w:sz="0" w:space="0" w:color="auto"/>
        <w:right w:val="none" w:sz="0" w:space="0" w:color="auto"/>
      </w:divBdr>
    </w:div>
    <w:div w:id="892234813">
      <w:bodyDiv w:val="1"/>
      <w:marLeft w:val="0"/>
      <w:marRight w:val="0"/>
      <w:marTop w:val="0"/>
      <w:marBottom w:val="0"/>
      <w:divBdr>
        <w:top w:val="none" w:sz="0" w:space="0" w:color="auto"/>
        <w:left w:val="none" w:sz="0" w:space="0" w:color="auto"/>
        <w:bottom w:val="none" w:sz="0" w:space="0" w:color="auto"/>
        <w:right w:val="none" w:sz="0" w:space="0" w:color="auto"/>
      </w:divBdr>
    </w:div>
    <w:div w:id="1007172016">
      <w:bodyDiv w:val="1"/>
      <w:marLeft w:val="0"/>
      <w:marRight w:val="0"/>
      <w:marTop w:val="0"/>
      <w:marBottom w:val="0"/>
      <w:divBdr>
        <w:top w:val="none" w:sz="0" w:space="0" w:color="auto"/>
        <w:left w:val="none" w:sz="0" w:space="0" w:color="auto"/>
        <w:bottom w:val="none" w:sz="0" w:space="0" w:color="auto"/>
        <w:right w:val="none" w:sz="0" w:space="0" w:color="auto"/>
      </w:divBdr>
    </w:div>
    <w:div w:id="1134443735">
      <w:bodyDiv w:val="1"/>
      <w:marLeft w:val="0"/>
      <w:marRight w:val="0"/>
      <w:marTop w:val="0"/>
      <w:marBottom w:val="0"/>
      <w:divBdr>
        <w:top w:val="none" w:sz="0" w:space="0" w:color="auto"/>
        <w:left w:val="none" w:sz="0" w:space="0" w:color="auto"/>
        <w:bottom w:val="none" w:sz="0" w:space="0" w:color="auto"/>
        <w:right w:val="none" w:sz="0" w:space="0" w:color="auto"/>
      </w:divBdr>
    </w:div>
    <w:div w:id="1305158317">
      <w:bodyDiv w:val="1"/>
      <w:marLeft w:val="0"/>
      <w:marRight w:val="0"/>
      <w:marTop w:val="0"/>
      <w:marBottom w:val="0"/>
      <w:divBdr>
        <w:top w:val="none" w:sz="0" w:space="0" w:color="auto"/>
        <w:left w:val="none" w:sz="0" w:space="0" w:color="auto"/>
        <w:bottom w:val="none" w:sz="0" w:space="0" w:color="auto"/>
        <w:right w:val="none" w:sz="0" w:space="0" w:color="auto"/>
      </w:divBdr>
      <w:divsChild>
        <w:div w:id="476848234">
          <w:marLeft w:val="374"/>
          <w:marRight w:val="0"/>
          <w:marTop w:val="0"/>
          <w:marBottom w:val="0"/>
          <w:divBdr>
            <w:top w:val="none" w:sz="0" w:space="0" w:color="auto"/>
            <w:left w:val="none" w:sz="0" w:space="0" w:color="auto"/>
            <w:bottom w:val="none" w:sz="0" w:space="0" w:color="auto"/>
            <w:right w:val="none" w:sz="0" w:space="0" w:color="auto"/>
          </w:divBdr>
        </w:div>
        <w:div w:id="884218209">
          <w:marLeft w:val="821"/>
          <w:marRight w:val="0"/>
          <w:marTop w:val="0"/>
          <w:marBottom w:val="0"/>
          <w:divBdr>
            <w:top w:val="none" w:sz="0" w:space="0" w:color="auto"/>
            <w:left w:val="none" w:sz="0" w:space="0" w:color="auto"/>
            <w:bottom w:val="none" w:sz="0" w:space="0" w:color="auto"/>
            <w:right w:val="none" w:sz="0" w:space="0" w:color="auto"/>
          </w:divBdr>
        </w:div>
        <w:div w:id="1048645922">
          <w:marLeft w:val="821"/>
          <w:marRight w:val="0"/>
          <w:marTop w:val="0"/>
          <w:marBottom w:val="0"/>
          <w:divBdr>
            <w:top w:val="none" w:sz="0" w:space="0" w:color="auto"/>
            <w:left w:val="none" w:sz="0" w:space="0" w:color="auto"/>
            <w:bottom w:val="none" w:sz="0" w:space="0" w:color="auto"/>
            <w:right w:val="none" w:sz="0" w:space="0" w:color="auto"/>
          </w:divBdr>
        </w:div>
        <w:div w:id="1699744021">
          <w:marLeft w:val="374"/>
          <w:marRight w:val="0"/>
          <w:marTop w:val="0"/>
          <w:marBottom w:val="0"/>
          <w:divBdr>
            <w:top w:val="none" w:sz="0" w:space="0" w:color="auto"/>
            <w:left w:val="none" w:sz="0" w:space="0" w:color="auto"/>
            <w:bottom w:val="none" w:sz="0" w:space="0" w:color="auto"/>
            <w:right w:val="none" w:sz="0" w:space="0" w:color="auto"/>
          </w:divBdr>
        </w:div>
        <w:div w:id="1333601023">
          <w:marLeft w:val="821"/>
          <w:marRight w:val="0"/>
          <w:marTop w:val="0"/>
          <w:marBottom w:val="0"/>
          <w:divBdr>
            <w:top w:val="none" w:sz="0" w:space="0" w:color="auto"/>
            <w:left w:val="none" w:sz="0" w:space="0" w:color="auto"/>
            <w:bottom w:val="none" w:sz="0" w:space="0" w:color="auto"/>
            <w:right w:val="none" w:sz="0" w:space="0" w:color="auto"/>
          </w:divBdr>
        </w:div>
        <w:div w:id="1752896087">
          <w:marLeft w:val="821"/>
          <w:marRight w:val="0"/>
          <w:marTop w:val="0"/>
          <w:marBottom w:val="0"/>
          <w:divBdr>
            <w:top w:val="none" w:sz="0" w:space="0" w:color="auto"/>
            <w:left w:val="none" w:sz="0" w:space="0" w:color="auto"/>
            <w:bottom w:val="none" w:sz="0" w:space="0" w:color="auto"/>
            <w:right w:val="none" w:sz="0" w:space="0" w:color="auto"/>
          </w:divBdr>
        </w:div>
        <w:div w:id="1994291397">
          <w:marLeft w:val="821"/>
          <w:marRight w:val="0"/>
          <w:marTop w:val="0"/>
          <w:marBottom w:val="0"/>
          <w:divBdr>
            <w:top w:val="none" w:sz="0" w:space="0" w:color="auto"/>
            <w:left w:val="none" w:sz="0" w:space="0" w:color="auto"/>
            <w:bottom w:val="none" w:sz="0" w:space="0" w:color="auto"/>
            <w:right w:val="none" w:sz="0" w:space="0" w:color="auto"/>
          </w:divBdr>
        </w:div>
      </w:divsChild>
    </w:div>
    <w:div w:id="1571768674">
      <w:bodyDiv w:val="1"/>
      <w:marLeft w:val="0"/>
      <w:marRight w:val="0"/>
      <w:marTop w:val="0"/>
      <w:marBottom w:val="0"/>
      <w:divBdr>
        <w:top w:val="none" w:sz="0" w:space="0" w:color="auto"/>
        <w:left w:val="none" w:sz="0" w:space="0" w:color="auto"/>
        <w:bottom w:val="none" w:sz="0" w:space="0" w:color="auto"/>
        <w:right w:val="none" w:sz="0" w:space="0" w:color="auto"/>
      </w:divBdr>
    </w:div>
    <w:div w:id="2015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0/10/16/077PGRR-24_Board_Report_101320.doc" TargetMode="External"/><Relationship Id="rId2" Type="http://schemas.openxmlformats.org/officeDocument/2006/relationships/hyperlink" Target="https://www.ercot.com/mktrules/puctDirectives/southernCross" TargetMode="External"/><Relationship Id="rId1" Type="http://schemas.openxmlformats.org/officeDocument/2006/relationships/hyperlink" Target="https://www.ercot.com/files/docs/2022/05/31/Directive_6_ERCOT_Determination_regarding_Any_Needed_Transmission_Upgrades.pdf" TargetMode="External"/><Relationship Id="rId4" Type="http://schemas.openxmlformats.org/officeDocument/2006/relationships/hyperlink" Target="https://www.ercot.com/files/docs/2022/05/31/Directive_6_ERCOT_Determination_regarding_Any_Needed_Transmission_Upgra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88A2-B56D-4FE1-A234-6711F0EA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4381</Words>
  <Characters>24977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Calpine</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Schleimer</dc:creator>
  <cp:keywords/>
  <dc:description/>
  <cp:lastModifiedBy>TCPA - TX Competitive Power Advocates</cp:lastModifiedBy>
  <cp:revision>2</cp:revision>
  <cp:lastPrinted>2024-02-08T14:57:00Z</cp:lastPrinted>
  <dcterms:created xsi:type="dcterms:W3CDTF">2024-02-08T17:09:00Z</dcterms:created>
  <dcterms:modified xsi:type="dcterms:W3CDTF">2024-02-08T17:09:00Z</dcterms:modified>
</cp:coreProperties>
</file>