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B47C" w14:textId="77777777" w:rsidR="00FB32F2" w:rsidRPr="00FB32F2" w:rsidRDefault="00FB32F2" w:rsidP="00A90EBF">
      <w:pPr>
        <w:keepNext/>
        <w:keepLines/>
        <w:spacing w:before="240" w:after="0" w:line="259" w:lineRule="auto"/>
        <w:jc w:val="center"/>
        <w:outlineLvl w:val="0"/>
        <w:rPr>
          <w:rFonts w:ascii="Aptos" w:eastAsia="Yu Gothic Light" w:hAnsi="Aptos" w:cs="Times New Roman"/>
          <w:b/>
          <w:bCs/>
          <w:kern w:val="2"/>
          <w:sz w:val="32"/>
          <w:szCs w:val="32"/>
          <w:lang w:eastAsia="en-US"/>
          <w14:ligatures w14:val="standardContextual"/>
        </w:rPr>
      </w:pPr>
      <w:bookmarkStart w:id="0" w:name="_Hlk166506469"/>
      <w:r w:rsidRPr="00FB32F2">
        <w:rPr>
          <w:rFonts w:ascii="Aptos" w:eastAsia="Yu Gothic Light" w:hAnsi="Aptos" w:cs="Times New Roman"/>
          <w:b/>
          <w:bCs/>
          <w:kern w:val="2"/>
          <w:sz w:val="32"/>
          <w:szCs w:val="32"/>
          <w:lang w:eastAsia="en-US"/>
          <w14:ligatures w14:val="standardContextual"/>
        </w:rPr>
        <w:t>16 TAC § 25.53 – Recommended Amendments Form</w:t>
      </w:r>
    </w:p>
    <w:p w14:paraId="2F2EE82B" w14:textId="77777777" w:rsidR="00FB32F2" w:rsidRPr="00FB32F2" w:rsidRDefault="00FB32F2" w:rsidP="00FB32F2">
      <w:pPr>
        <w:spacing w:line="259" w:lineRule="auto"/>
        <w:rPr>
          <w:rFonts w:ascii="Aptos" w:eastAsia="Calibri" w:hAnsi="Aptos" w:cs="Arial"/>
          <w:kern w:val="2"/>
          <w:sz w:val="22"/>
          <w:szCs w:val="22"/>
          <w:lang w:eastAsia="en-US"/>
          <w14:ligatures w14:val="standardContextual"/>
        </w:rPr>
      </w:pPr>
    </w:p>
    <w:p w14:paraId="358D7B69" w14:textId="77777777" w:rsidR="00FB32F2" w:rsidRPr="00FB32F2" w:rsidRDefault="00FB32F2" w:rsidP="0026458F">
      <w:pPr>
        <w:keepNext/>
        <w:keepLines/>
        <w:spacing w:before="40" w:after="0" w:line="259" w:lineRule="auto"/>
        <w:jc w:val="both"/>
        <w:outlineLvl w:val="1"/>
        <w:rPr>
          <w:rFonts w:ascii="Aptos" w:eastAsia="Yu Gothic Light" w:hAnsi="Aptos" w:cs="Times New Roman"/>
          <w:b/>
          <w:color w:val="1A5798"/>
          <w:kern w:val="2"/>
          <w:szCs w:val="26"/>
          <w:lang w:eastAsia="en-US"/>
          <w14:ligatures w14:val="standardContextual"/>
        </w:rPr>
      </w:pPr>
      <w:r w:rsidRPr="00FB32F2">
        <w:rPr>
          <w:rFonts w:ascii="Aptos" w:eastAsia="Yu Gothic Light" w:hAnsi="Aptos" w:cs="Times New Roman"/>
          <w:b/>
          <w:color w:val="1A5798"/>
          <w:kern w:val="2"/>
          <w:szCs w:val="26"/>
          <w:lang w:eastAsia="en-US"/>
          <w14:ligatures w14:val="standardContextual"/>
        </w:rPr>
        <w:t>Introduction</w:t>
      </w:r>
    </w:p>
    <w:p w14:paraId="0FC4310E"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749AAB9E" w14:textId="6DD75F46"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t xml:space="preserve">The Public Utility Commission of Texas (PUCT) </w:t>
      </w:r>
      <w:r w:rsidR="008778AB">
        <w:rPr>
          <w:rFonts w:ascii="Aptos" w:eastAsia="Calibri" w:hAnsi="Aptos" w:cs="Times New Roman"/>
          <w:kern w:val="2"/>
          <w:sz w:val="22"/>
          <w:szCs w:val="22"/>
          <w:lang w:eastAsia="en-US"/>
          <w14:ligatures w14:val="standardContextual"/>
        </w:rPr>
        <w:t>is</w:t>
      </w:r>
      <w:r w:rsidRPr="00FB32F2">
        <w:rPr>
          <w:rFonts w:ascii="Aptos" w:eastAsia="Calibri" w:hAnsi="Aptos" w:cs="Times New Roman"/>
          <w:kern w:val="2"/>
          <w:sz w:val="22"/>
          <w:szCs w:val="22"/>
          <w:lang w:eastAsia="en-US"/>
          <w14:ligatures w14:val="standardContextual"/>
        </w:rPr>
        <w:t xml:space="preserve"> requesting </w:t>
      </w:r>
      <w:r w:rsidR="008778AB">
        <w:rPr>
          <w:rFonts w:ascii="Aptos" w:eastAsia="Calibri" w:hAnsi="Aptos" w:cs="Times New Roman"/>
          <w:kern w:val="2"/>
          <w:sz w:val="22"/>
          <w:szCs w:val="22"/>
          <w:lang w:eastAsia="en-US"/>
          <w14:ligatures w14:val="standardContextual"/>
        </w:rPr>
        <w:t>feedback</w:t>
      </w:r>
      <w:r w:rsidR="00897B4E">
        <w:rPr>
          <w:rFonts w:ascii="Aptos" w:eastAsia="Calibri" w:hAnsi="Aptos" w:cs="Times New Roman"/>
          <w:kern w:val="2"/>
          <w:sz w:val="22"/>
          <w:szCs w:val="22"/>
          <w:lang w:eastAsia="en-US"/>
          <w14:ligatures w14:val="standardContextual"/>
        </w:rPr>
        <w:t xml:space="preserve"> </w:t>
      </w:r>
      <w:r w:rsidR="005F070C">
        <w:rPr>
          <w:rFonts w:ascii="Aptos" w:eastAsia="Calibri" w:hAnsi="Aptos" w:cs="Times New Roman"/>
          <w:kern w:val="2"/>
          <w:sz w:val="22"/>
          <w:szCs w:val="22"/>
          <w:lang w:eastAsia="en-US"/>
          <w14:ligatures w14:val="standardContextual"/>
        </w:rPr>
        <w:t xml:space="preserve">on recommendations to inform a possible rulemaking </w:t>
      </w:r>
      <w:r w:rsidR="00B92763">
        <w:rPr>
          <w:rFonts w:ascii="Aptos" w:eastAsia="Calibri" w:hAnsi="Aptos" w:cs="Times New Roman"/>
          <w:kern w:val="2"/>
          <w:sz w:val="22"/>
          <w:szCs w:val="22"/>
          <w:lang w:eastAsia="en-US"/>
          <w14:ligatures w14:val="standardContextual"/>
        </w:rPr>
        <w:t xml:space="preserve">regarding </w:t>
      </w:r>
      <w:r w:rsidR="00B92763" w:rsidRPr="00B77521">
        <w:rPr>
          <w:rFonts w:ascii="Aptos" w:eastAsia="Calibri" w:hAnsi="Aptos" w:cs="Times New Roman"/>
          <w:i/>
          <w:iCs/>
          <w:kern w:val="2"/>
          <w:sz w:val="22"/>
          <w:szCs w:val="22"/>
          <w:lang w:eastAsia="en-US"/>
          <w14:ligatures w14:val="standardContextual"/>
        </w:rPr>
        <w:t>§</w:t>
      </w:r>
      <w:r w:rsidR="007C495D" w:rsidRPr="00B77521">
        <w:rPr>
          <w:rFonts w:ascii="Aptos" w:eastAsia="Calibri" w:hAnsi="Aptos" w:cs="Times New Roman"/>
          <w:i/>
          <w:iCs/>
          <w:kern w:val="2"/>
          <w:sz w:val="22"/>
          <w:szCs w:val="22"/>
          <w:lang w:eastAsia="en-US"/>
          <w14:ligatures w14:val="standardContextual"/>
        </w:rPr>
        <w:t xml:space="preserve"> 25.53</w:t>
      </w:r>
      <w:r w:rsidR="003E4FEE" w:rsidRPr="00B77521">
        <w:rPr>
          <w:rFonts w:ascii="Aptos" w:eastAsia="Calibri" w:hAnsi="Aptos" w:cs="Times New Roman"/>
          <w:i/>
          <w:iCs/>
          <w:kern w:val="2"/>
          <w:sz w:val="22"/>
          <w:szCs w:val="22"/>
          <w:lang w:eastAsia="en-US"/>
          <w14:ligatures w14:val="standardContextual"/>
        </w:rPr>
        <w:t xml:space="preserve"> – Electric Service Emergency Operations Plan</w:t>
      </w:r>
      <w:r w:rsidR="007C495D">
        <w:rPr>
          <w:rFonts w:ascii="Aptos" w:eastAsia="Calibri" w:hAnsi="Aptos" w:cs="Times New Roman"/>
          <w:kern w:val="2"/>
          <w:sz w:val="22"/>
          <w:szCs w:val="22"/>
          <w:lang w:eastAsia="en-US"/>
          <w14:ligatures w14:val="standardContextual"/>
        </w:rPr>
        <w:t xml:space="preserve">. </w:t>
      </w:r>
      <w:r w:rsidR="009A2132">
        <w:rPr>
          <w:rFonts w:ascii="Aptos" w:eastAsia="Calibri" w:hAnsi="Aptos" w:cs="Times New Roman"/>
          <w:kern w:val="2"/>
          <w:sz w:val="22"/>
          <w:szCs w:val="22"/>
          <w:lang w:eastAsia="en-US"/>
          <w14:ligatures w14:val="standardContextual"/>
        </w:rPr>
        <w:t xml:space="preserve">To submit </w:t>
      </w:r>
      <w:r w:rsidR="0043776B">
        <w:rPr>
          <w:rFonts w:ascii="Aptos" w:eastAsia="Calibri" w:hAnsi="Aptos" w:cs="Times New Roman"/>
          <w:kern w:val="2"/>
          <w:sz w:val="22"/>
          <w:szCs w:val="22"/>
          <w:lang w:eastAsia="en-US"/>
          <w14:ligatures w14:val="standardContextual"/>
        </w:rPr>
        <w:t>feedback</w:t>
      </w:r>
      <w:r w:rsidR="009A2132">
        <w:rPr>
          <w:rFonts w:ascii="Aptos" w:eastAsia="Calibri" w:hAnsi="Aptos" w:cs="Times New Roman"/>
          <w:kern w:val="2"/>
          <w:sz w:val="22"/>
          <w:szCs w:val="22"/>
          <w:lang w:eastAsia="en-US"/>
          <w14:ligatures w14:val="standardContextual"/>
        </w:rPr>
        <w:t>, th</w:t>
      </w:r>
      <w:r w:rsidR="00295E8C">
        <w:rPr>
          <w:rFonts w:ascii="Aptos" w:eastAsia="Calibri" w:hAnsi="Aptos" w:cs="Times New Roman"/>
          <w:kern w:val="2"/>
          <w:sz w:val="22"/>
          <w:szCs w:val="22"/>
          <w:lang w:eastAsia="en-US"/>
          <w14:ligatures w14:val="standardContextual"/>
        </w:rPr>
        <w:t xml:space="preserve">is </w:t>
      </w:r>
      <w:r w:rsidR="2E9DD4FF">
        <w:rPr>
          <w:rFonts w:ascii="Aptos" w:eastAsia="Calibri" w:hAnsi="Aptos" w:cs="Times New Roman"/>
          <w:kern w:val="2"/>
          <w:sz w:val="22"/>
          <w:szCs w:val="22"/>
          <w:lang w:eastAsia="en-US"/>
          <w14:ligatures w14:val="standardContextual"/>
        </w:rPr>
        <w:t>form</w:t>
      </w:r>
      <w:r w:rsidR="00DF07C4">
        <w:rPr>
          <w:rFonts w:ascii="Aptos" w:eastAsia="Calibri" w:hAnsi="Aptos" w:cs="Times New Roman"/>
          <w:kern w:val="2"/>
          <w:sz w:val="22"/>
          <w:szCs w:val="22"/>
          <w:lang w:eastAsia="en-US"/>
          <w14:ligatures w14:val="standardContextual"/>
        </w:rPr>
        <w:t xml:space="preserve"> must be </w:t>
      </w:r>
      <w:r w:rsidR="00180C0C">
        <w:rPr>
          <w:rFonts w:ascii="Aptos" w:eastAsia="Calibri" w:hAnsi="Aptos" w:cs="Times New Roman"/>
          <w:kern w:val="2"/>
          <w:sz w:val="22"/>
          <w:szCs w:val="22"/>
          <w:lang w:eastAsia="en-US"/>
          <w14:ligatures w14:val="standardContextual"/>
        </w:rPr>
        <w:t xml:space="preserve">completed </w:t>
      </w:r>
      <w:r w:rsidR="00A90EBF">
        <w:rPr>
          <w:rFonts w:ascii="Aptos" w:eastAsia="Calibri" w:hAnsi="Aptos" w:cs="Times New Roman"/>
          <w:kern w:val="2"/>
          <w:sz w:val="22"/>
          <w:szCs w:val="22"/>
          <w:lang w:eastAsia="en-US"/>
          <w14:ligatures w14:val="standardContextual"/>
        </w:rPr>
        <w:t xml:space="preserve">and filed </w:t>
      </w:r>
      <w:r w:rsidR="005003F2">
        <w:rPr>
          <w:rFonts w:ascii="Aptos" w:eastAsia="Calibri" w:hAnsi="Aptos" w:cs="Times New Roman"/>
          <w:kern w:val="2"/>
          <w:sz w:val="22"/>
          <w:szCs w:val="22"/>
          <w:lang w:eastAsia="en-US"/>
          <w14:ligatures w14:val="standardContextual"/>
        </w:rPr>
        <w:t xml:space="preserve">by </w:t>
      </w:r>
      <w:r w:rsidR="00491A0D">
        <w:rPr>
          <w:rFonts w:ascii="Aptos" w:eastAsia="Calibri" w:hAnsi="Aptos" w:cs="Times New Roman"/>
          <w:kern w:val="2"/>
          <w:sz w:val="22"/>
          <w:szCs w:val="22"/>
          <w:lang w:eastAsia="en-US"/>
          <w14:ligatures w14:val="standardContextual"/>
        </w:rPr>
        <w:t xml:space="preserve">May 23, </w:t>
      </w:r>
      <w:proofErr w:type="gramStart"/>
      <w:r w:rsidR="00491A0D">
        <w:rPr>
          <w:rFonts w:ascii="Aptos" w:eastAsia="Calibri" w:hAnsi="Aptos" w:cs="Times New Roman"/>
          <w:kern w:val="2"/>
          <w:sz w:val="22"/>
          <w:szCs w:val="22"/>
          <w:lang w:eastAsia="en-US"/>
          <w14:ligatures w14:val="standardContextual"/>
        </w:rPr>
        <w:t>2025</w:t>
      </w:r>
      <w:proofErr w:type="gramEnd"/>
      <w:r w:rsidR="00491A0D">
        <w:rPr>
          <w:rFonts w:ascii="Aptos" w:eastAsia="Calibri" w:hAnsi="Aptos" w:cs="Times New Roman"/>
          <w:kern w:val="2"/>
          <w:sz w:val="22"/>
          <w:szCs w:val="22"/>
          <w:lang w:eastAsia="en-US"/>
          <w14:ligatures w14:val="standardContextual"/>
        </w:rPr>
        <w:t xml:space="preserve"> </w:t>
      </w:r>
      <w:r w:rsidR="00B92582">
        <w:rPr>
          <w:rFonts w:ascii="Aptos" w:eastAsia="Calibri" w:hAnsi="Aptos" w:cs="Times New Roman"/>
          <w:kern w:val="2"/>
          <w:sz w:val="22"/>
          <w:szCs w:val="22"/>
          <w:lang w:eastAsia="en-US"/>
          <w14:ligatures w14:val="standardContextual"/>
        </w:rPr>
        <w:t xml:space="preserve">in </w:t>
      </w:r>
      <w:r w:rsidR="00B92582" w:rsidRPr="00FB32F2">
        <w:rPr>
          <w:rFonts w:ascii="Aptos" w:eastAsia="Calibri" w:hAnsi="Aptos" w:cs="Times New Roman"/>
          <w:kern w:val="2"/>
          <w:sz w:val="22"/>
          <w:szCs w:val="22"/>
          <w:lang w:eastAsia="en-US"/>
          <w14:ligatures w14:val="standardContextual"/>
        </w:rPr>
        <w:t xml:space="preserve">Project </w:t>
      </w:r>
      <w:r w:rsidR="00B92582">
        <w:rPr>
          <w:rFonts w:ascii="Aptos" w:eastAsia="Calibri" w:hAnsi="Aptos" w:cs="Times New Roman"/>
          <w:kern w:val="2"/>
          <w:sz w:val="22"/>
          <w:szCs w:val="22"/>
          <w:lang w:eastAsia="en-US"/>
          <w14:ligatures w14:val="standardContextual"/>
        </w:rPr>
        <w:t xml:space="preserve">No. </w:t>
      </w:r>
      <w:r w:rsidR="00B92582" w:rsidRPr="00FB32F2">
        <w:rPr>
          <w:rFonts w:ascii="Aptos" w:eastAsia="Calibri" w:hAnsi="Aptos" w:cs="Times New Roman"/>
          <w:kern w:val="2"/>
          <w:sz w:val="22"/>
          <w:szCs w:val="22"/>
          <w:lang w:eastAsia="en-US"/>
          <w14:ligatures w14:val="standardContextual"/>
        </w:rPr>
        <w:t>57928</w:t>
      </w:r>
      <w:r w:rsidR="009623F8">
        <w:rPr>
          <w:rFonts w:ascii="Aptos" w:eastAsia="Calibri" w:hAnsi="Aptos" w:cs="Times New Roman"/>
          <w:kern w:val="2"/>
          <w:sz w:val="22"/>
          <w:szCs w:val="22"/>
          <w:lang w:eastAsia="en-US"/>
          <w14:ligatures w14:val="standardContextual"/>
        </w:rPr>
        <w:t>.</w:t>
      </w:r>
    </w:p>
    <w:p w14:paraId="6CB6BBD0" w14:textId="77777777" w:rsidR="00FB32F2" w:rsidRPr="00FB32F2" w:rsidRDefault="00FB32F2" w:rsidP="0026458F">
      <w:pPr>
        <w:spacing w:after="0" w:line="259" w:lineRule="auto"/>
        <w:jc w:val="both"/>
        <w:rPr>
          <w:rFonts w:ascii="Aptos" w:eastAsia="Calibri" w:hAnsi="Aptos" w:cs="Arial"/>
          <w:kern w:val="2"/>
          <w:sz w:val="22"/>
          <w:szCs w:val="22"/>
          <w:lang w:eastAsia="en-US"/>
          <w14:ligatures w14:val="standardContextual"/>
        </w:rPr>
      </w:pPr>
    </w:p>
    <w:p w14:paraId="0C91C62F" w14:textId="77777777" w:rsidR="00F853B7" w:rsidRPr="00FB32F2" w:rsidRDefault="00F853B7" w:rsidP="0026458F">
      <w:pPr>
        <w:spacing w:after="0" w:line="259" w:lineRule="auto"/>
        <w:jc w:val="both"/>
        <w:rPr>
          <w:rFonts w:ascii="Aptos" w:eastAsia="Calibri" w:hAnsi="Aptos" w:cs="Arial"/>
          <w:kern w:val="2"/>
          <w:sz w:val="22"/>
          <w:szCs w:val="22"/>
          <w:lang w:eastAsia="en-US"/>
          <w14:ligatures w14:val="standardContextual"/>
        </w:rPr>
      </w:pPr>
    </w:p>
    <w:p w14:paraId="51B51C39" w14:textId="77777777" w:rsidR="00FB32F2" w:rsidRPr="00FB32F2" w:rsidRDefault="00FB32F2" w:rsidP="0026458F">
      <w:pPr>
        <w:keepNext/>
        <w:keepLines/>
        <w:spacing w:before="40" w:after="0" w:line="259" w:lineRule="auto"/>
        <w:jc w:val="both"/>
        <w:outlineLvl w:val="1"/>
        <w:rPr>
          <w:rFonts w:ascii="Aptos" w:eastAsia="Yu Gothic Light" w:hAnsi="Aptos" w:cs="Times New Roman"/>
          <w:b/>
          <w:color w:val="1A5798"/>
          <w:kern w:val="2"/>
          <w:szCs w:val="26"/>
          <w:lang w:eastAsia="en-US"/>
          <w14:ligatures w14:val="standardContextual"/>
        </w:rPr>
      </w:pPr>
      <w:r w:rsidRPr="00FB32F2">
        <w:rPr>
          <w:rFonts w:ascii="Aptos" w:eastAsia="Yu Gothic Light" w:hAnsi="Aptos" w:cs="Times New Roman"/>
          <w:b/>
          <w:color w:val="1A5798"/>
          <w:kern w:val="2"/>
          <w:szCs w:val="26"/>
          <w:lang w:eastAsia="en-US"/>
          <w14:ligatures w14:val="standardContextual"/>
        </w:rPr>
        <w:t>Filing and Contact Information</w:t>
      </w:r>
    </w:p>
    <w:bookmarkEnd w:id="0"/>
    <w:p w14:paraId="2C08A6F3"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62F995DC" w14:textId="77777777"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bookmarkStart w:id="1" w:name="_Hlk157505945"/>
      <w:r w:rsidRPr="00FB32F2">
        <w:rPr>
          <w:rFonts w:ascii="Aptos" w:eastAsia="Calibri" w:hAnsi="Aptos" w:cs="Times New Roman"/>
          <w:b/>
          <w:bCs/>
          <w:kern w:val="2"/>
          <w:sz w:val="22"/>
          <w:szCs w:val="22"/>
          <w:lang w:eastAsia="en-US"/>
          <w14:ligatures w14:val="standardContextual"/>
        </w:rPr>
        <w:t>Step 1: Enter the Project Number, Filing Entity Name, and Entity Information.</w:t>
      </w:r>
    </w:p>
    <w:bookmarkEnd w:id="1"/>
    <w:p w14:paraId="1BF7141B"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tbl>
      <w:tblPr>
        <w:tblStyle w:val="TableGrid"/>
        <w:tblW w:w="9445" w:type="dxa"/>
        <w:tblLayout w:type="fixed"/>
        <w:tblLook w:val="04A0" w:firstRow="1" w:lastRow="0" w:firstColumn="1" w:lastColumn="0" w:noHBand="0" w:noVBand="1"/>
      </w:tblPr>
      <w:tblGrid>
        <w:gridCol w:w="2065"/>
        <w:gridCol w:w="7380"/>
      </w:tblGrid>
      <w:tr w:rsidR="00FB32F2" w:rsidRPr="00FB32F2" w14:paraId="4608BBCA" w14:textId="77777777" w:rsidTr="00FB32F2">
        <w:trPr>
          <w:trHeight w:val="432"/>
        </w:trPr>
        <w:tc>
          <w:tcPr>
            <w:tcW w:w="2065" w:type="dxa"/>
            <w:shd w:val="clear" w:color="auto" w:fill="1A5798"/>
            <w:vAlign w:val="center"/>
          </w:tcPr>
          <w:p w14:paraId="70CB1AF6" w14:textId="77777777" w:rsidR="00FB32F2" w:rsidRPr="00FB32F2" w:rsidRDefault="00FB32F2" w:rsidP="0026458F">
            <w:pPr>
              <w:jc w:val="both"/>
              <w:rPr>
                <w:rFonts w:ascii="Aptos" w:hAnsi="Aptos" w:cs="Times New Roman"/>
                <w:b/>
                <w:bCs/>
                <w:color w:val="FFFFFF"/>
              </w:rPr>
            </w:pPr>
            <w:bookmarkStart w:id="2" w:name="_Hlk166505082"/>
            <w:r w:rsidRPr="00FB32F2">
              <w:rPr>
                <w:rFonts w:ascii="Aptos" w:hAnsi="Aptos" w:cs="Times New Roman"/>
                <w:b/>
                <w:bCs/>
                <w:color w:val="FFFFFF"/>
              </w:rPr>
              <w:t>Project Number</w:t>
            </w:r>
          </w:p>
        </w:tc>
        <w:sdt>
          <w:sdtPr>
            <w:rPr>
              <w:rFonts w:ascii="Aptos" w:hAnsi="Aptos" w:cs="Times New Roman"/>
            </w:rPr>
            <w:alias w:val="Enter the project number"/>
            <w:tag w:val="Enter the project number"/>
            <w:id w:val="616652839"/>
            <w:placeholder>
              <w:docPart w:val="7208336F0DC24A3A844EB96236AB2247"/>
            </w:placeholder>
            <w15:color w:val="0000FF"/>
          </w:sdtPr>
          <w:sdtContent>
            <w:tc>
              <w:tcPr>
                <w:tcW w:w="7380" w:type="dxa"/>
                <w:shd w:val="clear" w:color="auto" w:fill="D9E2F3"/>
                <w:vAlign w:val="center"/>
              </w:tcPr>
              <w:p w14:paraId="3AD63053" w14:textId="7356C96A" w:rsidR="00FB32F2" w:rsidRPr="00FB32F2" w:rsidRDefault="007B11EE" w:rsidP="0026458F">
                <w:pPr>
                  <w:jc w:val="both"/>
                  <w:rPr>
                    <w:rFonts w:ascii="Aptos" w:hAnsi="Aptos" w:cs="Times New Roman"/>
                  </w:rPr>
                </w:pPr>
                <w:r>
                  <w:rPr>
                    <w:rFonts w:ascii="Aptos" w:hAnsi="Aptos" w:cs="Times New Roman"/>
                  </w:rPr>
                  <w:t>57928</w:t>
                </w:r>
              </w:p>
            </w:tc>
          </w:sdtContent>
        </w:sdt>
      </w:tr>
      <w:tr w:rsidR="00FB32F2" w:rsidRPr="00FB32F2" w14:paraId="0928D26E" w14:textId="77777777" w:rsidTr="00FB32F2">
        <w:trPr>
          <w:trHeight w:val="432"/>
        </w:trPr>
        <w:tc>
          <w:tcPr>
            <w:tcW w:w="2065" w:type="dxa"/>
            <w:shd w:val="clear" w:color="auto" w:fill="1A5798"/>
            <w:vAlign w:val="center"/>
          </w:tcPr>
          <w:p w14:paraId="581913D7" w14:textId="77777777" w:rsidR="00FB32F2" w:rsidRPr="00FB32F2" w:rsidRDefault="00FB32F2" w:rsidP="0026458F">
            <w:pPr>
              <w:jc w:val="both"/>
              <w:rPr>
                <w:rFonts w:ascii="Aptos" w:hAnsi="Aptos" w:cs="Times New Roman"/>
                <w:b/>
                <w:bCs/>
                <w:color w:val="FFFFFF"/>
              </w:rPr>
            </w:pPr>
            <w:r w:rsidRPr="00FB32F2">
              <w:rPr>
                <w:rFonts w:ascii="Aptos" w:hAnsi="Aptos" w:cs="Times New Roman"/>
                <w:b/>
                <w:bCs/>
                <w:color w:val="FFFFFF"/>
              </w:rPr>
              <w:t>Filing Entity Name</w:t>
            </w:r>
          </w:p>
        </w:tc>
        <w:sdt>
          <w:sdtPr>
            <w:rPr>
              <w:rFonts w:ascii="Aptos" w:hAnsi="Aptos" w:cs="Times New Roman"/>
            </w:rPr>
            <w:alias w:val="Enter the filing party name"/>
            <w:tag w:val="Enter the filing party name"/>
            <w:id w:val="-1920478353"/>
            <w:placeholder>
              <w:docPart w:val="D50EE64E36194F4B9397BF8AAB8BDDE3"/>
            </w:placeholder>
            <w15:color w:val="0000FF"/>
          </w:sdtPr>
          <w:sdtContent>
            <w:tc>
              <w:tcPr>
                <w:tcW w:w="7380" w:type="dxa"/>
                <w:shd w:val="clear" w:color="auto" w:fill="D9E2F3"/>
                <w:vAlign w:val="center"/>
              </w:tcPr>
              <w:p w14:paraId="551B08AE" w14:textId="0DDB9378" w:rsidR="00FB32F2" w:rsidRPr="00FB32F2" w:rsidRDefault="007B11EE" w:rsidP="0026458F">
                <w:pPr>
                  <w:jc w:val="both"/>
                  <w:rPr>
                    <w:rFonts w:ascii="Aptos" w:hAnsi="Aptos" w:cs="Times New Roman"/>
                  </w:rPr>
                </w:pPr>
                <w:r>
                  <w:rPr>
                    <w:rFonts w:ascii="Aptos" w:hAnsi="Aptos" w:cs="Times New Roman"/>
                  </w:rPr>
                  <w:t>Texas Competitive Power Advocates (TCPA)</w:t>
                </w:r>
              </w:p>
            </w:tc>
          </w:sdtContent>
        </w:sdt>
      </w:tr>
      <w:tr w:rsidR="00FB32F2" w:rsidRPr="00FB32F2" w14:paraId="2CB395E9" w14:textId="77777777" w:rsidTr="00FB32F2">
        <w:trPr>
          <w:trHeight w:val="432"/>
        </w:trPr>
        <w:tc>
          <w:tcPr>
            <w:tcW w:w="2065" w:type="dxa"/>
            <w:shd w:val="clear" w:color="auto" w:fill="1A5798"/>
            <w:vAlign w:val="center"/>
          </w:tcPr>
          <w:p w14:paraId="7E1D89EB" w14:textId="77777777" w:rsidR="00FB32F2" w:rsidRPr="00FB32F2" w:rsidRDefault="00FB32F2" w:rsidP="0026458F">
            <w:pPr>
              <w:jc w:val="both"/>
              <w:rPr>
                <w:rFonts w:ascii="Aptos" w:hAnsi="Aptos" w:cs="Times New Roman"/>
                <w:b/>
                <w:bCs/>
                <w:color w:val="FFFFFF"/>
              </w:rPr>
            </w:pPr>
            <w:r w:rsidRPr="00FB32F2">
              <w:rPr>
                <w:rFonts w:ascii="Aptos" w:hAnsi="Aptos" w:cs="Times New Roman"/>
                <w:b/>
                <w:bCs/>
                <w:color w:val="FFFFFF"/>
              </w:rPr>
              <w:t>Entity Information (Optional)</w:t>
            </w:r>
          </w:p>
        </w:tc>
        <w:sdt>
          <w:sdtPr>
            <w:rPr>
              <w:rFonts w:ascii="Aptos" w:hAnsi="Aptos" w:cs="Times New Roman"/>
            </w:rPr>
            <w:alias w:val="Enter the filer information"/>
            <w:tag w:val="Enter the filer information"/>
            <w:id w:val="443816214"/>
            <w:placeholder>
              <w:docPart w:val="7F9766D082544EE68DD7B35903DD3D53"/>
            </w:placeholder>
            <w15:color w:val="0000FF"/>
          </w:sdtPr>
          <w:sdtContent>
            <w:tc>
              <w:tcPr>
                <w:tcW w:w="7380" w:type="dxa"/>
                <w:shd w:val="clear" w:color="auto" w:fill="D9E2F3"/>
                <w:vAlign w:val="center"/>
              </w:tcPr>
              <w:p w14:paraId="4E40F2E8" w14:textId="0E1D0262" w:rsidR="00FB32F2" w:rsidRPr="00FB32F2" w:rsidRDefault="007B11EE" w:rsidP="0026458F">
                <w:pPr>
                  <w:jc w:val="both"/>
                  <w:rPr>
                    <w:rFonts w:ascii="Aptos" w:hAnsi="Aptos" w:cs="Times New Roman"/>
                  </w:rPr>
                </w:pPr>
                <w:r>
                  <w:rPr>
                    <w:rFonts w:ascii="Aptos" w:hAnsi="Aptos" w:cs="Times New Roman"/>
                  </w:rPr>
                  <w:t>13 member companies</w:t>
                </w:r>
              </w:p>
            </w:tc>
          </w:sdtContent>
        </w:sdt>
      </w:tr>
      <w:bookmarkEnd w:id="2"/>
    </w:tbl>
    <w:p w14:paraId="008AC724" w14:textId="77777777" w:rsidR="00FB32F2" w:rsidRPr="00FB32F2" w:rsidRDefault="00FB32F2" w:rsidP="0026458F">
      <w:pPr>
        <w:spacing w:after="0" w:line="240" w:lineRule="auto"/>
        <w:jc w:val="both"/>
        <w:rPr>
          <w:rFonts w:ascii="Aptos" w:eastAsia="Calibri" w:hAnsi="Aptos" w:cs="Times New Roman"/>
          <w:b/>
          <w:bCs/>
          <w:kern w:val="2"/>
          <w:sz w:val="22"/>
          <w:szCs w:val="22"/>
          <w:lang w:eastAsia="en-US"/>
          <w14:ligatures w14:val="standardContextual"/>
        </w:rPr>
      </w:pPr>
    </w:p>
    <w:p w14:paraId="67066C18" w14:textId="77777777" w:rsidR="00FB32F2" w:rsidRPr="00FB32F2" w:rsidRDefault="00FB32F2" w:rsidP="0026458F">
      <w:pPr>
        <w:spacing w:after="0" w:line="240" w:lineRule="auto"/>
        <w:jc w:val="both"/>
        <w:rPr>
          <w:rFonts w:ascii="Aptos" w:eastAsia="Calibri" w:hAnsi="Aptos" w:cs="Times New Roman"/>
          <w:b/>
          <w:bCs/>
          <w:kern w:val="2"/>
          <w:sz w:val="22"/>
          <w:szCs w:val="22"/>
          <w:lang w:eastAsia="en-US"/>
          <w14:ligatures w14:val="standardContextual"/>
        </w:rPr>
      </w:pPr>
    </w:p>
    <w:p w14:paraId="7C6DC183" w14:textId="77777777"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r w:rsidRPr="00FB32F2">
        <w:rPr>
          <w:rFonts w:ascii="Aptos" w:eastAsia="Calibri" w:hAnsi="Aptos" w:cs="Times New Roman"/>
          <w:b/>
          <w:bCs/>
          <w:kern w:val="2"/>
          <w:sz w:val="22"/>
          <w:szCs w:val="22"/>
          <w:lang w:eastAsia="en-US"/>
          <w14:ligatures w14:val="standardContextual"/>
        </w:rPr>
        <w:t>Step 2: Enter the Contact Information of the individual Commission Staff should contact if questions about this filing arise.</w:t>
      </w:r>
    </w:p>
    <w:p w14:paraId="19A5C05E" w14:textId="77777777" w:rsidR="00FB32F2" w:rsidRPr="00FB32F2" w:rsidRDefault="00FB32F2" w:rsidP="0026458F">
      <w:pPr>
        <w:spacing w:after="0" w:line="240" w:lineRule="auto"/>
        <w:ind w:left="360"/>
        <w:jc w:val="both"/>
        <w:rPr>
          <w:rFonts w:ascii="Aptos" w:eastAsia="Calibri" w:hAnsi="Aptos" w:cs="Times New Roman"/>
          <w:kern w:val="2"/>
          <w:sz w:val="22"/>
          <w:szCs w:val="22"/>
          <w:lang w:eastAsia="en-US"/>
          <w14:ligatures w14:val="standardContextual"/>
        </w:rPr>
      </w:pPr>
    </w:p>
    <w:tbl>
      <w:tblPr>
        <w:tblStyle w:val="TableGrid"/>
        <w:tblW w:w="9445" w:type="dxa"/>
        <w:tblLayout w:type="fixed"/>
        <w:tblLook w:val="04A0" w:firstRow="1" w:lastRow="0" w:firstColumn="1" w:lastColumn="0" w:noHBand="0" w:noVBand="1"/>
      </w:tblPr>
      <w:tblGrid>
        <w:gridCol w:w="2065"/>
        <w:gridCol w:w="7380"/>
      </w:tblGrid>
      <w:tr w:rsidR="00FB32F2" w:rsidRPr="00FB32F2" w14:paraId="5E0C21D2" w14:textId="77777777" w:rsidTr="00FB32F2">
        <w:trPr>
          <w:trHeight w:val="432"/>
        </w:trPr>
        <w:tc>
          <w:tcPr>
            <w:tcW w:w="2065" w:type="dxa"/>
            <w:shd w:val="clear" w:color="auto" w:fill="1A5798"/>
            <w:vAlign w:val="center"/>
          </w:tcPr>
          <w:p w14:paraId="06D1A0B5" w14:textId="77777777" w:rsidR="00FB32F2" w:rsidRPr="00FB32F2" w:rsidRDefault="00FB32F2" w:rsidP="0026458F">
            <w:pPr>
              <w:jc w:val="both"/>
              <w:rPr>
                <w:rFonts w:ascii="Aptos" w:hAnsi="Aptos" w:cs="Times New Roman"/>
                <w:b/>
                <w:bCs/>
                <w:color w:val="FFFFFF"/>
              </w:rPr>
            </w:pPr>
            <w:r w:rsidRPr="00FB32F2">
              <w:rPr>
                <w:rFonts w:ascii="Aptos" w:hAnsi="Aptos" w:cs="Times New Roman"/>
                <w:b/>
                <w:bCs/>
                <w:color w:val="FFFFFF"/>
              </w:rPr>
              <w:t>Name</w:t>
            </w:r>
          </w:p>
        </w:tc>
        <w:sdt>
          <w:sdtPr>
            <w:rPr>
              <w:rFonts w:ascii="Aptos" w:hAnsi="Aptos" w:cs="Times New Roman"/>
            </w:rPr>
            <w:alias w:val="Enter the name"/>
            <w:tag w:val="Enter the name"/>
            <w:id w:val="-1926258007"/>
            <w:placeholder>
              <w:docPart w:val="F2A882063F1E49F5A9B5B2BF83C9DD21"/>
            </w:placeholder>
            <w15:color w:val="0000FF"/>
          </w:sdtPr>
          <w:sdtContent>
            <w:tc>
              <w:tcPr>
                <w:tcW w:w="7380" w:type="dxa"/>
                <w:shd w:val="clear" w:color="auto" w:fill="D9E2F3"/>
                <w:vAlign w:val="center"/>
              </w:tcPr>
              <w:p w14:paraId="330EE8F7" w14:textId="09550445" w:rsidR="00FB32F2" w:rsidRPr="00FB32F2" w:rsidRDefault="007B11EE" w:rsidP="0026458F">
                <w:pPr>
                  <w:jc w:val="both"/>
                  <w:rPr>
                    <w:rFonts w:ascii="Aptos" w:hAnsi="Aptos" w:cs="Times New Roman"/>
                  </w:rPr>
                </w:pPr>
                <w:r>
                  <w:rPr>
                    <w:rFonts w:ascii="Aptos" w:hAnsi="Aptos" w:cs="Times New Roman"/>
                  </w:rPr>
                  <w:t>Michele Richmond</w:t>
                </w:r>
                <w:r>
                  <w:rPr>
                    <w:rFonts w:ascii="Aptos" w:hAnsi="Aptos" w:cs="Times New Roman"/>
                  </w:rPr>
                  <w:tab/>
                </w:r>
              </w:p>
            </w:tc>
          </w:sdtContent>
        </w:sdt>
      </w:tr>
      <w:tr w:rsidR="00FB32F2" w:rsidRPr="00FB32F2" w14:paraId="54325D50" w14:textId="77777777" w:rsidTr="00FB32F2">
        <w:trPr>
          <w:trHeight w:val="432"/>
        </w:trPr>
        <w:tc>
          <w:tcPr>
            <w:tcW w:w="2065" w:type="dxa"/>
            <w:shd w:val="clear" w:color="auto" w:fill="1A5798"/>
            <w:vAlign w:val="center"/>
          </w:tcPr>
          <w:p w14:paraId="127A6A2E" w14:textId="77777777" w:rsidR="00FB32F2" w:rsidRPr="00FB32F2" w:rsidRDefault="00FB32F2" w:rsidP="0026458F">
            <w:pPr>
              <w:jc w:val="both"/>
              <w:rPr>
                <w:rFonts w:ascii="Aptos" w:hAnsi="Aptos" w:cs="Times New Roman"/>
                <w:b/>
                <w:bCs/>
                <w:color w:val="FFFFFF"/>
              </w:rPr>
            </w:pPr>
            <w:r w:rsidRPr="00FB32F2">
              <w:rPr>
                <w:rFonts w:ascii="Aptos" w:hAnsi="Aptos" w:cs="Times New Roman"/>
                <w:b/>
                <w:bCs/>
                <w:color w:val="FFFFFF"/>
              </w:rPr>
              <w:t>Email</w:t>
            </w:r>
          </w:p>
        </w:tc>
        <w:tc>
          <w:tcPr>
            <w:tcW w:w="7380" w:type="dxa"/>
            <w:shd w:val="clear" w:color="auto" w:fill="D9E2F3"/>
            <w:vAlign w:val="center"/>
          </w:tcPr>
          <w:sdt>
            <w:sdtPr>
              <w:rPr>
                <w:rFonts w:ascii="Aptos" w:hAnsi="Aptos" w:cs="Times New Roman"/>
              </w:rPr>
              <w:alias w:val="Enter the email"/>
              <w:tag w:val="Enter the email"/>
              <w:id w:val="-1746872239"/>
              <w:placeholder>
                <w:docPart w:val="F2A882063F1E49F5A9B5B2BF83C9DD21"/>
              </w:placeholder>
              <w15:color w:val="0000FF"/>
            </w:sdtPr>
            <w:sdtContent>
              <w:p w14:paraId="7D4827F8" w14:textId="31BD8B4F" w:rsidR="00FB32F2" w:rsidRPr="00FB32F2" w:rsidRDefault="007B11EE" w:rsidP="0026458F">
                <w:pPr>
                  <w:jc w:val="both"/>
                  <w:rPr>
                    <w:rFonts w:ascii="Aptos" w:hAnsi="Aptos" w:cs="Times New Roman"/>
                  </w:rPr>
                </w:pPr>
                <w:r>
                  <w:rPr>
                    <w:rFonts w:ascii="Aptos" w:hAnsi="Aptos" w:cs="Times New Roman"/>
                  </w:rPr>
                  <w:t>michele@competitivepower.org</w:t>
                </w:r>
              </w:p>
            </w:sdtContent>
          </w:sdt>
        </w:tc>
      </w:tr>
      <w:tr w:rsidR="00FB32F2" w:rsidRPr="00FB32F2" w14:paraId="68E29F8F" w14:textId="77777777" w:rsidTr="00FB32F2">
        <w:trPr>
          <w:trHeight w:val="432"/>
        </w:trPr>
        <w:tc>
          <w:tcPr>
            <w:tcW w:w="2065" w:type="dxa"/>
            <w:shd w:val="clear" w:color="auto" w:fill="1A5798"/>
            <w:vAlign w:val="center"/>
          </w:tcPr>
          <w:p w14:paraId="2B32A898" w14:textId="77777777" w:rsidR="00FB32F2" w:rsidRPr="00FB32F2" w:rsidRDefault="00FB32F2" w:rsidP="0026458F">
            <w:pPr>
              <w:jc w:val="both"/>
              <w:rPr>
                <w:rFonts w:ascii="Aptos" w:hAnsi="Aptos" w:cs="Times New Roman"/>
                <w:b/>
                <w:bCs/>
                <w:color w:val="FFFFFF"/>
              </w:rPr>
            </w:pPr>
            <w:r w:rsidRPr="00FB32F2">
              <w:rPr>
                <w:rFonts w:ascii="Aptos" w:hAnsi="Aptos" w:cs="Times New Roman"/>
                <w:b/>
                <w:bCs/>
                <w:color w:val="FFFFFF"/>
              </w:rPr>
              <w:t>Phone Number</w:t>
            </w:r>
          </w:p>
        </w:tc>
        <w:tc>
          <w:tcPr>
            <w:tcW w:w="7380" w:type="dxa"/>
            <w:shd w:val="clear" w:color="auto" w:fill="D9E2F3"/>
            <w:vAlign w:val="center"/>
          </w:tcPr>
          <w:sdt>
            <w:sdtPr>
              <w:rPr>
                <w:rFonts w:ascii="Aptos" w:hAnsi="Aptos" w:cs="Times New Roman"/>
              </w:rPr>
              <w:alias w:val="Filing Party Name"/>
              <w:tag w:val="Filing Party Name"/>
              <w:id w:val="-179815992"/>
              <w:placeholder>
                <w:docPart w:val="5B00003CC75541F889324D453386B24B"/>
              </w:placeholder>
            </w:sdtPr>
            <w:sdtContent>
              <w:sdt>
                <w:sdtPr>
                  <w:rPr>
                    <w:rFonts w:ascii="Aptos" w:hAnsi="Aptos" w:cs="Times New Roman"/>
                  </w:rPr>
                  <w:alias w:val="Enter the phone number"/>
                  <w:tag w:val="Enter the phone number"/>
                  <w:id w:val="265048562"/>
                  <w:placeholder>
                    <w:docPart w:val="321B0F232E90459DBE665D6AE95B6754"/>
                  </w:placeholder>
                  <w15:color w:val="0000FF"/>
                </w:sdtPr>
                <w:sdtContent>
                  <w:p w14:paraId="517AA396" w14:textId="6A368577" w:rsidR="00FB32F2" w:rsidRPr="00FB32F2" w:rsidRDefault="007B11EE" w:rsidP="0026458F">
                    <w:pPr>
                      <w:jc w:val="both"/>
                      <w:rPr>
                        <w:rFonts w:ascii="Aptos" w:hAnsi="Aptos" w:cs="Times New Roman"/>
                      </w:rPr>
                    </w:pPr>
                    <w:r>
                      <w:rPr>
                        <w:rFonts w:ascii="Aptos" w:hAnsi="Aptos" w:cs="Times New Roman"/>
                      </w:rPr>
                      <w:t>512-653-7447</w:t>
                    </w:r>
                    <w:r>
                      <w:rPr>
                        <w:rFonts w:ascii="Aptos" w:hAnsi="Aptos" w:cs="Times New Roman"/>
                      </w:rPr>
                      <w:tab/>
                    </w:r>
                  </w:p>
                </w:sdtContent>
              </w:sdt>
            </w:sdtContent>
          </w:sdt>
        </w:tc>
      </w:tr>
    </w:tbl>
    <w:p w14:paraId="59102AA2" w14:textId="77777777" w:rsidR="00FB32F2" w:rsidRPr="00FB32F2" w:rsidRDefault="00FB32F2" w:rsidP="0026458F">
      <w:pPr>
        <w:spacing w:after="0" w:line="259" w:lineRule="auto"/>
        <w:jc w:val="both"/>
        <w:rPr>
          <w:rFonts w:ascii="Aptos" w:eastAsia="Calibri" w:hAnsi="Aptos" w:cs="Arial"/>
          <w:kern w:val="2"/>
          <w:sz w:val="22"/>
          <w:szCs w:val="22"/>
          <w:lang w:eastAsia="en-US"/>
          <w14:ligatures w14:val="standardContextual"/>
        </w:rPr>
      </w:pPr>
      <w:bookmarkStart w:id="3" w:name="_Hlk166593649"/>
      <w:bookmarkStart w:id="4" w:name="_Hlk194920679"/>
    </w:p>
    <w:p w14:paraId="5C406217" w14:textId="77777777" w:rsidR="00FB32F2" w:rsidRPr="00FB32F2" w:rsidRDefault="00FB32F2" w:rsidP="0026458F">
      <w:pPr>
        <w:spacing w:after="0" w:line="259" w:lineRule="auto"/>
        <w:jc w:val="both"/>
        <w:rPr>
          <w:rFonts w:ascii="Aptos" w:eastAsia="Calibri" w:hAnsi="Aptos" w:cs="Arial"/>
          <w:kern w:val="2"/>
          <w:sz w:val="22"/>
          <w:szCs w:val="22"/>
          <w:lang w:eastAsia="en-US"/>
          <w14:ligatures w14:val="standardContextual"/>
        </w:rPr>
      </w:pPr>
    </w:p>
    <w:p w14:paraId="2CFFF302" w14:textId="5AC112EC" w:rsidR="00FB32F2" w:rsidRPr="00FB32F2" w:rsidRDefault="00FB32F2" w:rsidP="0026458F">
      <w:pPr>
        <w:keepNext/>
        <w:keepLines/>
        <w:spacing w:after="0" w:line="259" w:lineRule="auto"/>
        <w:jc w:val="both"/>
        <w:outlineLvl w:val="1"/>
        <w:rPr>
          <w:rFonts w:ascii="Aptos" w:eastAsia="Yu Gothic Light" w:hAnsi="Aptos" w:cs="Times New Roman"/>
          <w:b/>
          <w:color w:val="1A5798"/>
          <w:kern w:val="2"/>
          <w:szCs w:val="26"/>
          <w:lang w:eastAsia="en-US"/>
          <w14:ligatures w14:val="standardContextual"/>
        </w:rPr>
      </w:pPr>
      <w:r w:rsidRPr="00FB32F2">
        <w:rPr>
          <w:rFonts w:ascii="Aptos" w:eastAsia="Yu Gothic Light" w:hAnsi="Aptos" w:cs="Times New Roman"/>
          <w:b/>
          <w:color w:val="1A5798"/>
          <w:kern w:val="2"/>
          <w:szCs w:val="26"/>
          <w:lang w:eastAsia="en-US"/>
          <w14:ligatures w14:val="standardContextual"/>
        </w:rPr>
        <w:t xml:space="preserve">PUCT </w:t>
      </w:r>
      <w:r w:rsidR="00ED457E" w:rsidRPr="00FB32F2">
        <w:rPr>
          <w:rFonts w:ascii="Aptos" w:eastAsia="Yu Gothic Light" w:hAnsi="Aptos" w:cs="Times New Roman"/>
          <w:b/>
          <w:color w:val="1A5798"/>
          <w:kern w:val="2"/>
          <w:szCs w:val="26"/>
          <w:lang w:eastAsia="en-US"/>
          <w14:ligatures w14:val="standardContextual"/>
        </w:rPr>
        <w:t>Recommend</w:t>
      </w:r>
      <w:r w:rsidR="00ED457E">
        <w:rPr>
          <w:rFonts w:ascii="Aptos" w:eastAsia="Yu Gothic Light" w:hAnsi="Aptos" w:cs="Times New Roman"/>
          <w:b/>
          <w:color w:val="1A5798"/>
          <w:kern w:val="2"/>
          <w:szCs w:val="26"/>
          <w:lang w:eastAsia="en-US"/>
          <w14:ligatures w14:val="standardContextual"/>
        </w:rPr>
        <w:t>ed Actions</w:t>
      </w:r>
    </w:p>
    <w:p w14:paraId="721A67B8" w14:textId="77777777"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p>
    <w:p w14:paraId="7A09EF6F" w14:textId="328127DB"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r w:rsidRPr="00FB32F2">
        <w:rPr>
          <w:rFonts w:ascii="Aptos" w:eastAsia="Calibri" w:hAnsi="Aptos" w:cs="Times New Roman"/>
          <w:b/>
          <w:bCs/>
          <w:kern w:val="2"/>
          <w:sz w:val="22"/>
          <w:szCs w:val="22"/>
          <w:lang w:eastAsia="en-US"/>
          <w14:ligatures w14:val="standardContextual"/>
        </w:rPr>
        <w:t>Step 3: Review the 16 TAC § 25.53 Recommend</w:t>
      </w:r>
      <w:r w:rsidR="00B17009">
        <w:rPr>
          <w:rFonts w:ascii="Aptos" w:eastAsia="Calibri" w:hAnsi="Aptos" w:cs="Times New Roman"/>
          <w:b/>
          <w:bCs/>
          <w:kern w:val="2"/>
          <w:sz w:val="22"/>
          <w:szCs w:val="22"/>
          <w:lang w:eastAsia="en-US"/>
          <w14:ligatures w14:val="standardContextual"/>
        </w:rPr>
        <w:t>ed Actions</w:t>
      </w:r>
      <w:r w:rsidRPr="00FB32F2">
        <w:rPr>
          <w:rFonts w:ascii="Aptos" w:eastAsia="Calibri" w:hAnsi="Aptos" w:cs="Times New Roman"/>
          <w:b/>
          <w:bCs/>
          <w:kern w:val="2"/>
          <w:sz w:val="22"/>
          <w:szCs w:val="22"/>
          <w:lang w:eastAsia="en-US"/>
          <w14:ligatures w14:val="standardContextual"/>
        </w:rPr>
        <w:t>.</w:t>
      </w:r>
    </w:p>
    <w:p w14:paraId="6A335D3F" w14:textId="77777777" w:rsidR="00FB32F2" w:rsidRPr="00FB32F2" w:rsidRDefault="00FB32F2" w:rsidP="0026458F">
      <w:pPr>
        <w:spacing w:after="0" w:line="259" w:lineRule="auto"/>
        <w:jc w:val="both"/>
        <w:rPr>
          <w:rFonts w:ascii="Aptos" w:eastAsia="Calibri" w:hAnsi="Aptos" w:cs="Times New Roman"/>
          <w:b/>
          <w:bCs/>
          <w:kern w:val="2"/>
          <w:sz w:val="22"/>
          <w:szCs w:val="22"/>
          <w:lang w:eastAsia="en-US"/>
          <w14:ligatures w14:val="standardContextual"/>
        </w:rPr>
      </w:pPr>
    </w:p>
    <w:p w14:paraId="4F8D37B1" w14:textId="20ACD534" w:rsidR="00FB32F2" w:rsidRPr="00FB32F2" w:rsidRDefault="00FB32F2" w:rsidP="0026458F">
      <w:pPr>
        <w:spacing w:after="0" w:line="240" w:lineRule="auto"/>
        <w:ind w:left="1080"/>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i/>
          <w:iCs/>
          <w:kern w:val="2"/>
          <w:sz w:val="22"/>
          <w:szCs w:val="22"/>
          <w:lang w:eastAsia="en-US"/>
          <w14:ligatures w14:val="standardContextual"/>
        </w:rPr>
        <w:t>Instructions</w:t>
      </w:r>
      <w:r w:rsidRPr="00FB32F2">
        <w:rPr>
          <w:rFonts w:ascii="Aptos" w:eastAsia="Calibri" w:hAnsi="Aptos" w:cs="Times New Roman"/>
          <w:kern w:val="2"/>
          <w:sz w:val="22"/>
          <w:szCs w:val="22"/>
          <w:lang w:eastAsia="en-US"/>
          <w14:ligatures w14:val="standardContextual"/>
        </w:rPr>
        <w:t>: Review the § 25.53 Recommend</w:t>
      </w:r>
      <w:r w:rsidR="00B17009">
        <w:rPr>
          <w:rFonts w:ascii="Aptos" w:eastAsia="Calibri" w:hAnsi="Aptos" w:cs="Times New Roman"/>
          <w:kern w:val="2"/>
          <w:sz w:val="22"/>
          <w:szCs w:val="22"/>
          <w:lang w:eastAsia="en-US"/>
          <w14:ligatures w14:val="standardContextual"/>
        </w:rPr>
        <w:t>ed Actions</w:t>
      </w:r>
      <w:r w:rsidRPr="00FB32F2">
        <w:rPr>
          <w:rFonts w:ascii="Aptos" w:eastAsia="Calibri" w:hAnsi="Aptos" w:cs="Times New Roman"/>
          <w:kern w:val="2"/>
          <w:sz w:val="22"/>
          <w:szCs w:val="22"/>
          <w:lang w:eastAsia="en-US"/>
          <w14:ligatures w14:val="standardContextual"/>
        </w:rPr>
        <w:t xml:space="preserve"> as seen within the tables on pages </w:t>
      </w:r>
      <w:r w:rsidR="00A91275">
        <w:rPr>
          <w:rFonts w:ascii="Aptos" w:eastAsia="Calibri" w:hAnsi="Aptos" w:cs="Times New Roman"/>
          <w:kern w:val="2"/>
          <w:sz w:val="22"/>
          <w:szCs w:val="22"/>
          <w:lang w:eastAsia="en-US"/>
          <w14:ligatures w14:val="standardContextual"/>
        </w:rPr>
        <w:t xml:space="preserve">3 – </w:t>
      </w:r>
      <w:r w:rsidRPr="00FB32F2">
        <w:rPr>
          <w:rFonts w:ascii="Aptos" w:eastAsia="Calibri" w:hAnsi="Aptos" w:cs="Times New Roman"/>
          <w:kern w:val="2"/>
          <w:sz w:val="22"/>
          <w:szCs w:val="22"/>
          <w:lang w:eastAsia="en-US"/>
          <w14:ligatures w14:val="standardContextual"/>
        </w:rPr>
        <w:t xml:space="preserve">6 of this </w:t>
      </w:r>
      <w:r w:rsidR="00A91275">
        <w:rPr>
          <w:rFonts w:ascii="Aptos" w:eastAsia="Calibri" w:hAnsi="Aptos" w:cs="Times New Roman"/>
          <w:kern w:val="2"/>
          <w:sz w:val="22"/>
          <w:szCs w:val="22"/>
          <w:lang w:eastAsia="en-US"/>
          <w14:ligatures w14:val="standardContextual"/>
        </w:rPr>
        <w:t>form</w:t>
      </w:r>
      <w:r w:rsidRPr="00FB32F2">
        <w:rPr>
          <w:rFonts w:ascii="Aptos" w:eastAsia="Calibri" w:hAnsi="Aptos" w:cs="Times New Roman"/>
          <w:kern w:val="2"/>
          <w:sz w:val="22"/>
          <w:szCs w:val="22"/>
          <w:lang w:eastAsia="en-US"/>
          <w14:ligatures w14:val="standardContextual"/>
        </w:rPr>
        <w:t>. Recommend</w:t>
      </w:r>
      <w:r w:rsidR="00AA49BF">
        <w:rPr>
          <w:rFonts w:ascii="Aptos" w:eastAsia="Calibri" w:hAnsi="Aptos" w:cs="Times New Roman"/>
          <w:kern w:val="2"/>
          <w:sz w:val="22"/>
          <w:szCs w:val="22"/>
          <w:lang w:eastAsia="en-US"/>
          <w14:ligatures w14:val="standardContextual"/>
        </w:rPr>
        <w:t>ed Actions</w:t>
      </w:r>
      <w:r w:rsidRPr="00FB32F2">
        <w:rPr>
          <w:rFonts w:ascii="Aptos" w:eastAsia="Calibri" w:hAnsi="Aptos" w:cs="Times New Roman"/>
          <w:kern w:val="2"/>
          <w:sz w:val="22"/>
          <w:szCs w:val="22"/>
          <w:lang w:eastAsia="en-US"/>
          <w14:ligatures w14:val="standardContextual"/>
        </w:rPr>
        <w:t xml:space="preserve"> are only applicable to § 25.53(c) and § 25.53(e).</w:t>
      </w:r>
    </w:p>
    <w:p w14:paraId="779E5A2A" w14:textId="77777777" w:rsidR="00FB32F2" w:rsidRPr="00FB32F2" w:rsidRDefault="00FB32F2" w:rsidP="0026458F">
      <w:pPr>
        <w:spacing w:after="0" w:line="259" w:lineRule="auto"/>
        <w:jc w:val="both"/>
        <w:rPr>
          <w:rFonts w:ascii="Aptos" w:eastAsia="Calibri" w:hAnsi="Aptos" w:cs="Arial"/>
          <w:kern w:val="2"/>
          <w:sz w:val="22"/>
          <w:szCs w:val="22"/>
          <w:lang w:eastAsia="en-US"/>
          <w14:ligatures w14:val="standardContextual"/>
        </w:rPr>
      </w:pPr>
    </w:p>
    <w:p w14:paraId="10F5E76F" w14:textId="77777777" w:rsidR="00FB32F2" w:rsidRDefault="00FB32F2" w:rsidP="0026458F">
      <w:pPr>
        <w:spacing w:after="0" w:line="259" w:lineRule="auto"/>
        <w:jc w:val="both"/>
        <w:rPr>
          <w:rFonts w:ascii="Aptos" w:eastAsia="Calibri" w:hAnsi="Aptos" w:cs="Arial"/>
          <w:kern w:val="2"/>
          <w:sz w:val="22"/>
          <w:szCs w:val="22"/>
          <w:lang w:eastAsia="en-US"/>
          <w14:ligatures w14:val="standardContextual"/>
        </w:rPr>
      </w:pPr>
    </w:p>
    <w:p w14:paraId="64BCD6B1" w14:textId="1EFD2961" w:rsidR="00CB29F1" w:rsidRPr="00FB32F2" w:rsidRDefault="00CB29F1" w:rsidP="0026458F">
      <w:pPr>
        <w:jc w:val="both"/>
        <w:rPr>
          <w:rFonts w:ascii="Aptos" w:eastAsia="Calibri" w:hAnsi="Aptos" w:cs="Arial"/>
          <w:kern w:val="2"/>
          <w:sz w:val="22"/>
          <w:szCs w:val="22"/>
          <w:lang w:eastAsia="en-US"/>
          <w14:ligatures w14:val="standardContextual"/>
        </w:rPr>
      </w:pPr>
      <w:r>
        <w:rPr>
          <w:rFonts w:ascii="Aptos" w:eastAsia="Calibri" w:hAnsi="Aptos" w:cs="Arial"/>
          <w:kern w:val="2"/>
          <w:sz w:val="22"/>
          <w:szCs w:val="22"/>
          <w:lang w:eastAsia="en-US"/>
          <w14:ligatures w14:val="standardContextual"/>
        </w:rPr>
        <w:br w:type="page"/>
      </w:r>
    </w:p>
    <w:p w14:paraId="44BC4FA3" w14:textId="77777777" w:rsidR="00FB32F2" w:rsidRPr="00FB32F2" w:rsidRDefault="00FB32F2" w:rsidP="0026458F">
      <w:pPr>
        <w:keepNext/>
        <w:keepLines/>
        <w:spacing w:after="0" w:line="259" w:lineRule="auto"/>
        <w:jc w:val="both"/>
        <w:outlineLvl w:val="1"/>
        <w:rPr>
          <w:rFonts w:ascii="Aptos" w:eastAsia="Yu Gothic Light" w:hAnsi="Aptos" w:cs="Times New Roman"/>
          <w:b/>
          <w:color w:val="1A5798"/>
          <w:kern w:val="2"/>
          <w:lang w:eastAsia="en-US"/>
          <w14:ligatures w14:val="standardContextual"/>
        </w:rPr>
      </w:pPr>
      <w:r w:rsidRPr="00FB32F2">
        <w:rPr>
          <w:rFonts w:ascii="Aptos" w:eastAsia="Yu Gothic Light" w:hAnsi="Aptos" w:cs="Times New Roman"/>
          <w:b/>
          <w:color w:val="1A5798"/>
          <w:kern w:val="2"/>
          <w:lang w:eastAsia="en-US"/>
          <w14:ligatures w14:val="standardContextual"/>
        </w:rPr>
        <w:lastRenderedPageBreak/>
        <w:t>Filing Entity Comments</w:t>
      </w:r>
    </w:p>
    <w:bookmarkEnd w:id="3"/>
    <w:bookmarkEnd w:id="4"/>
    <w:p w14:paraId="0747F08B"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6DE3AD2E" w14:textId="77777777"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bookmarkStart w:id="5" w:name="_Hlk194922577"/>
      <w:r w:rsidRPr="00FB32F2">
        <w:rPr>
          <w:rFonts w:ascii="Aptos" w:eastAsia="Calibri" w:hAnsi="Aptos" w:cs="Times New Roman"/>
          <w:b/>
          <w:bCs/>
          <w:kern w:val="2"/>
          <w:sz w:val="22"/>
          <w:szCs w:val="22"/>
          <w:lang w:eastAsia="en-US"/>
          <w14:ligatures w14:val="standardContextual"/>
        </w:rPr>
        <w:t>Step 4: Provide Comments.</w:t>
      </w:r>
    </w:p>
    <w:p w14:paraId="5277AFC0" w14:textId="77777777" w:rsidR="00FB32F2" w:rsidRPr="00FB32F2" w:rsidRDefault="00FB32F2" w:rsidP="0026458F">
      <w:pPr>
        <w:spacing w:after="0" w:line="240" w:lineRule="auto"/>
        <w:ind w:left="360"/>
        <w:jc w:val="both"/>
        <w:rPr>
          <w:rFonts w:ascii="Aptos" w:eastAsia="Calibri" w:hAnsi="Aptos" w:cs="Times New Roman"/>
          <w:kern w:val="2"/>
          <w:sz w:val="22"/>
          <w:szCs w:val="22"/>
          <w:lang w:eastAsia="en-US"/>
          <w14:ligatures w14:val="standardContextual"/>
        </w:rPr>
      </w:pPr>
    </w:p>
    <w:p w14:paraId="549E4445" w14:textId="4A51E544" w:rsidR="00FB32F2" w:rsidRPr="00FB32F2" w:rsidRDefault="00FB32F2" w:rsidP="0026458F">
      <w:pPr>
        <w:spacing w:after="0" w:line="240" w:lineRule="auto"/>
        <w:ind w:left="1080"/>
        <w:jc w:val="both"/>
        <w:rPr>
          <w:rFonts w:ascii="Aptos" w:eastAsia="Calibri" w:hAnsi="Aptos" w:cs="Times New Roman"/>
          <w:kern w:val="2"/>
          <w:sz w:val="22"/>
          <w:szCs w:val="22"/>
          <w:lang w:eastAsia="en-US"/>
          <w14:ligatures w14:val="standardContextual"/>
        </w:rPr>
      </w:pPr>
      <w:bookmarkStart w:id="6" w:name="_Hlk157501165"/>
      <w:r w:rsidRPr="00FB32F2">
        <w:rPr>
          <w:rFonts w:ascii="Aptos" w:eastAsia="Calibri" w:hAnsi="Aptos" w:cs="Times New Roman"/>
          <w:i/>
          <w:iCs/>
          <w:kern w:val="2"/>
          <w:sz w:val="22"/>
          <w:szCs w:val="22"/>
          <w:lang w:eastAsia="en-US"/>
          <w14:ligatures w14:val="standardContextual"/>
        </w:rPr>
        <w:t>Instructions</w:t>
      </w:r>
      <w:r w:rsidRPr="00FB32F2">
        <w:rPr>
          <w:rFonts w:ascii="Aptos" w:eastAsia="Calibri" w:hAnsi="Aptos" w:cs="Times New Roman"/>
          <w:kern w:val="2"/>
          <w:sz w:val="22"/>
          <w:szCs w:val="22"/>
          <w:lang w:eastAsia="en-US"/>
          <w14:ligatures w14:val="standardContextual"/>
        </w:rPr>
        <w:t xml:space="preserve">: Select the associated </w:t>
      </w:r>
      <w:r w:rsidRPr="00FB32F2">
        <w:rPr>
          <w:rFonts w:ascii="Aptos" w:eastAsia="Calibri" w:hAnsi="Aptos" w:cs="Times New Roman"/>
          <w:kern w:val="2"/>
          <w:sz w:val="22"/>
          <w:szCs w:val="22"/>
          <w:u w:val="single"/>
          <w:lang w:eastAsia="en-US"/>
          <w14:ligatures w14:val="standardContextual"/>
        </w:rPr>
        <w:t>PUCT Recommend</w:t>
      </w:r>
      <w:bookmarkEnd w:id="6"/>
      <w:r w:rsidR="00BA6703">
        <w:rPr>
          <w:rFonts w:ascii="Aptos" w:eastAsia="Calibri" w:hAnsi="Aptos" w:cs="Times New Roman"/>
          <w:kern w:val="2"/>
          <w:sz w:val="22"/>
          <w:szCs w:val="22"/>
          <w:u w:val="single"/>
          <w:lang w:eastAsia="en-US"/>
          <w14:ligatures w14:val="standardContextual"/>
        </w:rPr>
        <w:t>ed Action</w:t>
      </w:r>
      <w:r w:rsidRPr="00FB32F2">
        <w:rPr>
          <w:rFonts w:ascii="Aptos" w:eastAsia="Calibri" w:hAnsi="Aptos" w:cs="Times New Roman"/>
          <w:kern w:val="2"/>
          <w:sz w:val="22"/>
          <w:szCs w:val="22"/>
          <w:lang w:eastAsia="en-US"/>
          <w14:ligatures w14:val="standardContextual"/>
        </w:rPr>
        <w:t xml:space="preserve"> within the Filing Entity Comments tables on page 7 of this </w:t>
      </w:r>
      <w:r w:rsidR="00A91275">
        <w:rPr>
          <w:rFonts w:ascii="Aptos" w:eastAsia="Calibri" w:hAnsi="Aptos" w:cs="Times New Roman"/>
          <w:kern w:val="2"/>
          <w:sz w:val="22"/>
          <w:szCs w:val="22"/>
          <w:lang w:eastAsia="en-US"/>
          <w14:ligatures w14:val="standardContextual"/>
        </w:rPr>
        <w:t>form</w:t>
      </w:r>
      <w:r w:rsidRPr="00FB32F2">
        <w:rPr>
          <w:rFonts w:ascii="Aptos" w:eastAsia="Calibri" w:hAnsi="Aptos" w:cs="Times New Roman"/>
          <w:kern w:val="2"/>
          <w:sz w:val="22"/>
          <w:szCs w:val="22"/>
          <w:lang w:eastAsia="en-US"/>
          <w14:ligatures w14:val="standardContextual"/>
        </w:rPr>
        <w:t xml:space="preserve">. Provide the </w:t>
      </w:r>
      <w:r w:rsidRPr="00FB32F2">
        <w:rPr>
          <w:rFonts w:ascii="Aptos" w:eastAsia="Calibri" w:hAnsi="Aptos" w:cs="Times New Roman"/>
          <w:kern w:val="2"/>
          <w:sz w:val="22"/>
          <w:szCs w:val="22"/>
          <w:u w:val="single"/>
          <w:lang w:eastAsia="en-US"/>
          <w14:ligatures w14:val="standardContextual"/>
        </w:rPr>
        <w:t>Entity Comment</w:t>
      </w:r>
      <w:r w:rsidRPr="00FB32F2">
        <w:rPr>
          <w:rFonts w:ascii="Aptos" w:eastAsia="Calibri" w:hAnsi="Aptos" w:cs="Times New Roman"/>
          <w:kern w:val="2"/>
          <w:sz w:val="22"/>
          <w:szCs w:val="22"/>
          <w:lang w:eastAsia="en-US"/>
          <w14:ligatures w14:val="standardContextual"/>
        </w:rPr>
        <w:t xml:space="preserve"> for the applicable </w:t>
      </w:r>
      <w:r w:rsidR="008B0E54" w:rsidRPr="00383B21">
        <w:rPr>
          <w:rFonts w:ascii="Aptos" w:eastAsia="Calibri" w:hAnsi="Aptos" w:cs="Times New Roman"/>
          <w:kern w:val="2"/>
          <w:sz w:val="22"/>
          <w:szCs w:val="22"/>
          <w:lang w:eastAsia="en-US"/>
          <w14:ligatures w14:val="standardContextual"/>
        </w:rPr>
        <w:t>R</w:t>
      </w:r>
      <w:r w:rsidRPr="00383B21">
        <w:rPr>
          <w:rFonts w:ascii="Aptos" w:eastAsia="Calibri" w:hAnsi="Aptos" w:cs="Times New Roman"/>
          <w:kern w:val="2"/>
          <w:sz w:val="22"/>
          <w:szCs w:val="22"/>
          <w:lang w:eastAsia="en-US"/>
          <w14:ligatures w14:val="standardContextual"/>
        </w:rPr>
        <w:t>ecommend</w:t>
      </w:r>
      <w:r w:rsidR="008B0E54" w:rsidRPr="00383B21">
        <w:rPr>
          <w:rFonts w:ascii="Aptos" w:eastAsia="Calibri" w:hAnsi="Aptos" w:cs="Times New Roman"/>
          <w:kern w:val="2"/>
          <w:sz w:val="22"/>
          <w:szCs w:val="22"/>
          <w:lang w:eastAsia="en-US"/>
          <w14:ligatures w14:val="standardContextual"/>
        </w:rPr>
        <w:t>ed Action</w:t>
      </w:r>
      <w:r w:rsidR="00C221C9">
        <w:rPr>
          <w:rFonts w:ascii="Aptos" w:eastAsia="Calibri" w:hAnsi="Aptos" w:cs="Times New Roman"/>
          <w:kern w:val="2"/>
          <w:sz w:val="22"/>
          <w:szCs w:val="22"/>
          <w:lang w:eastAsia="en-US"/>
          <w14:ligatures w14:val="standardContextual"/>
        </w:rPr>
        <w:t xml:space="preserve"> selected</w:t>
      </w:r>
      <w:r w:rsidRPr="00FB32F2">
        <w:rPr>
          <w:rFonts w:ascii="Aptos" w:eastAsia="Calibri" w:hAnsi="Aptos" w:cs="Times New Roman"/>
          <w:kern w:val="2"/>
          <w:sz w:val="22"/>
          <w:szCs w:val="22"/>
          <w:lang w:eastAsia="en-US"/>
          <w14:ligatures w14:val="standardContextual"/>
        </w:rPr>
        <w:t>.</w:t>
      </w:r>
      <w:r w:rsidR="006E36A9">
        <w:rPr>
          <w:rFonts w:ascii="Aptos" w:eastAsia="Calibri" w:hAnsi="Aptos" w:cs="Times New Roman"/>
          <w:kern w:val="2"/>
          <w:sz w:val="22"/>
          <w:szCs w:val="22"/>
          <w:lang w:eastAsia="en-US"/>
          <w14:ligatures w14:val="standardContextual"/>
        </w:rPr>
        <w:t xml:space="preserve"> </w:t>
      </w:r>
      <w:r w:rsidR="00AD0988">
        <w:rPr>
          <w:rFonts w:ascii="Aptos" w:eastAsia="Calibri" w:hAnsi="Aptos" w:cs="Times New Roman"/>
          <w:kern w:val="2"/>
          <w:sz w:val="22"/>
          <w:szCs w:val="22"/>
          <w:lang w:eastAsia="en-US"/>
          <w14:ligatures w14:val="standardContextual"/>
        </w:rPr>
        <w:t xml:space="preserve">The user may </w:t>
      </w:r>
      <w:r w:rsidR="00DC2EAB">
        <w:rPr>
          <w:rFonts w:ascii="Aptos" w:eastAsia="Calibri" w:hAnsi="Aptos" w:cs="Times New Roman"/>
          <w:kern w:val="2"/>
          <w:sz w:val="22"/>
          <w:szCs w:val="22"/>
          <w:lang w:eastAsia="en-US"/>
          <w14:ligatures w14:val="standardContextual"/>
        </w:rPr>
        <w:t xml:space="preserve">also </w:t>
      </w:r>
      <w:r w:rsidR="00AD0988">
        <w:rPr>
          <w:rFonts w:ascii="Aptos" w:eastAsia="Calibri" w:hAnsi="Aptos" w:cs="Times New Roman"/>
          <w:kern w:val="2"/>
          <w:sz w:val="22"/>
          <w:szCs w:val="22"/>
          <w:lang w:eastAsia="en-US"/>
          <w14:ligatures w14:val="standardContextual"/>
        </w:rPr>
        <w:t xml:space="preserve">select the same PUCT Recommended Action </w:t>
      </w:r>
      <w:r w:rsidR="0017696A">
        <w:rPr>
          <w:rFonts w:ascii="Aptos" w:eastAsia="Calibri" w:hAnsi="Aptos" w:cs="Times New Roman"/>
          <w:kern w:val="2"/>
          <w:sz w:val="22"/>
          <w:szCs w:val="22"/>
          <w:lang w:eastAsia="en-US"/>
          <w14:ligatures w14:val="standardContextual"/>
        </w:rPr>
        <w:t>f</w:t>
      </w:r>
      <w:r w:rsidR="00DC2EAB">
        <w:rPr>
          <w:rFonts w:ascii="Aptos" w:eastAsia="Calibri" w:hAnsi="Aptos" w:cs="Times New Roman"/>
          <w:kern w:val="2"/>
          <w:sz w:val="22"/>
          <w:szCs w:val="22"/>
          <w:lang w:eastAsia="en-US"/>
          <w14:ligatures w14:val="standardContextual"/>
        </w:rPr>
        <w:t>or multiple entries</w:t>
      </w:r>
      <w:r w:rsidR="00690C70">
        <w:rPr>
          <w:rFonts w:ascii="Aptos" w:eastAsia="Calibri" w:hAnsi="Aptos" w:cs="Times New Roman"/>
          <w:kern w:val="2"/>
          <w:sz w:val="22"/>
          <w:szCs w:val="22"/>
          <w:lang w:eastAsia="en-US"/>
          <w14:ligatures w14:val="standardContextual"/>
        </w:rPr>
        <w:t xml:space="preserve"> and provide </w:t>
      </w:r>
      <w:r w:rsidR="0009548D">
        <w:rPr>
          <w:rFonts w:ascii="Aptos" w:eastAsia="Calibri" w:hAnsi="Aptos" w:cs="Times New Roman"/>
          <w:kern w:val="2"/>
          <w:sz w:val="22"/>
          <w:szCs w:val="22"/>
          <w:lang w:eastAsia="en-US"/>
          <w14:ligatures w14:val="standardContextual"/>
        </w:rPr>
        <w:t>comments for a single PUCT Recommended Action in a stratified format.</w:t>
      </w:r>
    </w:p>
    <w:p w14:paraId="56ADFE01"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bookmarkStart w:id="7" w:name="_Hlk157501611"/>
      <w:bookmarkEnd w:id="5"/>
    </w:p>
    <w:p w14:paraId="6BF65EA0" w14:textId="4D026424" w:rsidR="00FB32F2" w:rsidRPr="00FB32F2" w:rsidRDefault="00FB32F2" w:rsidP="0026458F">
      <w:pPr>
        <w:spacing w:after="0" w:line="240" w:lineRule="auto"/>
        <w:ind w:left="1080"/>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t xml:space="preserve">The </w:t>
      </w:r>
      <w:r w:rsidR="008B0E54">
        <w:rPr>
          <w:rFonts w:ascii="Aptos" w:eastAsia="Calibri" w:hAnsi="Aptos" w:cs="Times New Roman"/>
          <w:kern w:val="2"/>
          <w:sz w:val="22"/>
          <w:szCs w:val="22"/>
          <w:lang w:eastAsia="en-US"/>
          <w14:ligatures w14:val="standardContextual"/>
        </w:rPr>
        <w:t>R</w:t>
      </w:r>
      <w:r w:rsidRPr="00FB32F2">
        <w:rPr>
          <w:rFonts w:ascii="Aptos" w:eastAsia="Calibri" w:hAnsi="Aptos" w:cs="Times New Roman"/>
          <w:kern w:val="2"/>
          <w:sz w:val="22"/>
          <w:szCs w:val="22"/>
          <w:lang w:eastAsia="en-US"/>
          <w14:ligatures w14:val="standardContextual"/>
        </w:rPr>
        <w:t>ecommend</w:t>
      </w:r>
      <w:r w:rsidR="008B0E54">
        <w:rPr>
          <w:rFonts w:ascii="Aptos" w:eastAsia="Calibri" w:hAnsi="Aptos" w:cs="Times New Roman"/>
          <w:kern w:val="2"/>
          <w:sz w:val="22"/>
          <w:szCs w:val="22"/>
          <w:lang w:eastAsia="en-US"/>
          <w14:ligatures w14:val="standardContextual"/>
        </w:rPr>
        <w:t>ed Actions</w:t>
      </w:r>
      <w:r w:rsidRPr="00FB32F2">
        <w:rPr>
          <w:rFonts w:ascii="Aptos" w:eastAsia="Calibri" w:hAnsi="Aptos" w:cs="Times New Roman"/>
          <w:kern w:val="2"/>
          <w:sz w:val="22"/>
          <w:szCs w:val="22"/>
          <w:lang w:eastAsia="en-US"/>
          <w14:ligatures w14:val="standardContextual"/>
        </w:rPr>
        <w:t xml:space="preserve"> that appear as drop-down selections for each table are dependent on the specific table and appear as the identifier nomenclature seen in the § 25.53 Recommendation</w:t>
      </w:r>
      <w:r w:rsidR="008B0E54">
        <w:rPr>
          <w:rFonts w:ascii="Aptos" w:eastAsia="Calibri" w:hAnsi="Aptos" w:cs="Times New Roman"/>
          <w:kern w:val="2"/>
          <w:sz w:val="22"/>
          <w:szCs w:val="22"/>
          <w:lang w:eastAsia="en-US"/>
          <w14:ligatures w14:val="standardContextual"/>
        </w:rPr>
        <w:t xml:space="preserve"> Action</w:t>
      </w:r>
      <w:r w:rsidRPr="00FB32F2">
        <w:rPr>
          <w:rFonts w:ascii="Aptos" w:eastAsia="Calibri" w:hAnsi="Aptos" w:cs="Times New Roman"/>
          <w:kern w:val="2"/>
          <w:sz w:val="22"/>
          <w:szCs w:val="22"/>
          <w:lang w:eastAsia="en-US"/>
          <w14:ligatures w14:val="standardContextual"/>
        </w:rPr>
        <w:t xml:space="preserve"> tables on pages </w:t>
      </w:r>
      <w:r w:rsidR="00195F89">
        <w:rPr>
          <w:rFonts w:ascii="Aptos" w:eastAsia="Calibri" w:hAnsi="Aptos" w:cs="Times New Roman"/>
          <w:kern w:val="2"/>
          <w:sz w:val="22"/>
          <w:szCs w:val="22"/>
          <w:lang w:eastAsia="en-US"/>
          <w14:ligatures w14:val="standardContextual"/>
        </w:rPr>
        <w:t>3 – 6</w:t>
      </w:r>
      <w:r w:rsidRPr="00FB32F2">
        <w:rPr>
          <w:rFonts w:ascii="Aptos" w:eastAsia="Calibri" w:hAnsi="Aptos" w:cs="Times New Roman"/>
          <w:kern w:val="2"/>
          <w:sz w:val="22"/>
          <w:szCs w:val="22"/>
          <w:lang w:eastAsia="en-US"/>
          <w14:ligatures w14:val="standardContextual"/>
        </w:rPr>
        <w:t xml:space="preserve"> of this </w:t>
      </w:r>
      <w:r w:rsidR="00C500E5">
        <w:rPr>
          <w:rFonts w:ascii="Aptos" w:eastAsia="Calibri" w:hAnsi="Aptos" w:cs="Times New Roman"/>
          <w:kern w:val="2"/>
          <w:sz w:val="22"/>
          <w:szCs w:val="22"/>
          <w:lang w:eastAsia="en-US"/>
          <w14:ligatures w14:val="standardContextual"/>
        </w:rPr>
        <w:t>form</w:t>
      </w:r>
      <w:r w:rsidRPr="00FB32F2">
        <w:rPr>
          <w:rFonts w:ascii="Aptos" w:eastAsia="Calibri" w:hAnsi="Aptos" w:cs="Times New Roman"/>
          <w:kern w:val="2"/>
          <w:sz w:val="22"/>
          <w:szCs w:val="22"/>
          <w:lang w:eastAsia="en-US"/>
          <w14:ligatures w14:val="standardContextual"/>
        </w:rPr>
        <w:t>.</w:t>
      </w:r>
      <w:bookmarkStart w:id="8" w:name="_Hlk194921838"/>
    </w:p>
    <w:p w14:paraId="65992066" w14:textId="77777777" w:rsidR="00FB32F2" w:rsidRPr="00FB32F2" w:rsidRDefault="00FB32F2" w:rsidP="0026458F">
      <w:pPr>
        <w:spacing w:after="0" w:line="240" w:lineRule="auto"/>
        <w:ind w:left="1080"/>
        <w:jc w:val="both"/>
        <w:rPr>
          <w:rFonts w:ascii="Aptos" w:eastAsia="Calibri" w:hAnsi="Aptos" w:cs="Times New Roman"/>
          <w:b/>
          <w:bCs/>
          <w:kern w:val="2"/>
          <w:sz w:val="22"/>
          <w:szCs w:val="22"/>
          <w:lang w:eastAsia="en-US"/>
          <w14:ligatures w14:val="standardContextual"/>
        </w:rPr>
      </w:pPr>
    </w:p>
    <w:p w14:paraId="3E7CE80F" w14:textId="77777777" w:rsidR="00FB32F2" w:rsidRPr="00FB32F2" w:rsidRDefault="00FB32F2" w:rsidP="0026458F">
      <w:pPr>
        <w:spacing w:after="0" w:line="240" w:lineRule="auto"/>
        <w:ind w:left="1080"/>
        <w:jc w:val="both"/>
        <w:rPr>
          <w:rFonts w:ascii="Aptos" w:eastAsia="Calibri" w:hAnsi="Aptos" w:cs="Times New Roman"/>
          <w:b/>
          <w:bCs/>
          <w:kern w:val="2"/>
          <w:sz w:val="22"/>
          <w:szCs w:val="22"/>
          <w:lang w:eastAsia="en-US"/>
          <w14:ligatures w14:val="standardContextual"/>
        </w:rPr>
      </w:pPr>
    </w:p>
    <w:p w14:paraId="58DF5CB7" w14:textId="77777777" w:rsidR="00FB32F2" w:rsidRPr="00FB32F2" w:rsidRDefault="00FB32F2" w:rsidP="0026458F">
      <w:pPr>
        <w:spacing w:after="0" w:line="240" w:lineRule="auto"/>
        <w:ind w:left="1080"/>
        <w:jc w:val="both"/>
        <w:rPr>
          <w:rFonts w:ascii="Aptos" w:eastAsia="Calibri" w:hAnsi="Aptos" w:cs="Times New Roman"/>
          <w:b/>
          <w:bCs/>
          <w:kern w:val="2"/>
          <w:sz w:val="22"/>
          <w:szCs w:val="22"/>
          <w:lang w:eastAsia="en-US"/>
          <w14:ligatures w14:val="standardContextual"/>
        </w:rPr>
      </w:pPr>
      <w:r w:rsidRPr="00FB32F2">
        <w:rPr>
          <w:rFonts w:ascii="Aptos" w:eastAsia="Calibri" w:hAnsi="Aptos" w:cs="Times New Roman"/>
          <w:b/>
          <w:bCs/>
          <w:kern w:val="2"/>
          <w:sz w:val="22"/>
          <w:szCs w:val="22"/>
          <w:lang w:eastAsia="en-US"/>
          <w14:ligatures w14:val="standardContextual"/>
        </w:rPr>
        <w:t>Notes</w:t>
      </w:r>
    </w:p>
    <w:p w14:paraId="0BF4CD72" w14:textId="77777777" w:rsidR="00FB32F2" w:rsidRPr="00FB32F2" w:rsidRDefault="00FB32F2" w:rsidP="0026458F">
      <w:pPr>
        <w:spacing w:after="0" w:line="240" w:lineRule="auto"/>
        <w:ind w:left="1080"/>
        <w:jc w:val="both"/>
        <w:rPr>
          <w:rFonts w:ascii="Aptos" w:eastAsia="Calibri" w:hAnsi="Aptos" w:cs="Times New Roman"/>
          <w:b/>
          <w:bCs/>
          <w:kern w:val="2"/>
          <w:sz w:val="22"/>
          <w:szCs w:val="22"/>
          <w:lang w:eastAsia="en-US"/>
          <w14:ligatures w14:val="standardContextual"/>
        </w:rPr>
      </w:pPr>
    </w:p>
    <w:p w14:paraId="497A56A5" w14:textId="2876DBDD" w:rsidR="00FB32F2" w:rsidRPr="00FB32F2" w:rsidRDefault="00FB32F2" w:rsidP="0026458F">
      <w:pPr>
        <w:spacing w:after="0" w:line="240" w:lineRule="auto"/>
        <w:ind w:left="1080"/>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t>To add a new entry in the Filing Entity Comments tables:</w:t>
      </w:r>
    </w:p>
    <w:bookmarkEnd w:id="8"/>
    <w:p w14:paraId="755AD5AC" w14:textId="77777777" w:rsidR="00FB32F2" w:rsidRPr="00FB32F2" w:rsidRDefault="00FB32F2" w:rsidP="0026458F">
      <w:pPr>
        <w:numPr>
          <w:ilvl w:val="0"/>
          <w:numId w:val="1"/>
        </w:numPr>
        <w:spacing w:after="0" w:line="240" w:lineRule="auto"/>
        <w:contextualSpacing/>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t>Click into any accessible row; and</w:t>
      </w:r>
    </w:p>
    <w:p w14:paraId="38C4309B" w14:textId="77777777" w:rsidR="00FB32F2" w:rsidRPr="00FB32F2" w:rsidRDefault="00FB32F2" w:rsidP="0026458F">
      <w:pPr>
        <w:numPr>
          <w:ilvl w:val="0"/>
          <w:numId w:val="1"/>
        </w:numPr>
        <w:spacing w:after="0" w:line="240" w:lineRule="auto"/>
        <w:contextualSpacing/>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t xml:space="preserve">Select the </w:t>
      </w:r>
      <w:r w:rsidRPr="00FB32F2">
        <w:rPr>
          <w:rFonts w:ascii="Aptos" w:eastAsia="Calibri" w:hAnsi="Aptos" w:cs="Times New Roman"/>
          <w:b/>
          <w:bCs/>
          <w:color w:val="1A5798"/>
          <w:kern w:val="2"/>
          <w:sz w:val="22"/>
          <w:szCs w:val="22"/>
          <w:lang w:eastAsia="en-US"/>
          <w14:ligatures w14:val="standardContextual"/>
        </w:rPr>
        <w:t>blue</w:t>
      </w:r>
      <w:r w:rsidRPr="00FB32F2">
        <w:rPr>
          <w:rFonts w:ascii="Aptos" w:eastAsia="Calibri" w:hAnsi="Aptos" w:cs="Times New Roman"/>
          <w:kern w:val="2"/>
          <w:sz w:val="22"/>
          <w:szCs w:val="22"/>
          <w:lang w:eastAsia="en-US"/>
          <w14:ligatures w14:val="standardContextual"/>
        </w:rPr>
        <w:t xml:space="preserve"> addition symbol on the bottom right-hand side of the table.</w:t>
      </w:r>
    </w:p>
    <w:bookmarkEnd w:id="7"/>
    <w:p w14:paraId="59896D5E"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08359ECC"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0C199DF4" w14:textId="77777777" w:rsidR="00FB32F2" w:rsidRPr="00FB32F2" w:rsidRDefault="00FB32F2" w:rsidP="0026458F">
      <w:pPr>
        <w:keepNext/>
        <w:keepLines/>
        <w:spacing w:after="0" w:line="259" w:lineRule="auto"/>
        <w:jc w:val="both"/>
        <w:outlineLvl w:val="1"/>
        <w:rPr>
          <w:rFonts w:ascii="Aptos" w:eastAsia="Yu Gothic Light" w:hAnsi="Aptos" w:cs="Times New Roman"/>
          <w:b/>
          <w:color w:val="1A5798"/>
          <w:kern w:val="2"/>
          <w:lang w:eastAsia="en-US"/>
          <w14:ligatures w14:val="standardContextual"/>
        </w:rPr>
      </w:pPr>
      <w:r w:rsidRPr="00FB32F2">
        <w:rPr>
          <w:rFonts w:ascii="Aptos" w:eastAsia="Yu Gothic Light" w:hAnsi="Aptos" w:cs="Times New Roman"/>
          <w:b/>
          <w:color w:val="1A5798"/>
          <w:kern w:val="2"/>
          <w:lang w:eastAsia="en-US"/>
          <w14:ligatures w14:val="standardContextual"/>
        </w:rPr>
        <w:t>File Document</w:t>
      </w:r>
    </w:p>
    <w:p w14:paraId="4DCD42B3" w14:textId="77777777"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p>
    <w:p w14:paraId="5684BB8C" w14:textId="77777777" w:rsidR="00FB32F2" w:rsidRPr="00FB32F2" w:rsidRDefault="00FB32F2" w:rsidP="0026458F">
      <w:pPr>
        <w:spacing w:after="0" w:line="240" w:lineRule="auto"/>
        <w:ind w:left="360"/>
        <w:jc w:val="both"/>
        <w:rPr>
          <w:rFonts w:ascii="Aptos" w:eastAsia="Calibri" w:hAnsi="Aptos" w:cs="Times New Roman"/>
          <w:b/>
          <w:bCs/>
          <w:kern w:val="2"/>
          <w:sz w:val="22"/>
          <w:szCs w:val="22"/>
          <w:lang w:eastAsia="en-US"/>
          <w14:ligatures w14:val="standardContextual"/>
        </w:rPr>
      </w:pPr>
      <w:r w:rsidRPr="00FB32F2">
        <w:rPr>
          <w:rFonts w:ascii="Aptos" w:eastAsia="Calibri" w:hAnsi="Aptos" w:cs="Times New Roman"/>
          <w:b/>
          <w:bCs/>
          <w:kern w:val="2"/>
          <w:sz w:val="22"/>
          <w:szCs w:val="22"/>
          <w:lang w:eastAsia="en-US"/>
          <w14:ligatures w14:val="standardContextual"/>
        </w:rPr>
        <w:t>Step 5: File the completed 16 TAC § 25.53 – Recommended Amendments Form.</w:t>
      </w:r>
    </w:p>
    <w:p w14:paraId="3D1BC0A0" w14:textId="77777777" w:rsidR="00FB32F2" w:rsidRPr="00FB32F2" w:rsidRDefault="00FB32F2" w:rsidP="0026458F">
      <w:pPr>
        <w:spacing w:after="0" w:line="240" w:lineRule="auto"/>
        <w:ind w:left="360"/>
        <w:jc w:val="both"/>
        <w:rPr>
          <w:rFonts w:ascii="Aptos" w:eastAsia="Calibri" w:hAnsi="Aptos" w:cs="Times New Roman"/>
          <w:kern w:val="2"/>
          <w:sz w:val="22"/>
          <w:szCs w:val="22"/>
          <w:lang w:eastAsia="en-US"/>
          <w14:ligatures w14:val="standardContextual"/>
        </w:rPr>
      </w:pPr>
    </w:p>
    <w:p w14:paraId="6CB9A100" w14:textId="3D21AFFA" w:rsidR="00FB32F2" w:rsidRPr="00FB32F2" w:rsidRDefault="00FB32F2" w:rsidP="0026458F">
      <w:pPr>
        <w:spacing w:after="0" w:line="240" w:lineRule="auto"/>
        <w:ind w:left="1080"/>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i/>
          <w:iCs/>
          <w:kern w:val="2"/>
          <w:sz w:val="22"/>
          <w:szCs w:val="22"/>
          <w:lang w:eastAsia="en-US"/>
          <w14:ligatures w14:val="standardContextual"/>
        </w:rPr>
        <w:t>Instructions</w:t>
      </w:r>
      <w:r w:rsidRPr="00FB32F2">
        <w:rPr>
          <w:rFonts w:ascii="Aptos" w:eastAsia="Calibri" w:hAnsi="Aptos" w:cs="Times New Roman"/>
          <w:kern w:val="2"/>
          <w:sz w:val="22"/>
          <w:szCs w:val="22"/>
          <w:lang w:eastAsia="en-US"/>
          <w14:ligatures w14:val="standardContextual"/>
        </w:rPr>
        <w:t xml:space="preserve">: File the completed 16 TAC § 25.53 – Recommended Amendments Form </w:t>
      </w:r>
      <w:r w:rsidRPr="00FB32F2">
        <w:rPr>
          <w:rFonts w:ascii="Aptos" w:eastAsia="Calibri" w:hAnsi="Aptos" w:cs="Times New Roman"/>
          <w:b/>
          <w:bCs/>
          <w:kern w:val="2"/>
          <w:sz w:val="22"/>
          <w:szCs w:val="22"/>
          <w:lang w:eastAsia="en-US"/>
          <w14:ligatures w14:val="standardContextual"/>
        </w:rPr>
        <w:t>in Word document (*.docx) format</w:t>
      </w:r>
      <w:r w:rsidRPr="00FB32F2">
        <w:rPr>
          <w:rFonts w:ascii="Aptos" w:eastAsia="Calibri" w:hAnsi="Aptos" w:cs="Times New Roman"/>
          <w:kern w:val="2"/>
          <w:sz w:val="22"/>
          <w:szCs w:val="22"/>
          <w:lang w:eastAsia="en-US"/>
          <w14:ligatures w14:val="standardContextual"/>
        </w:rPr>
        <w:t xml:space="preserve"> within Project </w:t>
      </w:r>
      <w:r w:rsidR="00505295">
        <w:rPr>
          <w:rFonts w:ascii="Aptos" w:eastAsia="Calibri" w:hAnsi="Aptos" w:cs="Times New Roman"/>
          <w:kern w:val="2"/>
          <w:sz w:val="22"/>
          <w:szCs w:val="22"/>
          <w:lang w:eastAsia="en-US"/>
          <w14:ligatures w14:val="standardContextual"/>
        </w:rPr>
        <w:t xml:space="preserve">No. </w:t>
      </w:r>
      <w:r w:rsidRPr="00FB32F2">
        <w:rPr>
          <w:rFonts w:ascii="Aptos" w:eastAsia="Calibri" w:hAnsi="Aptos" w:cs="Times New Roman"/>
          <w:kern w:val="2"/>
          <w:sz w:val="22"/>
          <w:szCs w:val="22"/>
          <w:lang w:eastAsia="en-US"/>
          <w14:ligatures w14:val="standardContextual"/>
        </w:rPr>
        <w:t xml:space="preserve">57928 by visiting </w:t>
      </w:r>
      <w:hyperlink r:id="rId10" w:history="1">
        <w:r w:rsidRPr="00FB32F2">
          <w:rPr>
            <w:rFonts w:ascii="Aptos" w:eastAsia="Calibri" w:hAnsi="Aptos" w:cs="Times New Roman"/>
            <w:color w:val="0563C1"/>
            <w:kern w:val="2"/>
            <w:sz w:val="22"/>
            <w:szCs w:val="22"/>
            <w:u w:val="single"/>
            <w:lang w:eastAsia="en-US"/>
            <w14:ligatures w14:val="standardContextual"/>
          </w:rPr>
          <w:t>The Public Utility Commission of Texas Interchange Filer</w:t>
        </w:r>
      </w:hyperlink>
      <w:r w:rsidRPr="00FB32F2">
        <w:rPr>
          <w:rFonts w:ascii="Aptos" w:eastAsia="Calibri" w:hAnsi="Aptos" w:cs="Times New Roman"/>
          <w:kern w:val="2"/>
          <w:sz w:val="22"/>
          <w:szCs w:val="22"/>
          <w:lang w:eastAsia="en-US"/>
          <w14:ligatures w14:val="standardContextual"/>
        </w:rPr>
        <w:t xml:space="preserve">. </w:t>
      </w:r>
      <w:r w:rsidRPr="00FB32F2">
        <w:rPr>
          <w:rFonts w:ascii="Aptos" w:eastAsia="Calibri" w:hAnsi="Aptos" w:cs="Times New Roman"/>
          <w:b/>
          <w:bCs/>
          <w:color w:val="FF0000"/>
          <w:kern w:val="2"/>
          <w:sz w:val="22"/>
          <w:szCs w:val="22"/>
          <w:lang w:eastAsia="en-US"/>
          <w14:ligatures w14:val="standardContextual"/>
        </w:rPr>
        <w:t>Do not file this form in PDF format.</w:t>
      </w:r>
    </w:p>
    <w:p w14:paraId="286265E7" w14:textId="77777777" w:rsidR="00FB32F2" w:rsidRPr="00FB32F2" w:rsidRDefault="00FB32F2" w:rsidP="0026458F">
      <w:pPr>
        <w:spacing w:after="0" w:line="240" w:lineRule="auto"/>
        <w:ind w:left="1080"/>
        <w:jc w:val="both"/>
        <w:rPr>
          <w:rFonts w:ascii="Aptos" w:eastAsia="Calibri" w:hAnsi="Aptos" w:cs="Times New Roman"/>
          <w:kern w:val="2"/>
          <w:sz w:val="22"/>
          <w:szCs w:val="22"/>
          <w:lang w:eastAsia="en-US"/>
          <w14:ligatures w14:val="standardContextual"/>
        </w:rPr>
      </w:pPr>
    </w:p>
    <w:p w14:paraId="61EC0DC8" w14:textId="549F0AB7" w:rsidR="00FB32F2" w:rsidRPr="00FB32F2" w:rsidRDefault="0058515D" w:rsidP="0026458F">
      <w:pPr>
        <w:spacing w:after="0" w:line="240" w:lineRule="auto"/>
        <w:ind w:left="1080"/>
        <w:jc w:val="both"/>
        <w:rPr>
          <w:rFonts w:ascii="Aptos" w:eastAsia="Calibri" w:hAnsi="Aptos" w:cs="Times New Roman"/>
          <w:kern w:val="2"/>
          <w:sz w:val="22"/>
          <w:szCs w:val="22"/>
          <w:lang w:eastAsia="en-US"/>
          <w14:ligatures w14:val="standardContextual"/>
        </w:rPr>
      </w:pPr>
      <w:r>
        <w:rPr>
          <w:rFonts w:ascii="Aptos" w:eastAsia="Calibri" w:hAnsi="Aptos" w:cs="Times New Roman"/>
          <w:kern w:val="2"/>
          <w:sz w:val="22"/>
          <w:szCs w:val="22"/>
          <w:lang w:eastAsia="en-US"/>
          <w14:ligatures w14:val="standardContextual"/>
        </w:rPr>
        <w:t xml:space="preserve">A Filing Entity may file a </w:t>
      </w:r>
      <w:r w:rsidRPr="0058515D">
        <w:rPr>
          <w:rFonts w:ascii="Aptos" w:eastAsia="Calibri" w:hAnsi="Aptos" w:cs="Times New Roman"/>
          <w:kern w:val="2"/>
          <w:sz w:val="22"/>
          <w:szCs w:val="22"/>
          <w:u w:val="single"/>
          <w:lang w:eastAsia="en-US"/>
          <w14:ligatures w14:val="standardContextual"/>
        </w:rPr>
        <w:t>brief</w:t>
      </w:r>
      <w:r>
        <w:rPr>
          <w:rFonts w:ascii="Aptos" w:eastAsia="Calibri" w:hAnsi="Aptos" w:cs="Times New Roman"/>
          <w:kern w:val="2"/>
          <w:sz w:val="22"/>
          <w:szCs w:val="22"/>
          <w:lang w:eastAsia="en-US"/>
          <w14:ligatures w14:val="standardContextual"/>
        </w:rPr>
        <w:t xml:space="preserve"> memo in conjunction with this form. However, with respect to the Recommended Amendments, only comments provided with this form will be considered during the review process.</w:t>
      </w:r>
    </w:p>
    <w:p w14:paraId="37D99AB5" w14:textId="77777777" w:rsidR="00FB32F2" w:rsidRDefault="00FB32F2" w:rsidP="0026458F">
      <w:pPr>
        <w:spacing w:after="0" w:line="259" w:lineRule="auto"/>
        <w:jc w:val="both"/>
        <w:rPr>
          <w:rFonts w:ascii="Aptos" w:eastAsia="Calibri" w:hAnsi="Aptos" w:cs="Arial"/>
          <w:kern w:val="2"/>
          <w:sz w:val="22"/>
          <w:szCs w:val="22"/>
          <w:lang w:eastAsia="en-US"/>
          <w14:ligatures w14:val="standardContextual"/>
        </w:rPr>
      </w:pPr>
    </w:p>
    <w:p w14:paraId="543E2149" w14:textId="77777777" w:rsidR="00CB29F1" w:rsidRPr="00FB32F2" w:rsidRDefault="00CB29F1" w:rsidP="0026458F">
      <w:pPr>
        <w:spacing w:after="0" w:line="259" w:lineRule="auto"/>
        <w:jc w:val="both"/>
        <w:rPr>
          <w:rFonts w:ascii="Aptos" w:eastAsia="Calibri" w:hAnsi="Aptos" w:cs="Arial"/>
          <w:kern w:val="2"/>
          <w:sz w:val="22"/>
          <w:szCs w:val="22"/>
          <w:lang w:eastAsia="en-US"/>
          <w14:ligatures w14:val="standardContextual"/>
        </w:rPr>
      </w:pPr>
    </w:p>
    <w:p w14:paraId="3210DE8E"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br w:type="page"/>
      </w:r>
    </w:p>
    <w:p w14:paraId="4C36CE65" w14:textId="2ED13DC5" w:rsidR="00FB32F2" w:rsidRPr="00FB32F2" w:rsidRDefault="00FB32F2" w:rsidP="0026458F">
      <w:pPr>
        <w:keepNext/>
        <w:keepLines/>
        <w:spacing w:before="40" w:after="0" w:line="259" w:lineRule="auto"/>
        <w:jc w:val="both"/>
        <w:outlineLvl w:val="1"/>
        <w:rPr>
          <w:rFonts w:ascii="Aptos" w:eastAsia="Yu Gothic Light" w:hAnsi="Aptos" w:cs="Times New Roman"/>
          <w:b/>
          <w:color w:val="1A5798"/>
          <w:kern w:val="2"/>
          <w:szCs w:val="26"/>
          <w:lang w:eastAsia="en-US"/>
          <w14:ligatures w14:val="standardContextual"/>
        </w:rPr>
      </w:pPr>
      <w:r w:rsidRPr="00FB32F2">
        <w:rPr>
          <w:rFonts w:ascii="Aptos" w:eastAsia="Yu Gothic Light" w:hAnsi="Aptos" w:cs="Times New Roman"/>
          <w:b/>
          <w:color w:val="1A5798"/>
          <w:kern w:val="2"/>
          <w:szCs w:val="26"/>
          <w:lang w:eastAsia="en-US"/>
          <w14:ligatures w14:val="standardContextual"/>
        </w:rPr>
        <w:lastRenderedPageBreak/>
        <w:t>§</w:t>
      </w:r>
      <w:r w:rsidRPr="00FB32F2">
        <w:rPr>
          <w:rFonts w:ascii="Aptos" w:eastAsia="Yu Gothic Light" w:hAnsi="Aptos" w:cs="Times New Roman"/>
          <w:b/>
          <w:color w:val="FFFFFF"/>
          <w:kern w:val="2"/>
          <w:szCs w:val="26"/>
          <w:lang w:eastAsia="en-US"/>
          <w14:ligatures w14:val="standardContextual"/>
        </w:rPr>
        <w:t xml:space="preserve"> </w:t>
      </w:r>
      <w:r w:rsidRPr="00FB32F2">
        <w:rPr>
          <w:rFonts w:ascii="Aptos" w:eastAsia="Yu Gothic Light" w:hAnsi="Aptos" w:cs="Times New Roman"/>
          <w:b/>
          <w:color w:val="1A5798"/>
          <w:kern w:val="2"/>
          <w:szCs w:val="26"/>
          <w:lang w:eastAsia="en-US"/>
          <w14:ligatures w14:val="standardContextual"/>
        </w:rPr>
        <w:t>25.53(c) Recommend</w:t>
      </w:r>
      <w:r w:rsidR="006724F4">
        <w:rPr>
          <w:rFonts w:ascii="Aptos" w:eastAsia="Yu Gothic Light" w:hAnsi="Aptos" w:cs="Times New Roman"/>
          <w:b/>
          <w:color w:val="1A5798"/>
          <w:kern w:val="2"/>
          <w:szCs w:val="26"/>
          <w:lang w:eastAsia="en-US"/>
          <w14:ligatures w14:val="standardContextual"/>
        </w:rPr>
        <w:t>ed Actions</w:t>
      </w:r>
    </w:p>
    <w:p w14:paraId="6D98C63D" w14:textId="77777777" w:rsidR="00FB32F2" w:rsidRPr="00FB32F2" w:rsidRDefault="00FB32F2" w:rsidP="0026458F">
      <w:pPr>
        <w:spacing w:line="259" w:lineRule="auto"/>
        <w:jc w:val="both"/>
        <w:rPr>
          <w:rFonts w:ascii="Aptos" w:eastAsia="Calibri" w:hAnsi="Aptos" w:cs="Arial"/>
          <w:kern w:val="2"/>
          <w:sz w:val="22"/>
          <w:szCs w:val="22"/>
          <w:lang w:eastAsia="en-US"/>
          <w14:ligatures w14:val="standardContextual"/>
        </w:rPr>
      </w:pPr>
    </w:p>
    <w:tbl>
      <w:tblPr>
        <w:tblW w:w="9600" w:type="dxa"/>
        <w:tblLook w:val="04A0" w:firstRow="1" w:lastRow="0" w:firstColumn="1" w:lastColumn="0" w:noHBand="0" w:noVBand="1"/>
      </w:tblPr>
      <w:tblGrid>
        <w:gridCol w:w="2118"/>
        <w:gridCol w:w="7482"/>
      </w:tblGrid>
      <w:tr w:rsidR="00FB32F2" w:rsidRPr="00FB32F2" w14:paraId="4C9C6BBC" w14:textId="77777777" w:rsidTr="008E2644">
        <w:trPr>
          <w:trHeight w:val="300"/>
        </w:trPr>
        <w:tc>
          <w:tcPr>
            <w:tcW w:w="9600" w:type="dxa"/>
            <w:gridSpan w:val="2"/>
            <w:tcBorders>
              <w:top w:val="single" w:sz="4" w:space="0" w:color="auto"/>
              <w:left w:val="single" w:sz="4" w:space="0" w:color="auto"/>
              <w:bottom w:val="single" w:sz="4" w:space="0" w:color="auto"/>
              <w:right w:val="single" w:sz="4" w:space="0" w:color="auto"/>
            </w:tcBorders>
            <w:shd w:val="clear" w:color="auto" w:fill="1A5798"/>
            <w:noWrap/>
            <w:vAlign w:val="center"/>
            <w:hideMark/>
          </w:tcPr>
          <w:p w14:paraId="18FA124A" w14:textId="33A2641A" w:rsidR="00FB32F2" w:rsidRPr="00FB32F2" w:rsidRDefault="00FB32F2" w:rsidP="003C08D5">
            <w:pPr>
              <w:spacing w:after="0" w:line="240" w:lineRule="auto"/>
              <w:jc w:val="center"/>
              <w:rPr>
                <w:rFonts w:ascii="Aptos" w:eastAsia="Times New Roman" w:hAnsi="Aptos" w:cs="Times New Roman"/>
                <w:b/>
                <w:bCs/>
                <w:color w:val="FFFFFF"/>
                <w:lang w:eastAsia="en-US"/>
              </w:rPr>
            </w:pPr>
            <w:r w:rsidRPr="00FB32F2">
              <w:rPr>
                <w:rFonts w:ascii="Aptos" w:eastAsia="Times New Roman" w:hAnsi="Aptos" w:cs="Times New Roman"/>
                <w:b/>
                <w:bCs/>
                <w:color w:val="FFFFFF"/>
                <w:lang w:eastAsia="en-US"/>
              </w:rPr>
              <w:t>§</w:t>
            </w:r>
            <w:r w:rsidRPr="00FB32F2">
              <w:rPr>
                <w:rFonts w:ascii="Aptos" w:eastAsia="Calibri" w:hAnsi="Aptos" w:cs="Times New Roman"/>
                <w:b/>
                <w:bCs/>
                <w:color w:val="FFFFFF"/>
                <w:kern w:val="2"/>
                <w:sz w:val="22"/>
                <w:szCs w:val="22"/>
                <w:lang w:eastAsia="en-US"/>
                <w14:ligatures w14:val="standardContextual"/>
              </w:rPr>
              <w:t xml:space="preserve"> </w:t>
            </w:r>
            <w:r w:rsidRPr="00FB32F2">
              <w:rPr>
                <w:rFonts w:ascii="Aptos" w:eastAsia="Times New Roman" w:hAnsi="Aptos" w:cs="Times New Roman"/>
                <w:b/>
                <w:bCs/>
                <w:color w:val="FFFFFF"/>
                <w:lang w:eastAsia="en-US"/>
              </w:rPr>
              <w:t>25.53(c)</w:t>
            </w:r>
          </w:p>
        </w:tc>
      </w:tr>
      <w:tr w:rsidR="00FB32F2" w:rsidRPr="00FB32F2" w14:paraId="53F880A9" w14:textId="77777777" w:rsidTr="03632CA8">
        <w:trPr>
          <w:trHeight w:val="300"/>
        </w:trPr>
        <w:tc>
          <w:tcPr>
            <w:tcW w:w="2118" w:type="dxa"/>
            <w:tcBorders>
              <w:top w:val="nil"/>
              <w:left w:val="single" w:sz="4" w:space="0" w:color="auto"/>
              <w:bottom w:val="single" w:sz="4" w:space="0" w:color="auto"/>
              <w:right w:val="single" w:sz="4" w:space="0" w:color="auto"/>
            </w:tcBorders>
            <w:shd w:val="clear" w:color="auto" w:fill="E8E8E8" w:themeFill="background2"/>
            <w:noWrap/>
            <w:vAlign w:val="center"/>
            <w:hideMark/>
          </w:tcPr>
          <w:p w14:paraId="27DDF6BF" w14:textId="77777777" w:rsidR="00FB32F2" w:rsidRPr="00FB32F2" w:rsidRDefault="00FB32F2" w:rsidP="003C08D5">
            <w:pPr>
              <w:spacing w:after="0" w:line="240" w:lineRule="auto"/>
              <w:jc w:val="center"/>
              <w:rPr>
                <w:rFonts w:ascii="Aptos" w:eastAsia="Times New Roman" w:hAnsi="Aptos" w:cs="Times New Roman"/>
                <w:b/>
                <w:bCs/>
                <w:color w:val="000000"/>
                <w:sz w:val="22"/>
                <w:szCs w:val="22"/>
                <w:lang w:eastAsia="en-US"/>
              </w:rPr>
            </w:pPr>
            <w:r w:rsidRPr="00FB32F2">
              <w:rPr>
                <w:rFonts w:ascii="Aptos" w:eastAsia="Times New Roman" w:hAnsi="Aptos" w:cs="Times New Roman"/>
                <w:b/>
                <w:bCs/>
                <w:color w:val="000000"/>
                <w:sz w:val="22"/>
                <w:szCs w:val="22"/>
                <w:lang w:eastAsia="en-US"/>
              </w:rPr>
              <w:t>Identifier</w:t>
            </w:r>
          </w:p>
        </w:tc>
        <w:tc>
          <w:tcPr>
            <w:tcW w:w="7482" w:type="dxa"/>
            <w:tcBorders>
              <w:top w:val="nil"/>
              <w:left w:val="nil"/>
              <w:bottom w:val="single" w:sz="4" w:space="0" w:color="auto"/>
              <w:right w:val="single" w:sz="4" w:space="0" w:color="auto"/>
            </w:tcBorders>
            <w:shd w:val="clear" w:color="auto" w:fill="E8E8E8" w:themeFill="background2"/>
            <w:noWrap/>
            <w:vAlign w:val="center"/>
            <w:hideMark/>
          </w:tcPr>
          <w:p w14:paraId="094FC300" w14:textId="33BA5A0B" w:rsidR="00FB32F2" w:rsidRPr="00FB32F2" w:rsidRDefault="00464AD9" w:rsidP="003C08D5">
            <w:pPr>
              <w:spacing w:after="0" w:line="240" w:lineRule="auto"/>
              <w:jc w:val="center"/>
              <w:rPr>
                <w:rFonts w:ascii="Aptos" w:eastAsia="Times New Roman" w:hAnsi="Aptos" w:cs="Times New Roman"/>
                <w:b/>
                <w:bCs/>
                <w:sz w:val="22"/>
                <w:szCs w:val="22"/>
                <w:lang w:eastAsia="en-US"/>
              </w:rPr>
            </w:pPr>
            <w:r>
              <w:rPr>
                <w:rFonts w:ascii="Aptos" w:eastAsia="Times New Roman" w:hAnsi="Aptos" w:cs="Times New Roman"/>
                <w:b/>
                <w:bCs/>
                <w:sz w:val="22"/>
                <w:szCs w:val="22"/>
                <w:lang w:eastAsia="en-US"/>
              </w:rPr>
              <w:t xml:space="preserve">Recommended </w:t>
            </w:r>
            <w:r w:rsidR="00B17009">
              <w:rPr>
                <w:rFonts w:ascii="Aptos" w:eastAsia="Times New Roman" w:hAnsi="Aptos" w:cs="Times New Roman"/>
                <w:b/>
                <w:bCs/>
                <w:sz w:val="22"/>
                <w:szCs w:val="22"/>
                <w:lang w:eastAsia="en-US"/>
              </w:rPr>
              <w:t>Action</w:t>
            </w:r>
          </w:p>
        </w:tc>
      </w:tr>
      <w:tr w:rsidR="00FB32F2" w:rsidRPr="00FB32F2" w14:paraId="50B83592" w14:textId="77777777" w:rsidTr="008E2644">
        <w:trPr>
          <w:trHeight w:val="1080"/>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7F6CACEE"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25.53(c) - Rec 1</w:t>
            </w:r>
          </w:p>
        </w:tc>
        <w:tc>
          <w:tcPr>
            <w:tcW w:w="7482" w:type="dxa"/>
            <w:tcBorders>
              <w:top w:val="nil"/>
              <w:left w:val="nil"/>
              <w:bottom w:val="single" w:sz="4" w:space="0" w:color="auto"/>
              <w:right w:val="single" w:sz="4" w:space="0" w:color="auto"/>
            </w:tcBorders>
            <w:shd w:val="clear" w:color="auto" w:fill="auto"/>
            <w:vAlign w:val="center"/>
            <w:hideMark/>
          </w:tcPr>
          <w:p w14:paraId="073328FD" w14:textId="4E3E8B3A"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3632CA8">
              <w:rPr>
                <w:rFonts w:ascii="Aptos" w:eastAsia="Times New Roman" w:hAnsi="Aptos" w:cs="Times New Roman"/>
                <w:color w:val="000000" w:themeColor="text1"/>
                <w:sz w:val="20"/>
                <w:szCs w:val="20"/>
                <w:lang w:eastAsia="en-US"/>
              </w:rPr>
              <w:t xml:space="preserve">Require individual EOP </w:t>
            </w:r>
            <w:r w:rsidR="24A5975E" w:rsidRPr="03632CA8">
              <w:rPr>
                <w:rFonts w:ascii="Aptos" w:eastAsia="Times New Roman" w:hAnsi="Aptos" w:cs="Times New Roman"/>
                <w:color w:val="000000" w:themeColor="text1"/>
                <w:sz w:val="20"/>
                <w:szCs w:val="20"/>
                <w:lang w:eastAsia="en-US"/>
              </w:rPr>
              <w:t>filings</w:t>
            </w:r>
            <w:r w:rsidRPr="03632CA8">
              <w:rPr>
                <w:rFonts w:ascii="Aptos" w:eastAsia="Times New Roman" w:hAnsi="Aptos" w:cs="Times New Roman"/>
                <w:color w:val="000000" w:themeColor="text1"/>
                <w:sz w:val="20"/>
                <w:szCs w:val="20"/>
                <w:lang w:eastAsia="en-US"/>
              </w:rPr>
              <w:t xml:space="preserve"> for each individually registered electric entity</w:t>
            </w:r>
            <w:r w:rsidR="00AE7672" w:rsidRPr="03632CA8">
              <w:rPr>
                <w:rFonts w:ascii="Aptos" w:eastAsia="Times New Roman" w:hAnsi="Aptos" w:cs="Times New Roman"/>
                <w:color w:val="000000" w:themeColor="text1"/>
                <w:sz w:val="20"/>
                <w:szCs w:val="20"/>
                <w:lang w:eastAsia="en-US"/>
              </w:rPr>
              <w:t xml:space="preserve">, </w:t>
            </w:r>
            <w:r w:rsidRPr="03632CA8">
              <w:rPr>
                <w:rFonts w:ascii="Aptos" w:eastAsia="Times New Roman" w:hAnsi="Aptos" w:cs="Times New Roman"/>
                <w:color w:val="000000" w:themeColor="text1"/>
                <w:sz w:val="20"/>
                <w:szCs w:val="20"/>
                <w:lang w:eastAsia="en-US"/>
              </w:rPr>
              <w:t xml:space="preserve">(removing joint filings). The EOP may be the same corporate-wide EOP, encompassing multiple entities, if it meets all the criteria of 16 TAC § 25.53, but it should be </w:t>
            </w:r>
            <w:r w:rsidR="3AF36231" w:rsidRPr="03632CA8">
              <w:rPr>
                <w:rFonts w:ascii="Aptos" w:eastAsia="Times New Roman" w:hAnsi="Aptos" w:cs="Times New Roman"/>
                <w:color w:val="000000" w:themeColor="text1"/>
                <w:sz w:val="20"/>
                <w:szCs w:val="20"/>
                <w:lang w:eastAsia="en-US"/>
              </w:rPr>
              <w:t>fil</w:t>
            </w:r>
            <w:r w:rsidRPr="03632CA8">
              <w:rPr>
                <w:rFonts w:ascii="Aptos" w:eastAsia="Times New Roman" w:hAnsi="Aptos" w:cs="Times New Roman"/>
                <w:color w:val="000000" w:themeColor="text1"/>
                <w:sz w:val="20"/>
                <w:szCs w:val="20"/>
                <w:lang w:eastAsia="en-US"/>
              </w:rPr>
              <w:t xml:space="preserve">ed for each entity using the exact entity name in the PUCT registration. </w:t>
            </w:r>
          </w:p>
        </w:tc>
      </w:tr>
      <w:tr w:rsidR="00FB32F2" w:rsidRPr="00FB32F2" w14:paraId="03F7FA56" w14:textId="77777777" w:rsidTr="008E2644">
        <w:trPr>
          <w:trHeight w:val="1350"/>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45EBFCB4"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25.53(c) - Rec 2</w:t>
            </w:r>
          </w:p>
        </w:tc>
        <w:tc>
          <w:tcPr>
            <w:tcW w:w="7482" w:type="dxa"/>
            <w:tcBorders>
              <w:top w:val="nil"/>
              <w:left w:val="nil"/>
              <w:bottom w:val="single" w:sz="4" w:space="0" w:color="auto"/>
              <w:right w:val="single" w:sz="4" w:space="0" w:color="auto"/>
            </w:tcBorders>
            <w:shd w:val="clear" w:color="auto" w:fill="auto"/>
            <w:vAlign w:val="center"/>
            <w:hideMark/>
          </w:tcPr>
          <w:p w14:paraId="094A56FE" w14:textId="081F298C"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Require standardized filing descriptions:</w:t>
            </w:r>
            <w:r w:rsidRPr="00FB32F2">
              <w:rPr>
                <w:rFonts w:ascii="Aptos" w:eastAsia="Times New Roman" w:hAnsi="Aptos" w:cs="Times New Roman"/>
                <w:color w:val="000000"/>
                <w:sz w:val="20"/>
                <w:szCs w:val="20"/>
                <w:lang w:eastAsia="en-US"/>
              </w:rPr>
              <w:br/>
              <w:t>a. 20XX Emergency Operations Plan Filing for ENTIT</w:t>
            </w:r>
            <w:r w:rsidR="008F6B51">
              <w:rPr>
                <w:rFonts w:ascii="Aptos" w:eastAsia="Times New Roman" w:hAnsi="Aptos" w:cs="Times New Roman"/>
                <w:color w:val="000000"/>
                <w:sz w:val="20"/>
                <w:szCs w:val="20"/>
                <w:lang w:eastAsia="en-US"/>
              </w:rPr>
              <w:t>Y</w:t>
            </w:r>
            <w:r w:rsidRPr="00FB32F2">
              <w:rPr>
                <w:rFonts w:ascii="Aptos" w:eastAsia="Times New Roman" w:hAnsi="Aptos" w:cs="Times New Roman"/>
                <w:color w:val="000000"/>
                <w:sz w:val="20"/>
                <w:szCs w:val="20"/>
                <w:lang w:eastAsia="en-US"/>
              </w:rPr>
              <w:br/>
              <w:t>b. 20XX Executive Summary to Accompany ENTITY’s EO</w:t>
            </w:r>
            <w:r w:rsidR="00B97624">
              <w:rPr>
                <w:rFonts w:ascii="Aptos" w:eastAsia="Times New Roman" w:hAnsi="Aptos" w:cs="Times New Roman"/>
                <w:color w:val="000000"/>
                <w:sz w:val="20"/>
                <w:szCs w:val="20"/>
                <w:lang w:eastAsia="en-US"/>
              </w:rPr>
              <w:t>P</w:t>
            </w:r>
            <w:r w:rsidRPr="00FB32F2">
              <w:rPr>
                <w:rFonts w:ascii="Aptos" w:eastAsia="Times New Roman" w:hAnsi="Aptos" w:cs="Times New Roman"/>
                <w:color w:val="000000"/>
                <w:sz w:val="20"/>
                <w:szCs w:val="20"/>
                <w:lang w:eastAsia="en-US"/>
              </w:rPr>
              <w:br/>
              <w:t xml:space="preserve">c. 20XX Affidavit for No Substantial Change for ENTITY </w:t>
            </w:r>
            <w:r w:rsidRPr="00FB32F2">
              <w:rPr>
                <w:rFonts w:ascii="Aptos" w:eastAsia="Times New Roman" w:hAnsi="Aptos" w:cs="Times New Roman"/>
                <w:color w:val="000000"/>
                <w:sz w:val="20"/>
                <w:szCs w:val="20"/>
                <w:lang w:eastAsia="en-US"/>
              </w:rPr>
              <w:br/>
              <w:t>d. 20XX Emergency Contacts for ENTITY</w:t>
            </w:r>
          </w:p>
        </w:tc>
      </w:tr>
      <w:tr w:rsidR="00FB32F2" w:rsidRPr="00FB32F2" w14:paraId="56204046" w14:textId="77777777" w:rsidTr="008E2644">
        <w:trPr>
          <w:trHeight w:val="270"/>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5B4B6139"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25.53(c) - Rec 3</w:t>
            </w:r>
          </w:p>
        </w:tc>
        <w:tc>
          <w:tcPr>
            <w:tcW w:w="7482" w:type="dxa"/>
            <w:tcBorders>
              <w:top w:val="nil"/>
              <w:left w:val="nil"/>
              <w:bottom w:val="single" w:sz="4" w:space="0" w:color="auto"/>
              <w:right w:val="single" w:sz="4" w:space="0" w:color="auto"/>
            </w:tcBorders>
            <w:shd w:val="clear" w:color="auto" w:fill="auto"/>
            <w:vAlign w:val="center"/>
            <w:hideMark/>
          </w:tcPr>
          <w:p w14:paraId="75DDB972" w14:textId="2E898F8D"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Require use of Executive Summary Template</w:t>
            </w:r>
            <w:r w:rsidR="00B97624">
              <w:rPr>
                <w:rFonts w:ascii="Aptos" w:eastAsia="Times New Roman" w:hAnsi="Aptos" w:cs="Times New Roman"/>
                <w:color w:val="000000"/>
                <w:sz w:val="20"/>
                <w:szCs w:val="20"/>
                <w:lang w:eastAsia="en-US"/>
              </w:rPr>
              <w:t>.</w:t>
            </w:r>
            <w:r w:rsidRPr="00FB32F2">
              <w:rPr>
                <w:rFonts w:ascii="Aptos" w:eastAsia="Times New Roman" w:hAnsi="Aptos" w:cs="Times New Roman"/>
                <w:color w:val="000000"/>
                <w:sz w:val="20"/>
                <w:szCs w:val="20"/>
                <w:lang w:eastAsia="en-US"/>
              </w:rPr>
              <w:t> </w:t>
            </w:r>
          </w:p>
        </w:tc>
      </w:tr>
      <w:tr w:rsidR="00FB32F2" w:rsidRPr="00FB32F2" w14:paraId="4E774E98" w14:textId="77777777" w:rsidTr="008E2644">
        <w:trPr>
          <w:trHeight w:val="540"/>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2E4EB2FE"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25.53(c) - Rec 4</w:t>
            </w:r>
          </w:p>
        </w:tc>
        <w:tc>
          <w:tcPr>
            <w:tcW w:w="7482" w:type="dxa"/>
            <w:tcBorders>
              <w:top w:val="nil"/>
              <w:left w:val="nil"/>
              <w:bottom w:val="single" w:sz="4" w:space="0" w:color="auto"/>
              <w:right w:val="single" w:sz="4" w:space="0" w:color="auto"/>
            </w:tcBorders>
            <w:shd w:val="clear" w:color="auto" w:fill="auto"/>
            <w:vAlign w:val="center"/>
            <w:hideMark/>
          </w:tcPr>
          <w:p w14:paraId="1C3593E4" w14:textId="6E54F271"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Require a comprehensive list of assets be provided as part of the executive summary for PGCs (part of executive summary template)</w:t>
            </w:r>
            <w:r w:rsidR="00B97624">
              <w:rPr>
                <w:rFonts w:ascii="Aptos" w:eastAsia="Times New Roman" w:hAnsi="Aptos" w:cs="Times New Roman"/>
                <w:color w:val="000000"/>
                <w:sz w:val="20"/>
                <w:szCs w:val="20"/>
                <w:lang w:eastAsia="en-US"/>
              </w:rPr>
              <w:t>.</w:t>
            </w:r>
            <w:r w:rsidRPr="00FB32F2">
              <w:rPr>
                <w:rFonts w:ascii="Aptos" w:eastAsia="Times New Roman" w:hAnsi="Aptos" w:cs="Times New Roman"/>
                <w:color w:val="000000"/>
                <w:sz w:val="20"/>
                <w:szCs w:val="20"/>
                <w:lang w:eastAsia="en-US"/>
              </w:rPr>
              <w:t> </w:t>
            </w:r>
          </w:p>
        </w:tc>
      </w:tr>
      <w:tr w:rsidR="00FB32F2" w:rsidRPr="00FB32F2" w14:paraId="6CE75F44" w14:textId="77777777" w:rsidTr="008E2644">
        <w:trPr>
          <w:trHeight w:val="540"/>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520F02F8"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25.53(c) - Rec 5</w:t>
            </w:r>
          </w:p>
        </w:tc>
        <w:tc>
          <w:tcPr>
            <w:tcW w:w="7482" w:type="dxa"/>
            <w:tcBorders>
              <w:top w:val="nil"/>
              <w:left w:val="nil"/>
              <w:bottom w:val="single" w:sz="4" w:space="0" w:color="auto"/>
              <w:right w:val="single" w:sz="4" w:space="0" w:color="auto"/>
            </w:tcBorders>
            <w:shd w:val="clear" w:color="auto" w:fill="auto"/>
            <w:vAlign w:val="center"/>
            <w:hideMark/>
          </w:tcPr>
          <w:p w14:paraId="24F1D78F" w14:textId="69D04D15"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3632CA8">
              <w:rPr>
                <w:rFonts w:ascii="Aptos" w:eastAsia="Times New Roman" w:hAnsi="Aptos" w:cs="Times New Roman"/>
                <w:color w:val="000000" w:themeColor="text1"/>
                <w:sz w:val="20"/>
                <w:szCs w:val="20"/>
                <w:lang w:eastAsia="en-US"/>
              </w:rPr>
              <w:t>Enhance the existing language of 16 TAC § 25.53 to limit the use of affidavits for EOPs without material changes (re</w:t>
            </w:r>
            <w:r w:rsidR="19A3FA3E" w:rsidRPr="03632CA8">
              <w:rPr>
                <w:rFonts w:ascii="Aptos" w:eastAsia="Times New Roman" w:hAnsi="Aptos" w:cs="Times New Roman"/>
                <w:color w:val="000000" w:themeColor="text1"/>
                <w:sz w:val="20"/>
                <w:szCs w:val="20"/>
                <w:lang w:eastAsia="en-US"/>
              </w:rPr>
              <w:t>file</w:t>
            </w:r>
            <w:r w:rsidRPr="03632CA8">
              <w:rPr>
                <w:rFonts w:ascii="Aptos" w:eastAsia="Times New Roman" w:hAnsi="Aptos" w:cs="Times New Roman"/>
                <w:color w:val="000000" w:themeColor="text1"/>
                <w:sz w:val="20"/>
                <w:szCs w:val="20"/>
                <w:lang w:eastAsia="en-US"/>
              </w:rPr>
              <w:t xml:space="preserve"> full EOP once every 2 or 3 years)</w:t>
            </w:r>
            <w:r w:rsidR="00B97624" w:rsidRPr="03632CA8">
              <w:rPr>
                <w:rFonts w:ascii="Aptos" w:eastAsia="Times New Roman" w:hAnsi="Aptos" w:cs="Times New Roman"/>
                <w:color w:val="000000" w:themeColor="text1"/>
                <w:sz w:val="20"/>
                <w:szCs w:val="20"/>
                <w:lang w:eastAsia="en-US"/>
              </w:rPr>
              <w:t>.</w:t>
            </w:r>
          </w:p>
        </w:tc>
      </w:tr>
      <w:tr w:rsidR="00FB32F2" w:rsidRPr="00FB32F2" w14:paraId="055E1FE4" w14:textId="77777777" w:rsidTr="008E2644">
        <w:trPr>
          <w:trHeight w:val="540"/>
        </w:trPr>
        <w:tc>
          <w:tcPr>
            <w:tcW w:w="2118" w:type="dxa"/>
            <w:tcBorders>
              <w:top w:val="nil"/>
              <w:left w:val="single" w:sz="4" w:space="0" w:color="auto"/>
              <w:bottom w:val="single" w:sz="4" w:space="0" w:color="auto"/>
              <w:right w:val="single" w:sz="4" w:space="0" w:color="auto"/>
            </w:tcBorders>
            <w:shd w:val="clear" w:color="auto" w:fill="auto"/>
            <w:noWrap/>
            <w:vAlign w:val="center"/>
            <w:hideMark/>
          </w:tcPr>
          <w:p w14:paraId="033E9723"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25.53(c) - Rec 6</w:t>
            </w:r>
          </w:p>
        </w:tc>
        <w:tc>
          <w:tcPr>
            <w:tcW w:w="7482" w:type="dxa"/>
            <w:tcBorders>
              <w:top w:val="nil"/>
              <w:left w:val="nil"/>
              <w:bottom w:val="single" w:sz="4" w:space="0" w:color="auto"/>
              <w:right w:val="single" w:sz="4" w:space="0" w:color="auto"/>
            </w:tcBorders>
            <w:shd w:val="clear" w:color="auto" w:fill="auto"/>
            <w:vAlign w:val="center"/>
            <w:hideMark/>
          </w:tcPr>
          <w:p w14:paraId="1338CEB1" w14:textId="413CF9E6" w:rsidR="00FB32F2" w:rsidRPr="00FB32F2" w:rsidRDefault="00FB32F2" w:rsidP="003C08D5">
            <w:pPr>
              <w:spacing w:after="0" w:line="240" w:lineRule="auto"/>
              <w:rPr>
                <w:rFonts w:ascii="Aptos" w:eastAsia="Times New Roman" w:hAnsi="Aptos" w:cs="Times New Roman"/>
                <w:color w:val="000000"/>
                <w:sz w:val="20"/>
                <w:szCs w:val="20"/>
                <w:lang w:eastAsia="en-US"/>
              </w:rPr>
            </w:pPr>
            <w:r w:rsidRPr="61A97FEB">
              <w:rPr>
                <w:rFonts w:ascii="Aptos" w:eastAsia="Times New Roman" w:hAnsi="Aptos" w:cs="Times New Roman"/>
                <w:color w:val="000000" w:themeColor="text1"/>
                <w:sz w:val="20"/>
                <w:szCs w:val="20"/>
                <w:lang w:eastAsia="en-US"/>
              </w:rPr>
              <w:t xml:space="preserve">Request declarations of weather preparedness for all applicable entities in Texas that are part of the ERCOT power region. </w:t>
            </w:r>
            <w:r w:rsidR="00B97624" w:rsidRPr="61A97FEB">
              <w:rPr>
                <w:rFonts w:ascii="Aptos" w:eastAsia="Times New Roman" w:hAnsi="Aptos" w:cs="Times New Roman"/>
                <w:color w:val="000000" w:themeColor="text1"/>
                <w:sz w:val="20"/>
                <w:szCs w:val="20"/>
                <w:lang w:eastAsia="en-US"/>
              </w:rPr>
              <w:t>R</w:t>
            </w:r>
            <w:r w:rsidRPr="61A97FEB">
              <w:rPr>
                <w:rFonts w:ascii="Aptos" w:eastAsia="Times New Roman" w:hAnsi="Aptos" w:cs="Times New Roman"/>
                <w:color w:val="000000" w:themeColor="text1"/>
                <w:sz w:val="20"/>
                <w:szCs w:val="20"/>
                <w:lang w:eastAsia="en-US"/>
              </w:rPr>
              <w:t xml:space="preserve">equest something similar </w:t>
            </w:r>
            <w:r w:rsidR="00491A0D" w:rsidRPr="61A97FEB">
              <w:rPr>
                <w:rFonts w:ascii="Aptos" w:eastAsia="Times New Roman" w:hAnsi="Aptos" w:cs="Times New Roman"/>
                <w:color w:val="000000" w:themeColor="text1"/>
                <w:sz w:val="20"/>
                <w:szCs w:val="20"/>
                <w:lang w:eastAsia="en-US"/>
              </w:rPr>
              <w:t>from non</w:t>
            </w:r>
            <w:r w:rsidRPr="61A97FEB">
              <w:rPr>
                <w:rFonts w:ascii="Aptos" w:eastAsia="Times New Roman" w:hAnsi="Aptos" w:cs="Times New Roman"/>
                <w:color w:val="000000" w:themeColor="text1"/>
                <w:sz w:val="20"/>
                <w:szCs w:val="20"/>
                <w:lang w:eastAsia="en-US"/>
              </w:rPr>
              <w:t xml:space="preserve"> ERCOT</w:t>
            </w:r>
            <w:r w:rsidR="2916851C" w:rsidRPr="61A97FEB">
              <w:rPr>
                <w:rFonts w:ascii="Aptos" w:eastAsia="Times New Roman" w:hAnsi="Aptos" w:cs="Times New Roman"/>
                <w:color w:val="000000" w:themeColor="text1"/>
                <w:sz w:val="20"/>
                <w:szCs w:val="20"/>
                <w:lang w:eastAsia="en-US"/>
              </w:rPr>
              <w:t xml:space="preserve"> entities</w:t>
            </w:r>
            <w:r w:rsidR="00B97624" w:rsidRPr="61A97FEB">
              <w:rPr>
                <w:rFonts w:ascii="Aptos" w:eastAsia="Times New Roman" w:hAnsi="Aptos" w:cs="Times New Roman"/>
                <w:color w:val="000000" w:themeColor="text1"/>
                <w:sz w:val="20"/>
                <w:szCs w:val="20"/>
                <w:lang w:eastAsia="en-US"/>
              </w:rPr>
              <w:t>.</w:t>
            </w:r>
          </w:p>
        </w:tc>
      </w:tr>
    </w:tbl>
    <w:p w14:paraId="06FA322B" w14:textId="77777777" w:rsid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23932EDE" w14:textId="77777777" w:rsidR="00CB29F1" w:rsidRPr="00FB32F2" w:rsidRDefault="00CB29F1" w:rsidP="0026458F">
      <w:pPr>
        <w:spacing w:after="0" w:line="240" w:lineRule="auto"/>
        <w:jc w:val="both"/>
        <w:rPr>
          <w:rFonts w:ascii="Aptos" w:eastAsia="Calibri" w:hAnsi="Aptos" w:cs="Times New Roman"/>
          <w:kern w:val="2"/>
          <w:sz w:val="22"/>
          <w:szCs w:val="22"/>
          <w:lang w:eastAsia="en-US"/>
          <w14:ligatures w14:val="standardContextual"/>
        </w:rPr>
      </w:pPr>
    </w:p>
    <w:p w14:paraId="476341E9"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br w:type="page"/>
      </w:r>
    </w:p>
    <w:p w14:paraId="45E45A84" w14:textId="7036E394" w:rsidR="00FB32F2" w:rsidRPr="00FB32F2" w:rsidRDefault="00FB32F2" w:rsidP="0026458F">
      <w:pPr>
        <w:keepNext/>
        <w:keepLines/>
        <w:spacing w:before="40" w:after="0" w:line="259" w:lineRule="auto"/>
        <w:jc w:val="both"/>
        <w:outlineLvl w:val="1"/>
        <w:rPr>
          <w:rFonts w:ascii="Aptos" w:eastAsia="Yu Gothic Light" w:hAnsi="Aptos" w:cs="Times New Roman"/>
          <w:b/>
          <w:color w:val="1A5798"/>
          <w:kern w:val="2"/>
          <w:szCs w:val="26"/>
          <w:lang w:eastAsia="en-US"/>
          <w14:ligatures w14:val="standardContextual"/>
        </w:rPr>
      </w:pPr>
      <w:r w:rsidRPr="00FB32F2">
        <w:rPr>
          <w:rFonts w:ascii="Aptos" w:eastAsia="Yu Gothic Light" w:hAnsi="Aptos" w:cs="Times New Roman"/>
          <w:b/>
          <w:color w:val="1A5798"/>
          <w:kern w:val="2"/>
          <w:szCs w:val="26"/>
          <w:lang w:eastAsia="en-US"/>
          <w14:ligatures w14:val="standardContextual"/>
        </w:rPr>
        <w:lastRenderedPageBreak/>
        <w:t>§</w:t>
      </w:r>
      <w:r w:rsidRPr="00FB32F2">
        <w:rPr>
          <w:rFonts w:ascii="Aptos" w:eastAsia="Yu Gothic Light" w:hAnsi="Aptos" w:cs="Times New Roman"/>
          <w:b/>
          <w:color w:val="FFFFFF"/>
          <w:kern w:val="2"/>
          <w:szCs w:val="26"/>
          <w:lang w:eastAsia="en-US"/>
          <w14:ligatures w14:val="standardContextual"/>
        </w:rPr>
        <w:t xml:space="preserve"> </w:t>
      </w:r>
      <w:r w:rsidRPr="00FB32F2">
        <w:rPr>
          <w:rFonts w:ascii="Aptos" w:eastAsia="Yu Gothic Light" w:hAnsi="Aptos" w:cs="Times New Roman"/>
          <w:b/>
          <w:color w:val="1A5798"/>
          <w:kern w:val="2"/>
          <w:szCs w:val="26"/>
          <w:lang w:eastAsia="en-US"/>
          <w14:ligatures w14:val="standardContextual"/>
        </w:rPr>
        <w:t>25.53(e) Recommend</w:t>
      </w:r>
      <w:r w:rsidR="006724F4">
        <w:rPr>
          <w:rFonts w:ascii="Aptos" w:eastAsia="Yu Gothic Light" w:hAnsi="Aptos" w:cs="Times New Roman"/>
          <w:b/>
          <w:color w:val="1A5798"/>
          <w:kern w:val="2"/>
          <w:szCs w:val="26"/>
          <w:lang w:eastAsia="en-US"/>
          <w14:ligatures w14:val="standardContextual"/>
        </w:rPr>
        <w:t>ed Actions</w:t>
      </w:r>
    </w:p>
    <w:p w14:paraId="64714FBE" w14:textId="77777777" w:rsidR="00FB32F2" w:rsidRPr="00FB32F2" w:rsidRDefault="00FB32F2" w:rsidP="0026458F">
      <w:pPr>
        <w:spacing w:line="259" w:lineRule="auto"/>
        <w:jc w:val="both"/>
        <w:rPr>
          <w:rFonts w:ascii="Aptos" w:eastAsia="Calibri" w:hAnsi="Aptos" w:cs="Times New Roman"/>
          <w:kern w:val="2"/>
          <w:sz w:val="22"/>
          <w:szCs w:val="22"/>
          <w:lang w:eastAsia="en-US"/>
          <w14:ligatures w14:val="standardContextual"/>
        </w:rPr>
      </w:pPr>
    </w:p>
    <w:tbl>
      <w:tblPr>
        <w:tblW w:w="9600" w:type="dxa"/>
        <w:tblLook w:val="04A0" w:firstRow="1" w:lastRow="0" w:firstColumn="1" w:lastColumn="0" w:noHBand="0" w:noVBand="1"/>
      </w:tblPr>
      <w:tblGrid>
        <w:gridCol w:w="2180"/>
        <w:gridCol w:w="7420"/>
      </w:tblGrid>
      <w:tr w:rsidR="00FB32F2" w:rsidRPr="00FB32F2" w14:paraId="1646E02B" w14:textId="77777777" w:rsidTr="008E2644">
        <w:trPr>
          <w:trHeight w:val="315"/>
        </w:trPr>
        <w:tc>
          <w:tcPr>
            <w:tcW w:w="9600" w:type="dxa"/>
            <w:gridSpan w:val="2"/>
            <w:tcBorders>
              <w:top w:val="single" w:sz="4" w:space="0" w:color="auto"/>
              <w:left w:val="single" w:sz="4" w:space="0" w:color="auto"/>
              <w:bottom w:val="single" w:sz="4" w:space="0" w:color="auto"/>
              <w:right w:val="single" w:sz="4" w:space="0" w:color="auto"/>
            </w:tcBorders>
            <w:shd w:val="clear" w:color="000000" w:fill="215C98"/>
            <w:noWrap/>
            <w:vAlign w:val="center"/>
            <w:hideMark/>
          </w:tcPr>
          <w:p w14:paraId="6A0D2B66" w14:textId="5BC05C44" w:rsidR="00FB32F2" w:rsidRPr="00FB32F2" w:rsidRDefault="00FB32F2" w:rsidP="003C08D5">
            <w:pPr>
              <w:spacing w:after="0" w:line="240" w:lineRule="auto"/>
              <w:jc w:val="center"/>
              <w:rPr>
                <w:rFonts w:ascii="Aptos" w:eastAsia="Times New Roman" w:hAnsi="Aptos" w:cs="Times New Roman"/>
                <w:b/>
                <w:bCs/>
                <w:color w:val="FFFFFF"/>
                <w:lang w:eastAsia="en-US"/>
              </w:rPr>
            </w:pPr>
            <w:bookmarkStart w:id="9" w:name="_Hlk194920383"/>
            <w:r w:rsidRPr="00FB32F2">
              <w:rPr>
                <w:rFonts w:ascii="Aptos" w:eastAsia="Times New Roman" w:hAnsi="Aptos" w:cs="Times New Roman"/>
                <w:b/>
                <w:bCs/>
                <w:color w:val="FFFFFF"/>
                <w:lang w:eastAsia="en-US"/>
              </w:rPr>
              <w:t>§</w:t>
            </w:r>
            <w:r w:rsidRPr="00FB32F2">
              <w:rPr>
                <w:rFonts w:ascii="Aptos" w:eastAsia="Calibri" w:hAnsi="Aptos" w:cs="Times New Roman"/>
                <w:b/>
                <w:bCs/>
                <w:kern w:val="2"/>
                <w:sz w:val="22"/>
                <w:szCs w:val="22"/>
                <w:lang w:eastAsia="en-US"/>
                <w14:ligatures w14:val="standardContextual"/>
              </w:rPr>
              <w:t xml:space="preserve"> </w:t>
            </w:r>
            <w:r w:rsidRPr="00FB32F2">
              <w:rPr>
                <w:rFonts w:ascii="Aptos" w:eastAsia="Times New Roman" w:hAnsi="Aptos" w:cs="Times New Roman"/>
                <w:b/>
                <w:bCs/>
                <w:color w:val="FFFFFF"/>
                <w:lang w:eastAsia="en-US"/>
              </w:rPr>
              <w:t>25.53(e)</w:t>
            </w:r>
            <w:bookmarkEnd w:id="9"/>
          </w:p>
        </w:tc>
      </w:tr>
      <w:tr w:rsidR="00FB32F2" w:rsidRPr="00FB32F2" w14:paraId="4D377EFD" w14:textId="77777777" w:rsidTr="008E2644">
        <w:trPr>
          <w:trHeight w:val="300"/>
        </w:trPr>
        <w:tc>
          <w:tcPr>
            <w:tcW w:w="2180" w:type="dxa"/>
            <w:tcBorders>
              <w:top w:val="nil"/>
              <w:left w:val="single" w:sz="4" w:space="0" w:color="auto"/>
              <w:bottom w:val="single" w:sz="4" w:space="0" w:color="auto"/>
              <w:right w:val="single" w:sz="4" w:space="0" w:color="auto"/>
            </w:tcBorders>
            <w:shd w:val="clear" w:color="000000" w:fill="E8E8E8"/>
            <w:noWrap/>
            <w:vAlign w:val="center"/>
            <w:hideMark/>
          </w:tcPr>
          <w:p w14:paraId="38128B9E" w14:textId="77777777" w:rsidR="00FB32F2" w:rsidRPr="00FB32F2" w:rsidRDefault="00FB32F2" w:rsidP="003C08D5">
            <w:pPr>
              <w:spacing w:after="0" w:line="240" w:lineRule="auto"/>
              <w:jc w:val="center"/>
              <w:rPr>
                <w:rFonts w:ascii="Aptos" w:eastAsia="Times New Roman" w:hAnsi="Aptos" w:cs="Times New Roman"/>
                <w:b/>
                <w:bCs/>
                <w:sz w:val="22"/>
                <w:szCs w:val="22"/>
                <w:lang w:eastAsia="en-US"/>
              </w:rPr>
            </w:pPr>
            <w:r w:rsidRPr="00FB32F2">
              <w:rPr>
                <w:rFonts w:ascii="Aptos" w:eastAsia="Times New Roman" w:hAnsi="Aptos" w:cs="Times New Roman"/>
                <w:b/>
                <w:bCs/>
                <w:sz w:val="22"/>
                <w:szCs w:val="22"/>
                <w:lang w:eastAsia="en-US"/>
              </w:rPr>
              <w:t>Identifier</w:t>
            </w:r>
          </w:p>
        </w:tc>
        <w:tc>
          <w:tcPr>
            <w:tcW w:w="7420" w:type="dxa"/>
            <w:tcBorders>
              <w:top w:val="nil"/>
              <w:left w:val="nil"/>
              <w:bottom w:val="single" w:sz="4" w:space="0" w:color="auto"/>
              <w:right w:val="single" w:sz="4" w:space="0" w:color="auto"/>
            </w:tcBorders>
            <w:shd w:val="clear" w:color="000000" w:fill="E8E8E8"/>
            <w:noWrap/>
            <w:vAlign w:val="center"/>
            <w:hideMark/>
          </w:tcPr>
          <w:p w14:paraId="3A82F681" w14:textId="69670375" w:rsidR="00FB32F2" w:rsidRPr="00FB32F2" w:rsidRDefault="00464AD9" w:rsidP="003C08D5">
            <w:pPr>
              <w:spacing w:after="0" w:line="240" w:lineRule="auto"/>
              <w:jc w:val="center"/>
              <w:rPr>
                <w:rFonts w:ascii="Aptos" w:eastAsia="Times New Roman" w:hAnsi="Aptos" w:cs="Times New Roman"/>
                <w:b/>
                <w:bCs/>
                <w:sz w:val="22"/>
                <w:szCs w:val="22"/>
                <w:lang w:eastAsia="en-US"/>
              </w:rPr>
            </w:pPr>
            <w:r>
              <w:rPr>
                <w:rFonts w:ascii="Aptos" w:eastAsia="Times New Roman" w:hAnsi="Aptos" w:cs="Times New Roman"/>
                <w:b/>
                <w:bCs/>
                <w:sz w:val="22"/>
                <w:szCs w:val="22"/>
                <w:lang w:eastAsia="en-US"/>
              </w:rPr>
              <w:t xml:space="preserve">Recommended </w:t>
            </w:r>
            <w:r w:rsidR="00B17009">
              <w:rPr>
                <w:rFonts w:ascii="Aptos" w:eastAsia="Times New Roman" w:hAnsi="Aptos" w:cs="Times New Roman"/>
                <w:b/>
                <w:bCs/>
                <w:sz w:val="22"/>
                <w:szCs w:val="22"/>
                <w:lang w:eastAsia="en-US"/>
              </w:rPr>
              <w:t>Action</w:t>
            </w:r>
          </w:p>
        </w:tc>
      </w:tr>
      <w:tr w:rsidR="00FB32F2" w:rsidRPr="00FB32F2" w14:paraId="4AFE4602" w14:textId="77777777" w:rsidTr="008E2644">
        <w:trPr>
          <w:trHeight w:val="405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50F9EBA"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1</w:t>
            </w:r>
          </w:p>
        </w:tc>
        <w:tc>
          <w:tcPr>
            <w:tcW w:w="7420" w:type="dxa"/>
            <w:tcBorders>
              <w:top w:val="nil"/>
              <w:left w:val="nil"/>
              <w:bottom w:val="single" w:sz="4" w:space="0" w:color="auto"/>
              <w:right w:val="single" w:sz="4" w:space="0" w:color="auto"/>
            </w:tcBorders>
            <w:shd w:val="clear" w:color="auto" w:fill="auto"/>
            <w:vAlign w:val="center"/>
            <w:hideMark/>
          </w:tcPr>
          <w:p w14:paraId="23493836" w14:textId="77777777"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Electric utilities, transmission and distribution utilities, municipally owned utilities, and electric cooperatives: Weather Emergency Annex ((e) (1) (A)) should be updated to include:</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1. Methodology, tools, and resources used for identification of extreme hot and cold weather events</w:t>
            </w:r>
            <w:r w:rsidRPr="00FB32F2">
              <w:rPr>
                <w:rFonts w:ascii="Aptos" w:eastAsia="Times New Roman" w:hAnsi="Aptos" w:cs="Times New Roman"/>
                <w:color w:val="000000"/>
                <w:sz w:val="20"/>
                <w:szCs w:val="20"/>
                <w:lang w:eastAsia="en-US"/>
              </w:rPr>
              <w:br/>
              <w:t>2. Notification to personnel, customers, and media of impending weather event and potential impact to the electric system</w:t>
            </w:r>
            <w:r w:rsidRPr="00FB32F2">
              <w:rPr>
                <w:rFonts w:ascii="Aptos" w:eastAsia="Times New Roman" w:hAnsi="Aptos" w:cs="Times New Roman"/>
                <w:color w:val="000000"/>
                <w:sz w:val="20"/>
                <w:szCs w:val="20"/>
                <w:lang w:eastAsia="en-US"/>
              </w:rPr>
              <w:br/>
              <w:t>3. Include actions specific to hot weather events and cold weather events</w:t>
            </w:r>
            <w:r w:rsidRPr="00FB32F2">
              <w:rPr>
                <w:rFonts w:ascii="Aptos" w:eastAsia="Times New Roman" w:hAnsi="Aptos" w:cs="Times New Roman"/>
                <w:color w:val="000000"/>
                <w:sz w:val="20"/>
                <w:szCs w:val="20"/>
                <w:lang w:eastAsia="en-US"/>
              </w:rPr>
              <w:br/>
              <w:t>4. Incorporate checklists required in §25.55 as part of the EOP submission (to bolster overview of preparedness within a single filing/single source)</w:t>
            </w:r>
            <w:r w:rsidRPr="00FB32F2">
              <w:rPr>
                <w:rFonts w:ascii="Aptos" w:eastAsia="Times New Roman" w:hAnsi="Aptos" w:cs="Times New Roman"/>
                <w:color w:val="000000"/>
                <w:sz w:val="20"/>
                <w:szCs w:val="20"/>
                <w:lang w:eastAsia="en-US"/>
              </w:rPr>
              <w:br/>
              <w:t>5. Require entities to include all applicable processes and procedures related to weather event preparation and response, instead of allowing a reference to internal processes and procedures in the submittals</w:t>
            </w:r>
            <w:r w:rsidRPr="00FB32F2">
              <w:rPr>
                <w:rFonts w:ascii="Aptos" w:eastAsia="Times New Roman" w:hAnsi="Aptos" w:cs="Times New Roman"/>
                <w:color w:val="000000"/>
                <w:sz w:val="20"/>
                <w:szCs w:val="20"/>
                <w:lang w:eastAsia="en-US"/>
              </w:rPr>
              <w:br/>
              <w:t>6. Spare equipment strategy to quickly replace equipment and restore infrastructure to normal operating condition</w:t>
            </w:r>
          </w:p>
        </w:tc>
      </w:tr>
      <w:tr w:rsidR="00FB32F2" w:rsidRPr="00FB32F2" w14:paraId="6640A98E" w14:textId="77777777" w:rsidTr="008E2644">
        <w:trPr>
          <w:trHeight w:val="351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7D0A521"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2</w:t>
            </w:r>
          </w:p>
        </w:tc>
        <w:tc>
          <w:tcPr>
            <w:tcW w:w="7420" w:type="dxa"/>
            <w:tcBorders>
              <w:top w:val="nil"/>
              <w:left w:val="nil"/>
              <w:bottom w:val="single" w:sz="4" w:space="0" w:color="auto"/>
              <w:right w:val="single" w:sz="4" w:space="0" w:color="auto"/>
            </w:tcBorders>
            <w:shd w:val="clear" w:color="auto" w:fill="auto"/>
            <w:vAlign w:val="center"/>
            <w:hideMark/>
          </w:tcPr>
          <w:p w14:paraId="3A5B93C4" w14:textId="77777777"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 xml:space="preserve">Electric utilities, transmission and distribution utilities, municipally owned utilities, and electric cooperatives: Wildfire Annex ((e) (1) (D)) should include: </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 xml:space="preserve">1. Overview of system hardening efforts (temporary and long-term) to reduce the risk, and impact of potential wildfires  </w:t>
            </w:r>
            <w:r w:rsidRPr="00FB32F2">
              <w:rPr>
                <w:rFonts w:ascii="Aptos" w:eastAsia="Times New Roman" w:hAnsi="Aptos" w:cs="Times New Roman"/>
                <w:color w:val="000000"/>
                <w:sz w:val="20"/>
                <w:szCs w:val="20"/>
                <w:lang w:eastAsia="en-US"/>
              </w:rPr>
              <w:br/>
              <w:t xml:space="preserve">2. Use of fire risk maps (e.g., FEMA Wildfire Risk Index or assess for localized/Texas maps) to identify wildfire risks for electric infrastructure within an entity’s system  </w:t>
            </w:r>
            <w:r w:rsidRPr="00FB32F2">
              <w:rPr>
                <w:rFonts w:ascii="Aptos" w:eastAsia="Times New Roman" w:hAnsi="Aptos" w:cs="Times New Roman"/>
                <w:color w:val="000000"/>
                <w:sz w:val="20"/>
                <w:szCs w:val="20"/>
                <w:lang w:eastAsia="en-US"/>
              </w:rPr>
              <w:br/>
              <w:t xml:space="preserve">3. Identification and communication of wildfire dangers internally to personnel and externally to customers, reliability entities, and applicable stakeholders  </w:t>
            </w:r>
            <w:r w:rsidRPr="00FB32F2">
              <w:rPr>
                <w:rFonts w:ascii="Aptos" w:eastAsia="Times New Roman" w:hAnsi="Aptos" w:cs="Times New Roman"/>
                <w:color w:val="000000"/>
                <w:sz w:val="20"/>
                <w:szCs w:val="20"/>
                <w:lang w:eastAsia="en-US"/>
              </w:rPr>
              <w:br/>
              <w:t xml:space="preserve">4. Additional steps taken by the electric entity to prevent or minimize interruption of service and damage to electric infrastructure  </w:t>
            </w:r>
            <w:r w:rsidRPr="00FB32F2">
              <w:rPr>
                <w:rFonts w:ascii="Aptos" w:eastAsia="Times New Roman" w:hAnsi="Aptos" w:cs="Times New Roman"/>
                <w:color w:val="000000"/>
                <w:sz w:val="20"/>
                <w:szCs w:val="20"/>
                <w:lang w:eastAsia="en-US"/>
              </w:rPr>
              <w:br/>
              <w:t>5. Spare equipment strategy to quickly replace equipment and restore infrastructure to normal operating condition</w:t>
            </w:r>
          </w:p>
        </w:tc>
      </w:tr>
      <w:tr w:rsidR="00FB32F2" w:rsidRPr="00FB32F2" w14:paraId="6265BD91" w14:textId="77777777" w:rsidTr="008E2644">
        <w:trPr>
          <w:trHeight w:val="216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9B5A73E"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3</w:t>
            </w:r>
          </w:p>
        </w:tc>
        <w:tc>
          <w:tcPr>
            <w:tcW w:w="7420" w:type="dxa"/>
            <w:tcBorders>
              <w:top w:val="nil"/>
              <w:left w:val="nil"/>
              <w:bottom w:val="single" w:sz="4" w:space="0" w:color="auto"/>
              <w:right w:val="single" w:sz="4" w:space="0" w:color="auto"/>
            </w:tcBorders>
            <w:shd w:val="clear" w:color="auto" w:fill="auto"/>
            <w:vAlign w:val="center"/>
            <w:hideMark/>
          </w:tcPr>
          <w:p w14:paraId="28DDDCA0" w14:textId="77777777"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 xml:space="preserve">Electric utilities, transmission and distribution utilities, municipally owned utilities, and electric cooperatives: Hurricane Annex ((e) (1) (E)) should include: </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 xml:space="preserve">1. Steps taken to identify hurricanes and provide advance notification to personnel, customers, and media, specific to hurricane dangers and impact  </w:t>
            </w:r>
            <w:r w:rsidRPr="00FB32F2">
              <w:rPr>
                <w:rFonts w:ascii="Aptos" w:eastAsia="Times New Roman" w:hAnsi="Aptos" w:cs="Times New Roman"/>
                <w:color w:val="000000"/>
                <w:sz w:val="20"/>
                <w:szCs w:val="20"/>
                <w:lang w:eastAsia="en-US"/>
              </w:rPr>
              <w:br/>
              <w:t xml:space="preserve">2. Management of personnel to respond to hurricanes  </w:t>
            </w:r>
            <w:r w:rsidRPr="00FB32F2">
              <w:rPr>
                <w:rFonts w:ascii="Aptos" w:eastAsia="Times New Roman" w:hAnsi="Aptos" w:cs="Times New Roman"/>
                <w:color w:val="000000"/>
                <w:sz w:val="20"/>
                <w:szCs w:val="20"/>
                <w:lang w:eastAsia="en-US"/>
              </w:rPr>
              <w:br/>
              <w:t xml:space="preserve">3. Spare equipment strategy to quickly replace equipment and restore infrastructure to normal operating condition  </w:t>
            </w:r>
          </w:p>
        </w:tc>
      </w:tr>
    </w:tbl>
    <w:p w14:paraId="0845774A" w14:textId="77777777" w:rsid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6A0B4DF5" w14:textId="77777777" w:rsidR="002904DD" w:rsidRDefault="002904DD" w:rsidP="0026458F">
      <w:pPr>
        <w:spacing w:after="0" w:line="240" w:lineRule="auto"/>
        <w:jc w:val="both"/>
        <w:rPr>
          <w:rFonts w:ascii="Aptos" w:eastAsia="Calibri" w:hAnsi="Aptos" w:cs="Times New Roman"/>
          <w:kern w:val="2"/>
          <w:sz w:val="22"/>
          <w:szCs w:val="22"/>
          <w:lang w:eastAsia="en-US"/>
          <w14:ligatures w14:val="standardContextual"/>
        </w:rPr>
      </w:pPr>
    </w:p>
    <w:p w14:paraId="7E20162F" w14:textId="422BDE88" w:rsidR="00F853B7" w:rsidRDefault="00F853B7" w:rsidP="0026458F">
      <w:pPr>
        <w:spacing w:after="0" w:line="240" w:lineRule="auto"/>
        <w:jc w:val="both"/>
        <w:rPr>
          <w:rFonts w:ascii="Aptos" w:eastAsia="Calibri" w:hAnsi="Aptos" w:cs="Times New Roman"/>
          <w:kern w:val="2"/>
          <w:sz w:val="22"/>
          <w:szCs w:val="22"/>
          <w:lang w:eastAsia="en-US"/>
          <w14:ligatures w14:val="standardContextual"/>
        </w:rPr>
      </w:pPr>
      <w:r>
        <w:rPr>
          <w:rFonts w:ascii="Aptos" w:eastAsia="Calibri" w:hAnsi="Aptos" w:cs="Times New Roman"/>
          <w:kern w:val="2"/>
          <w:sz w:val="22"/>
          <w:szCs w:val="22"/>
          <w:lang w:eastAsia="en-US"/>
          <w14:ligatures w14:val="standardContextual"/>
        </w:rPr>
        <w:br w:type="page"/>
      </w:r>
    </w:p>
    <w:tbl>
      <w:tblPr>
        <w:tblW w:w="9600" w:type="dxa"/>
        <w:tblLook w:val="04A0" w:firstRow="1" w:lastRow="0" w:firstColumn="1" w:lastColumn="0" w:noHBand="0" w:noVBand="1"/>
      </w:tblPr>
      <w:tblGrid>
        <w:gridCol w:w="2065"/>
        <w:gridCol w:w="7535"/>
      </w:tblGrid>
      <w:tr w:rsidR="00F853B7" w:rsidRPr="00FB32F2" w14:paraId="40AD2D8E" w14:textId="77777777" w:rsidTr="03632CA8">
        <w:trPr>
          <w:trHeight w:val="315"/>
        </w:trPr>
        <w:tc>
          <w:tcPr>
            <w:tcW w:w="9600" w:type="dxa"/>
            <w:gridSpan w:val="2"/>
            <w:tcBorders>
              <w:top w:val="single" w:sz="4" w:space="0" w:color="auto"/>
              <w:left w:val="single" w:sz="4" w:space="0" w:color="auto"/>
              <w:bottom w:val="single" w:sz="4" w:space="0" w:color="auto"/>
              <w:right w:val="single" w:sz="4" w:space="0" w:color="auto"/>
            </w:tcBorders>
            <w:shd w:val="clear" w:color="auto" w:fill="215C98"/>
            <w:noWrap/>
            <w:vAlign w:val="center"/>
            <w:hideMark/>
          </w:tcPr>
          <w:p w14:paraId="50BEBEDE" w14:textId="2334D416" w:rsidR="00F853B7" w:rsidRPr="00FB32F2" w:rsidRDefault="00F853B7" w:rsidP="003C08D5">
            <w:pPr>
              <w:spacing w:after="0" w:line="240" w:lineRule="auto"/>
              <w:jc w:val="center"/>
              <w:rPr>
                <w:rFonts w:ascii="Aptos" w:eastAsia="Times New Roman" w:hAnsi="Aptos" w:cs="Times New Roman"/>
                <w:b/>
                <w:bCs/>
                <w:color w:val="FFFFFF"/>
                <w:lang w:eastAsia="en-US"/>
              </w:rPr>
            </w:pPr>
            <w:r w:rsidRPr="00FB32F2">
              <w:rPr>
                <w:rFonts w:ascii="Aptos" w:eastAsia="Times New Roman" w:hAnsi="Aptos" w:cs="Times New Roman"/>
                <w:b/>
                <w:bCs/>
                <w:color w:val="FFFFFF"/>
                <w:lang w:eastAsia="en-US"/>
              </w:rPr>
              <w:lastRenderedPageBreak/>
              <w:t>25.53(e) Continued</w:t>
            </w:r>
          </w:p>
        </w:tc>
      </w:tr>
      <w:tr w:rsidR="00F853B7" w:rsidRPr="00FB32F2" w14:paraId="5C298293" w14:textId="77777777" w:rsidTr="03632CA8">
        <w:trPr>
          <w:trHeight w:val="300"/>
        </w:trPr>
        <w:tc>
          <w:tcPr>
            <w:tcW w:w="2065" w:type="dxa"/>
            <w:tcBorders>
              <w:top w:val="nil"/>
              <w:left w:val="single" w:sz="4" w:space="0" w:color="auto"/>
              <w:bottom w:val="single" w:sz="4" w:space="0" w:color="auto"/>
              <w:right w:val="single" w:sz="4" w:space="0" w:color="auto"/>
            </w:tcBorders>
            <w:shd w:val="clear" w:color="auto" w:fill="E8E8E8" w:themeFill="background2"/>
            <w:noWrap/>
            <w:vAlign w:val="center"/>
            <w:hideMark/>
          </w:tcPr>
          <w:p w14:paraId="4EB9716F" w14:textId="77777777" w:rsidR="00F853B7" w:rsidRPr="00FB32F2" w:rsidRDefault="00F853B7" w:rsidP="003C08D5">
            <w:pPr>
              <w:spacing w:after="0" w:line="240" w:lineRule="auto"/>
              <w:jc w:val="center"/>
              <w:rPr>
                <w:rFonts w:ascii="Aptos" w:eastAsia="Times New Roman" w:hAnsi="Aptos" w:cs="Times New Roman"/>
                <w:b/>
                <w:bCs/>
                <w:sz w:val="22"/>
                <w:szCs w:val="22"/>
                <w:lang w:eastAsia="en-US"/>
              </w:rPr>
            </w:pPr>
            <w:r w:rsidRPr="00FB32F2">
              <w:rPr>
                <w:rFonts w:ascii="Aptos" w:eastAsia="Times New Roman" w:hAnsi="Aptos" w:cs="Times New Roman"/>
                <w:b/>
                <w:bCs/>
                <w:sz w:val="22"/>
                <w:szCs w:val="22"/>
                <w:lang w:eastAsia="en-US"/>
              </w:rPr>
              <w:t>Identifier</w:t>
            </w:r>
          </w:p>
        </w:tc>
        <w:tc>
          <w:tcPr>
            <w:tcW w:w="7535" w:type="dxa"/>
            <w:tcBorders>
              <w:top w:val="nil"/>
              <w:left w:val="nil"/>
              <w:bottom w:val="single" w:sz="4" w:space="0" w:color="auto"/>
              <w:right w:val="single" w:sz="4" w:space="0" w:color="auto"/>
            </w:tcBorders>
            <w:shd w:val="clear" w:color="auto" w:fill="E8E8E8" w:themeFill="background2"/>
            <w:noWrap/>
            <w:vAlign w:val="center"/>
            <w:hideMark/>
          </w:tcPr>
          <w:p w14:paraId="3B4188CA" w14:textId="53A976AB" w:rsidR="00F853B7" w:rsidRPr="00FB32F2" w:rsidRDefault="00464AD9" w:rsidP="003C08D5">
            <w:pPr>
              <w:spacing w:after="0" w:line="240" w:lineRule="auto"/>
              <w:jc w:val="center"/>
              <w:rPr>
                <w:rFonts w:ascii="Aptos" w:eastAsia="Times New Roman" w:hAnsi="Aptos" w:cs="Times New Roman"/>
                <w:b/>
                <w:bCs/>
                <w:sz w:val="22"/>
                <w:szCs w:val="22"/>
                <w:lang w:eastAsia="en-US"/>
              </w:rPr>
            </w:pPr>
            <w:r>
              <w:rPr>
                <w:rFonts w:ascii="Aptos" w:eastAsia="Times New Roman" w:hAnsi="Aptos" w:cs="Times New Roman"/>
                <w:b/>
                <w:bCs/>
                <w:sz w:val="22"/>
                <w:szCs w:val="22"/>
                <w:lang w:eastAsia="en-US"/>
              </w:rPr>
              <w:t xml:space="preserve">Recommended </w:t>
            </w:r>
            <w:r w:rsidR="00B17009">
              <w:rPr>
                <w:rFonts w:ascii="Aptos" w:eastAsia="Times New Roman" w:hAnsi="Aptos" w:cs="Times New Roman"/>
                <w:b/>
                <w:bCs/>
                <w:sz w:val="22"/>
                <w:szCs w:val="22"/>
                <w:lang w:eastAsia="en-US"/>
              </w:rPr>
              <w:t>Action</w:t>
            </w:r>
          </w:p>
        </w:tc>
      </w:tr>
      <w:tr w:rsidR="00F853B7" w:rsidRPr="00FB32F2" w14:paraId="6820FB24" w14:textId="77777777" w:rsidTr="008E2644">
        <w:trPr>
          <w:trHeight w:val="405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3F832F66" w14:textId="77777777" w:rsidR="00F853B7" w:rsidRPr="00FB32F2" w:rsidRDefault="00F853B7"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4</w:t>
            </w:r>
          </w:p>
        </w:tc>
        <w:tc>
          <w:tcPr>
            <w:tcW w:w="7535" w:type="dxa"/>
            <w:tcBorders>
              <w:top w:val="nil"/>
              <w:left w:val="nil"/>
              <w:bottom w:val="single" w:sz="4" w:space="0" w:color="auto"/>
              <w:right w:val="single" w:sz="4" w:space="0" w:color="auto"/>
            </w:tcBorders>
            <w:shd w:val="clear" w:color="auto" w:fill="auto"/>
            <w:vAlign w:val="center"/>
            <w:hideMark/>
          </w:tcPr>
          <w:p w14:paraId="26BE2869" w14:textId="77777777" w:rsidR="00F853B7" w:rsidRPr="00FB32F2" w:rsidRDefault="00F853B7"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 xml:space="preserve">Electric cooperatives, electric utility, and municipally owned utilities that operate generation resources, and power generation companies: Weather Emergency Annex ((e) (2) (A)) should be updated to include: </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 xml:space="preserve">1. Methodology, tools, and resources used for identification of extreme hot and cold weather events  </w:t>
            </w:r>
            <w:r w:rsidRPr="00FB32F2">
              <w:rPr>
                <w:rFonts w:ascii="Aptos" w:eastAsia="Times New Roman" w:hAnsi="Aptos" w:cs="Times New Roman"/>
                <w:color w:val="000000"/>
                <w:sz w:val="20"/>
                <w:szCs w:val="20"/>
                <w:lang w:eastAsia="en-US"/>
              </w:rPr>
              <w:br/>
              <w:t xml:space="preserve">2. Notification to personnel, customers, and media of impending weather event and potential impact to the electric system  </w:t>
            </w:r>
            <w:r w:rsidRPr="00FB32F2">
              <w:rPr>
                <w:rFonts w:ascii="Aptos" w:eastAsia="Times New Roman" w:hAnsi="Aptos" w:cs="Times New Roman"/>
                <w:color w:val="000000"/>
                <w:sz w:val="20"/>
                <w:szCs w:val="20"/>
                <w:lang w:eastAsia="en-US"/>
              </w:rPr>
              <w:br/>
              <w:t xml:space="preserve">3. Incorporate checklists required in 16 TAC § 25.55 as part of the EOP submission (to bolster overview of preparedness within a single filing/single source)  </w:t>
            </w:r>
            <w:r w:rsidRPr="00FB32F2">
              <w:rPr>
                <w:rFonts w:ascii="Aptos" w:eastAsia="Times New Roman" w:hAnsi="Aptos" w:cs="Times New Roman"/>
                <w:color w:val="000000"/>
                <w:sz w:val="20"/>
                <w:szCs w:val="20"/>
                <w:lang w:eastAsia="en-US"/>
              </w:rPr>
              <w:br/>
              <w:t xml:space="preserve">4. Require entities to include all their applicable processes and procedures related to weather event preparation and response, instead of allowing a reference to internal processes and procedures in the submittals  </w:t>
            </w:r>
            <w:r w:rsidRPr="00FB32F2">
              <w:rPr>
                <w:rFonts w:ascii="Aptos" w:eastAsia="Times New Roman" w:hAnsi="Aptos" w:cs="Times New Roman"/>
                <w:color w:val="000000"/>
                <w:sz w:val="20"/>
                <w:szCs w:val="20"/>
                <w:lang w:eastAsia="en-US"/>
              </w:rPr>
              <w:br/>
              <w:t xml:space="preserve">5. Spare equipment strategy to quickly replace equipment and restore infrastructure to normal operating condition  </w:t>
            </w:r>
          </w:p>
        </w:tc>
      </w:tr>
      <w:tr w:rsidR="00F853B7" w:rsidRPr="00FB32F2" w14:paraId="4756033C" w14:textId="77777777" w:rsidTr="008E2644">
        <w:trPr>
          <w:trHeight w:val="243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544F7A5B" w14:textId="77777777" w:rsidR="00F853B7" w:rsidRPr="00FB32F2" w:rsidRDefault="00F853B7"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5</w:t>
            </w:r>
          </w:p>
        </w:tc>
        <w:tc>
          <w:tcPr>
            <w:tcW w:w="7535" w:type="dxa"/>
            <w:tcBorders>
              <w:top w:val="nil"/>
              <w:left w:val="nil"/>
              <w:bottom w:val="single" w:sz="4" w:space="0" w:color="auto"/>
              <w:right w:val="single" w:sz="4" w:space="0" w:color="auto"/>
            </w:tcBorders>
            <w:shd w:val="clear" w:color="auto" w:fill="auto"/>
            <w:vAlign w:val="center"/>
            <w:hideMark/>
          </w:tcPr>
          <w:p w14:paraId="0815CC94" w14:textId="77777777" w:rsidR="00F853B7" w:rsidRPr="00FB32F2" w:rsidRDefault="00F853B7"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 xml:space="preserve">Electric cooperatives, electric utility, and municipally owned utilities that operate generation resources, and power generation companies: Hurricane Annex ((e) (2) (E)) should include: </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 xml:space="preserve">1. Steps taken to identify hurricanes and provide advance notification to personnel, applicable stakeholders, reliability entities, and media, specific to hurricane dangers and impact to operations  </w:t>
            </w:r>
            <w:r w:rsidRPr="00FB32F2">
              <w:rPr>
                <w:rFonts w:ascii="Aptos" w:eastAsia="Times New Roman" w:hAnsi="Aptos" w:cs="Times New Roman"/>
                <w:color w:val="000000"/>
                <w:sz w:val="20"/>
                <w:szCs w:val="20"/>
                <w:lang w:eastAsia="en-US"/>
              </w:rPr>
              <w:br/>
              <w:t xml:space="preserve">2. Management of personnel to respond to hurricanes  </w:t>
            </w:r>
            <w:r w:rsidRPr="00FB32F2">
              <w:rPr>
                <w:rFonts w:ascii="Aptos" w:eastAsia="Times New Roman" w:hAnsi="Aptos" w:cs="Times New Roman"/>
                <w:color w:val="000000"/>
                <w:sz w:val="20"/>
                <w:szCs w:val="20"/>
                <w:lang w:eastAsia="en-US"/>
              </w:rPr>
              <w:br/>
              <w:t xml:space="preserve">3. Spare equipment strategy to quickly replace equipment and restore infrastructure to normal operating condition </w:t>
            </w:r>
          </w:p>
        </w:tc>
      </w:tr>
      <w:tr w:rsidR="00F853B7" w:rsidRPr="00FB32F2" w14:paraId="12A6AE09" w14:textId="77777777" w:rsidTr="008E2644">
        <w:trPr>
          <w:trHeight w:val="135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49C6FAD9" w14:textId="77777777" w:rsidR="00F853B7" w:rsidRPr="00FB32F2" w:rsidRDefault="00F853B7"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6</w:t>
            </w:r>
          </w:p>
        </w:tc>
        <w:tc>
          <w:tcPr>
            <w:tcW w:w="7535" w:type="dxa"/>
            <w:tcBorders>
              <w:top w:val="nil"/>
              <w:left w:val="nil"/>
              <w:bottom w:val="single" w:sz="4" w:space="0" w:color="auto"/>
              <w:right w:val="single" w:sz="4" w:space="0" w:color="auto"/>
            </w:tcBorders>
            <w:shd w:val="clear" w:color="auto" w:fill="auto"/>
            <w:vAlign w:val="center"/>
            <w:hideMark/>
          </w:tcPr>
          <w:p w14:paraId="71923FCE" w14:textId="77777777" w:rsidR="00F853B7" w:rsidRPr="00FB32F2" w:rsidRDefault="00F853B7" w:rsidP="003C08D5">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 xml:space="preserve">Retail electric providers: Hurricane Annex ((e) (3) (B)) </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 xml:space="preserve">1. Steps taken to identify hurricanes and provide advance notification to personnel, applicable stakeholders, reliability entities, and media, specific to hurricane dangers and impact to operations </w:t>
            </w:r>
          </w:p>
        </w:tc>
      </w:tr>
      <w:tr w:rsidR="00F853B7" w:rsidRPr="00FB32F2" w14:paraId="70AD2FA7" w14:textId="77777777" w:rsidTr="008E2644">
        <w:trPr>
          <w:trHeight w:val="1890"/>
        </w:trPr>
        <w:tc>
          <w:tcPr>
            <w:tcW w:w="2065" w:type="dxa"/>
            <w:tcBorders>
              <w:top w:val="nil"/>
              <w:left w:val="single" w:sz="4" w:space="0" w:color="auto"/>
              <w:bottom w:val="single" w:sz="4" w:space="0" w:color="auto"/>
              <w:right w:val="single" w:sz="4" w:space="0" w:color="auto"/>
            </w:tcBorders>
            <w:shd w:val="clear" w:color="auto" w:fill="auto"/>
            <w:vAlign w:val="center"/>
            <w:hideMark/>
          </w:tcPr>
          <w:p w14:paraId="1F6F4DD6" w14:textId="77777777" w:rsidR="00F853B7" w:rsidRPr="00FB32F2" w:rsidRDefault="00F853B7"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7</w:t>
            </w:r>
          </w:p>
        </w:tc>
        <w:tc>
          <w:tcPr>
            <w:tcW w:w="7535" w:type="dxa"/>
            <w:tcBorders>
              <w:top w:val="nil"/>
              <w:left w:val="nil"/>
              <w:bottom w:val="single" w:sz="4" w:space="0" w:color="auto"/>
              <w:right w:val="single" w:sz="4" w:space="0" w:color="auto"/>
            </w:tcBorders>
            <w:shd w:val="clear" w:color="auto" w:fill="auto"/>
            <w:vAlign w:val="center"/>
            <w:hideMark/>
          </w:tcPr>
          <w:p w14:paraId="0C09D7EC" w14:textId="0DB8291F" w:rsidR="00F853B7" w:rsidRPr="00FB32F2" w:rsidRDefault="00F853B7" w:rsidP="003C08D5">
            <w:pPr>
              <w:spacing w:after="0" w:line="240" w:lineRule="auto"/>
              <w:rPr>
                <w:rFonts w:ascii="Aptos" w:eastAsia="Times New Roman" w:hAnsi="Aptos" w:cs="Times New Roman"/>
                <w:color w:val="000000"/>
                <w:sz w:val="20"/>
                <w:szCs w:val="20"/>
                <w:lang w:eastAsia="en-US"/>
              </w:rPr>
            </w:pPr>
            <w:r w:rsidRPr="03632CA8">
              <w:rPr>
                <w:rFonts w:ascii="Aptos" w:eastAsia="Times New Roman" w:hAnsi="Aptos" w:cs="Times New Roman"/>
                <w:color w:val="000000" w:themeColor="text1"/>
                <w:sz w:val="20"/>
                <w:szCs w:val="20"/>
                <w:lang w:eastAsia="en-US"/>
              </w:rPr>
              <w:t xml:space="preserve">Add a requirement to 16 TAC § 25.53 for a Flooding annex to EOP </w:t>
            </w:r>
            <w:r w:rsidR="70173E8C" w:rsidRPr="03632CA8">
              <w:rPr>
                <w:rFonts w:ascii="Aptos" w:eastAsia="Times New Roman" w:hAnsi="Aptos" w:cs="Times New Roman"/>
                <w:color w:val="000000" w:themeColor="text1"/>
                <w:sz w:val="20"/>
                <w:szCs w:val="20"/>
                <w:lang w:eastAsia="en-US"/>
              </w:rPr>
              <w:t>filing</w:t>
            </w:r>
            <w:r w:rsidRPr="03632CA8">
              <w:rPr>
                <w:rFonts w:ascii="Aptos" w:eastAsia="Times New Roman" w:hAnsi="Aptos" w:cs="Times New Roman"/>
                <w:color w:val="000000" w:themeColor="text1"/>
                <w:sz w:val="20"/>
                <w:szCs w:val="20"/>
                <w:lang w:eastAsia="en-US"/>
              </w:rPr>
              <w:t xml:space="preserve">s. Ex: </w:t>
            </w:r>
            <w:r>
              <w:br/>
            </w:r>
            <w:r>
              <w:br/>
            </w:r>
            <w:r w:rsidRPr="03632CA8">
              <w:rPr>
                <w:rFonts w:ascii="Aptos" w:eastAsia="Times New Roman" w:hAnsi="Aptos" w:cs="Times New Roman"/>
                <w:color w:val="000000" w:themeColor="text1"/>
                <w:sz w:val="20"/>
                <w:szCs w:val="20"/>
                <w:lang w:eastAsia="en-US"/>
              </w:rPr>
              <w:t xml:space="preserve">a. Methodology used to identify flood plains and high-risk flood areas within an entity’s system  </w:t>
            </w:r>
            <w:r>
              <w:br/>
            </w:r>
            <w:r w:rsidRPr="03632CA8">
              <w:rPr>
                <w:rFonts w:ascii="Aptos" w:eastAsia="Times New Roman" w:hAnsi="Aptos" w:cs="Times New Roman"/>
                <w:color w:val="000000" w:themeColor="text1"/>
                <w:sz w:val="20"/>
                <w:szCs w:val="20"/>
                <w:lang w:eastAsia="en-US"/>
              </w:rPr>
              <w:t xml:space="preserve">b. List of flood plains and high-risk flood areas within an entity’s system  </w:t>
            </w:r>
            <w:r>
              <w:br/>
            </w:r>
            <w:r w:rsidRPr="03632CA8">
              <w:rPr>
                <w:rFonts w:ascii="Aptos" w:eastAsia="Times New Roman" w:hAnsi="Aptos" w:cs="Times New Roman"/>
                <w:color w:val="000000" w:themeColor="text1"/>
                <w:sz w:val="20"/>
                <w:szCs w:val="20"/>
                <w:lang w:eastAsia="en-US"/>
              </w:rPr>
              <w:t xml:space="preserve">c. Processes used to identify and prepare for potential flooding events  </w:t>
            </w:r>
            <w:r>
              <w:br/>
            </w:r>
            <w:r w:rsidRPr="03632CA8">
              <w:rPr>
                <w:rFonts w:ascii="Aptos" w:eastAsia="Times New Roman" w:hAnsi="Aptos" w:cs="Times New Roman"/>
                <w:color w:val="000000" w:themeColor="text1"/>
                <w:sz w:val="20"/>
                <w:szCs w:val="20"/>
                <w:lang w:eastAsia="en-US"/>
              </w:rPr>
              <w:t>d. Equipment needed in a flood event</w:t>
            </w:r>
          </w:p>
        </w:tc>
      </w:tr>
    </w:tbl>
    <w:p w14:paraId="1DCCB169" w14:textId="77777777" w:rsidR="00F853B7" w:rsidRDefault="00F853B7" w:rsidP="0026458F">
      <w:pPr>
        <w:spacing w:after="0" w:line="240" w:lineRule="auto"/>
        <w:jc w:val="both"/>
        <w:rPr>
          <w:rFonts w:ascii="Aptos" w:eastAsia="Calibri" w:hAnsi="Aptos" w:cs="Times New Roman"/>
          <w:kern w:val="2"/>
          <w:sz w:val="22"/>
          <w:szCs w:val="22"/>
          <w:lang w:eastAsia="en-US"/>
          <w14:ligatures w14:val="standardContextual"/>
        </w:rPr>
      </w:pPr>
    </w:p>
    <w:p w14:paraId="5C875379" w14:textId="77777777" w:rsidR="00F853B7" w:rsidRPr="00FB32F2" w:rsidRDefault="00F853B7" w:rsidP="0026458F">
      <w:pPr>
        <w:spacing w:after="0" w:line="240" w:lineRule="auto"/>
        <w:jc w:val="both"/>
        <w:rPr>
          <w:rFonts w:ascii="Aptos" w:eastAsia="Calibri" w:hAnsi="Aptos" w:cs="Times New Roman"/>
          <w:kern w:val="2"/>
          <w:sz w:val="22"/>
          <w:szCs w:val="22"/>
          <w:lang w:eastAsia="en-US"/>
          <w14:ligatures w14:val="standardContextual"/>
        </w:rPr>
      </w:pPr>
    </w:p>
    <w:p w14:paraId="6BFE1611" w14:textId="77777777" w:rsidR="00FB32F2" w:rsidRPr="00FB32F2" w:rsidRDefault="00FB32F2" w:rsidP="0026458F">
      <w:pPr>
        <w:spacing w:line="259" w:lineRule="auto"/>
        <w:jc w:val="both"/>
        <w:rPr>
          <w:rFonts w:ascii="Aptos" w:eastAsia="Calibri" w:hAnsi="Aptos" w:cs="Times New Roman"/>
          <w:kern w:val="2"/>
          <w:sz w:val="22"/>
          <w:szCs w:val="22"/>
          <w:lang w:eastAsia="en-US"/>
          <w14:ligatures w14:val="standardContextual"/>
        </w:rPr>
      </w:pPr>
      <w:r w:rsidRPr="00FB32F2">
        <w:rPr>
          <w:rFonts w:ascii="Aptos" w:eastAsia="Calibri" w:hAnsi="Aptos" w:cs="Times New Roman"/>
          <w:kern w:val="2"/>
          <w:sz w:val="22"/>
          <w:szCs w:val="22"/>
          <w:lang w:eastAsia="en-US"/>
          <w14:ligatures w14:val="standardContextual"/>
        </w:rPr>
        <w:br w:type="page"/>
      </w:r>
    </w:p>
    <w:tbl>
      <w:tblPr>
        <w:tblW w:w="9600" w:type="dxa"/>
        <w:tblLook w:val="04A0" w:firstRow="1" w:lastRow="0" w:firstColumn="1" w:lastColumn="0" w:noHBand="0" w:noVBand="1"/>
      </w:tblPr>
      <w:tblGrid>
        <w:gridCol w:w="2155"/>
        <w:gridCol w:w="7445"/>
      </w:tblGrid>
      <w:tr w:rsidR="00FB32F2" w:rsidRPr="00FB32F2" w14:paraId="0535EBCE" w14:textId="77777777" w:rsidTr="03632CA8">
        <w:trPr>
          <w:trHeight w:val="315"/>
        </w:trPr>
        <w:tc>
          <w:tcPr>
            <w:tcW w:w="9600" w:type="dxa"/>
            <w:gridSpan w:val="2"/>
            <w:tcBorders>
              <w:top w:val="single" w:sz="4" w:space="0" w:color="auto"/>
              <w:left w:val="single" w:sz="4" w:space="0" w:color="auto"/>
              <w:bottom w:val="single" w:sz="4" w:space="0" w:color="auto"/>
              <w:right w:val="single" w:sz="4" w:space="0" w:color="auto"/>
            </w:tcBorders>
            <w:shd w:val="clear" w:color="auto" w:fill="215C98"/>
            <w:noWrap/>
            <w:vAlign w:val="center"/>
            <w:hideMark/>
          </w:tcPr>
          <w:p w14:paraId="0DA16F42" w14:textId="3D439BC5" w:rsidR="00FB32F2" w:rsidRPr="00FB32F2" w:rsidRDefault="00FB32F2" w:rsidP="003C08D5">
            <w:pPr>
              <w:spacing w:after="0" w:line="240" w:lineRule="auto"/>
              <w:jc w:val="center"/>
              <w:rPr>
                <w:rFonts w:ascii="Aptos" w:eastAsia="Times New Roman" w:hAnsi="Aptos" w:cs="Times New Roman"/>
                <w:b/>
                <w:bCs/>
                <w:color w:val="FFFFFF"/>
                <w:lang w:eastAsia="en-US"/>
              </w:rPr>
            </w:pPr>
            <w:r w:rsidRPr="00FB32F2">
              <w:rPr>
                <w:rFonts w:ascii="Aptos" w:eastAsia="Times New Roman" w:hAnsi="Aptos" w:cs="Times New Roman"/>
                <w:b/>
                <w:bCs/>
                <w:color w:val="FFFFFF"/>
                <w:lang w:eastAsia="en-US"/>
              </w:rPr>
              <w:lastRenderedPageBreak/>
              <w:t>25.53(e) Continued</w:t>
            </w:r>
          </w:p>
        </w:tc>
      </w:tr>
      <w:tr w:rsidR="00FB32F2" w:rsidRPr="00FB32F2" w14:paraId="785F1383" w14:textId="77777777" w:rsidTr="03632CA8">
        <w:trPr>
          <w:trHeight w:val="300"/>
        </w:trPr>
        <w:tc>
          <w:tcPr>
            <w:tcW w:w="2155" w:type="dxa"/>
            <w:tcBorders>
              <w:top w:val="nil"/>
              <w:left w:val="single" w:sz="4" w:space="0" w:color="auto"/>
              <w:bottom w:val="single" w:sz="4" w:space="0" w:color="auto"/>
              <w:right w:val="single" w:sz="4" w:space="0" w:color="auto"/>
            </w:tcBorders>
            <w:shd w:val="clear" w:color="auto" w:fill="E8E8E8" w:themeFill="background2"/>
            <w:noWrap/>
            <w:vAlign w:val="center"/>
            <w:hideMark/>
          </w:tcPr>
          <w:p w14:paraId="00A3F37D" w14:textId="77777777" w:rsidR="00FB32F2" w:rsidRPr="00FB32F2" w:rsidRDefault="00FB32F2" w:rsidP="003C08D5">
            <w:pPr>
              <w:spacing w:after="0" w:line="240" w:lineRule="auto"/>
              <w:jc w:val="center"/>
              <w:rPr>
                <w:rFonts w:ascii="Aptos" w:eastAsia="Times New Roman" w:hAnsi="Aptos" w:cs="Times New Roman"/>
                <w:b/>
                <w:bCs/>
                <w:sz w:val="22"/>
                <w:szCs w:val="22"/>
                <w:lang w:eastAsia="en-US"/>
              </w:rPr>
            </w:pPr>
            <w:r w:rsidRPr="00FB32F2">
              <w:rPr>
                <w:rFonts w:ascii="Aptos" w:eastAsia="Times New Roman" w:hAnsi="Aptos" w:cs="Times New Roman"/>
                <w:b/>
                <w:bCs/>
                <w:sz w:val="22"/>
                <w:szCs w:val="22"/>
                <w:lang w:eastAsia="en-US"/>
              </w:rPr>
              <w:t>Identifier</w:t>
            </w:r>
          </w:p>
        </w:tc>
        <w:tc>
          <w:tcPr>
            <w:tcW w:w="7445" w:type="dxa"/>
            <w:tcBorders>
              <w:top w:val="nil"/>
              <w:left w:val="nil"/>
              <w:bottom w:val="single" w:sz="4" w:space="0" w:color="auto"/>
              <w:right w:val="single" w:sz="4" w:space="0" w:color="auto"/>
            </w:tcBorders>
            <w:shd w:val="clear" w:color="auto" w:fill="E8E8E8" w:themeFill="background2"/>
            <w:noWrap/>
            <w:vAlign w:val="center"/>
            <w:hideMark/>
          </w:tcPr>
          <w:p w14:paraId="2CC0B7FC" w14:textId="69D7C02E" w:rsidR="00FB32F2" w:rsidRPr="00FB32F2" w:rsidRDefault="00464AD9" w:rsidP="003C08D5">
            <w:pPr>
              <w:spacing w:after="0" w:line="240" w:lineRule="auto"/>
              <w:jc w:val="center"/>
              <w:rPr>
                <w:rFonts w:ascii="Aptos" w:eastAsia="Times New Roman" w:hAnsi="Aptos" w:cs="Times New Roman"/>
                <w:b/>
                <w:bCs/>
                <w:sz w:val="22"/>
                <w:szCs w:val="22"/>
                <w:lang w:eastAsia="en-US"/>
              </w:rPr>
            </w:pPr>
            <w:r>
              <w:rPr>
                <w:rFonts w:ascii="Aptos" w:eastAsia="Times New Roman" w:hAnsi="Aptos" w:cs="Times New Roman"/>
                <w:b/>
                <w:bCs/>
                <w:sz w:val="22"/>
                <w:szCs w:val="22"/>
                <w:lang w:eastAsia="en-US"/>
              </w:rPr>
              <w:t xml:space="preserve">Recommended </w:t>
            </w:r>
            <w:r w:rsidR="00B17009">
              <w:rPr>
                <w:rFonts w:ascii="Aptos" w:eastAsia="Times New Roman" w:hAnsi="Aptos" w:cs="Times New Roman"/>
                <w:b/>
                <w:bCs/>
                <w:sz w:val="22"/>
                <w:szCs w:val="22"/>
                <w:lang w:eastAsia="en-US"/>
              </w:rPr>
              <w:t>Action</w:t>
            </w:r>
          </w:p>
        </w:tc>
      </w:tr>
      <w:tr w:rsidR="00FB32F2" w:rsidRPr="00FB32F2" w14:paraId="018B7E75" w14:textId="77777777" w:rsidTr="008E2644">
        <w:trPr>
          <w:trHeight w:val="162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27C938B"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8</w:t>
            </w:r>
          </w:p>
        </w:tc>
        <w:tc>
          <w:tcPr>
            <w:tcW w:w="7445" w:type="dxa"/>
            <w:tcBorders>
              <w:top w:val="nil"/>
              <w:left w:val="nil"/>
              <w:bottom w:val="single" w:sz="4" w:space="0" w:color="auto"/>
              <w:right w:val="single" w:sz="4" w:space="0" w:color="auto"/>
            </w:tcBorders>
            <w:shd w:val="clear" w:color="auto" w:fill="auto"/>
            <w:vAlign w:val="center"/>
            <w:hideMark/>
          </w:tcPr>
          <w:p w14:paraId="303522F9" w14:textId="00DE9300"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3632CA8">
              <w:rPr>
                <w:rFonts w:ascii="Aptos" w:eastAsia="Times New Roman" w:hAnsi="Aptos" w:cs="Times New Roman"/>
                <w:color w:val="000000" w:themeColor="text1"/>
                <w:sz w:val="20"/>
                <w:szCs w:val="20"/>
                <w:lang w:eastAsia="en-US"/>
              </w:rPr>
              <w:t xml:space="preserve">Add a requirement to 16 TAC § 25.53 for a Tornado annex to EOP </w:t>
            </w:r>
            <w:r w:rsidR="5A49E126" w:rsidRPr="03632CA8">
              <w:rPr>
                <w:rFonts w:ascii="Aptos" w:eastAsia="Times New Roman" w:hAnsi="Aptos" w:cs="Times New Roman"/>
                <w:color w:val="000000" w:themeColor="text1"/>
                <w:sz w:val="20"/>
                <w:szCs w:val="20"/>
                <w:lang w:eastAsia="en-US"/>
              </w:rPr>
              <w:t>filing</w:t>
            </w:r>
            <w:r w:rsidRPr="03632CA8">
              <w:rPr>
                <w:rFonts w:ascii="Aptos" w:eastAsia="Times New Roman" w:hAnsi="Aptos" w:cs="Times New Roman"/>
                <w:color w:val="000000" w:themeColor="text1"/>
                <w:sz w:val="20"/>
                <w:szCs w:val="20"/>
                <w:lang w:eastAsia="en-US"/>
              </w:rPr>
              <w:t xml:space="preserve">s. Ex: </w:t>
            </w:r>
            <w:r>
              <w:br/>
            </w:r>
            <w:r>
              <w:br/>
            </w:r>
            <w:r w:rsidRPr="03632CA8">
              <w:rPr>
                <w:rFonts w:ascii="Aptos" w:eastAsia="Times New Roman" w:hAnsi="Aptos" w:cs="Times New Roman"/>
                <w:color w:val="000000" w:themeColor="text1"/>
                <w:sz w:val="20"/>
                <w:szCs w:val="20"/>
                <w:lang w:eastAsia="en-US"/>
              </w:rPr>
              <w:t xml:space="preserve">a. Tools, processes, and resources used for identification of tornado risks within service territories and/or facility locations  </w:t>
            </w:r>
            <w:r>
              <w:br/>
            </w:r>
            <w:r w:rsidRPr="03632CA8">
              <w:rPr>
                <w:rFonts w:ascii="Aptos" w:eastAsia="Times New Roman" w:hAnsi="Aptos" w:cs="Times New Roman"/>
                <w:color w:val="000000" w:themeColor="text1"/>
                <w:sz w:val="20"/>
                <w:szCs w:val="20"/>
                <w:lang w:eastAsia="en-US"/>
              </w:rPr>
              <w:t xml:space="preserve">b. Communication plan with organizational personnel, critical customers, regulatory bodies, and local media in the event of a tornado watch, tornado warning, and tornado damage  </w:t>
            </w:r>
          </w:p>
        </w:tc>
      </w:tr>
      <w:tr w:rsidR="00FB32F2" w:rsidRPr="00FB32F2" w14:paraId="76A5CCBB" w14:textId="77777777" w:rsidTr="008E2644">
        <w:trPr>
          <w:trHeight w:val="243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F7EF35E"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9</w:t>
            </w:r>
          </w:p>
        </w:tc>
        <w:tc>
          <w:tcPr>
            <w:tcW w:w="7445" w:type="dxa"/>
            <w:tcBorders>
              <w:top w:val="nil"/>
              <w:left w:val="nil"/>
              <w:bottom w:val="single" w:sz="4" w:space="0" w:color="auto"/>
              <w:right w:val="single" w:sz="4" w:space="0" w:color="auto"/>
            </w:tcBorders>
            <w:shd w:val="clear" w:color="auto" w:fill="auto"/>
            <w:vAlign w:val="center"/>
            <w:hideMark/>
          </w:tcPr>
          <w:p w14:paraId="1228320D" w14:textId="77777777" w:rsidR="00C92D5B" w:rsidRDefault="00FB32F2" w:rsidP="00EB7143">
            <w:pPr>
              <w:spacing w:after="0" w:line="240" w:lineRule="auto"/>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Enhance the existing requirements for drills. Ex:</w:t>
            </w:r>
            <w:r w:rsidRPr="00FB32F2">
              <w:rPr>
                <w:rFonts w:ascii="Aptos" w:eastAsia="Times New Roman" w:hAnsi="Aptos" w:cs="Times New Roman"/>
                <w:color w:val="000000"/>
                <w:sz w:val="20"/>
                <w:szCs w:val="20"/>
                <w:lang w:eastAsia="en-US"/>
              </w:rPr>
              <w:br/>
            </w:r>
            <w:r w:rsidRPr="00FB32F2">
              <w:rPr>
                <w:rFonts w:ascii="Aptos" w:eastAsia="Times New Roman" w:hAnsi="Aptos" w:cs="Times New Roman"/>
                <w:color w:val="000000"/>
                <w:sz w:val="20"/>
                <w:szCs w:val="20"/>
                <w:lang w:eastAsia="en-US"/>
              </w:rPr>
              <w:br/>
              <w:t>a. Overview of the drill performed</w:t>
            </w:r>
            <w:r w:rsidRPr="00FB32F2">
              <w:rPr>
                <w:rFonts w:ascii="Aptos" w:eastAsia="Times New Roman" w:hAnsi="Aptos" w:cs="Times New Roman"/>
                <w:color w:val="000000"/>
                <w:sz w:val="20"/>
                <w:szCs w:val="20"/>
                <w:lang w:eastAsia="en-US"/>
              </w:rPr>
              <w:br/>
              <w:t xml:space="preserve">      </w:t>
            </w:r>
            <w:proofErr w:type="spellStart"/>
            <w:r w:rsidRPr="00FB32F2">
              <w:rPr>
                <w:rFonts w:ascii="Aptos" w:eastAsia="Times New Roman" w:hAnsi="Aptos" w:cs="Times New Roman"/>
                <w:color w:val="000000"/>
                <w:sz w:val="20"/>
                <w:szCs w:val="20"/>
                <w:lang w:eastAsia="en-US"/>
              </w:rPr>
              <w:t>i</w:t>
            </w:r>
            <w:proofErr w:type="spellEnd"/>
            <w:r w:rsidRPr="00FB32F2">
              <w:rPr>
                <w:rFonts w:ascii="Aptos" w:eastAsia="Times New Roman" w:hAnsi="Aptos" w:cs="Times New Roman"/>
                <w:color w:val="000000"/>
                <w:sz w:val="20"/>
                <w:szCs w:val="20"/>
                <w:lang w:eastAsia="en-US"/>
              </w:rPr>
              <w:t xml:space="preserve">. Scenario of the drill – Hurricane, cold weather event, load shedding, etc.  </w:t>
            </w:r>
            <w:r w:rsidRPr="00FB32F2">
              <w:rPr>
                <w:rFonts w:ascii="Aptos" w:eastAsia="Times New Roman" w:hAnsi="Aptos" w:cs="Times New Roman"/>
                <w:color w:val="000000"/>
                <w:sz w:val="20"/>
                <w:szCs w:val="20"/>
                <w:lang w:eastAsia="en-US"/>
              </w:rPr>
              <w:br/>
              <w:t xml:space="preserve">      ii. Type of drill - table top, simulation, or activation of the EOP during an</w:t>
            </w:r>
          </w:p>
          <w:p w14:paraId="244B4514" w14:textId="0A62BE63" w:rsidR="00FB32F2" w:rsidRPr="00FB32F2" w:rsidRDefault="00C92D5B" w:rsidP="00EB7143">
            <w:pPr>
              <w:spacing w:after="0" w:line="240" w:lineRule="auto"/>
              <w:rPr>
                <w:rFonts w:ascii="Aptos" w:eastAsia="Times New Roman" w:hAnsi="Aptos" w:cs="Times New Roman"/>
                <w:color w:val="000000"/>
                <w:sz w:val="20"/>
                <w:szCs w:val="20"/>
                <w:lang w:eastAsia="en-US"/>
              </w:rPr>
            </w:pPr>
            <w:r>
              <w:rPr>
                <w:rFonts w:ascii="Aptos" w:eastAsia="Times New Roman" w:hAnsi="Aptos" w:cs="Times New Roman"/>
                <w:color w:val="000000"/>
                <w:sz w:val="20"/>
                <w:szCs w:val="20"/>
                <w:lang w:eastAsia="en-US"/>
              </w:rPr>
              <w:t xml:space="preserve">           </w:t>
            </w:r>
            <w:proofErr w:type="gramStart"/>
            <w:r>
              <w:rPr>
                <w:rFonts w:ascii="Aptos" w:eastAsia="Times New Roman" w:hAnsi="Aptos" w:cs="Times New Roman"/>
                <w:color w:val="000000"/>
                <w:sz w:val="20"/>
                <w:szCs w:val="20"/>
                <w:lang w:eastAsia="en-US"/>
              </w:rPr>
              <w:t>emergency situation</w:t>
            </w:r>
            <w:proofErr w:type="gramEnd"/>
            <w:r w:rsidR="00FB32F2" w:rsidRPr="00FB32F2">
              <w:rPr>
                <w:rFonts w:ascii="Aptos" w:eastAsia="Times New Roman" w:hAnsi="Aptos" w:cs="Times New Roman"/>
                <w:color w:val="000000"/>
                <w:sz w:val="20"/>
                <w:szCs w:val="20"/>
                <w:lang w:eastAsia="en-US"/>
              </w:rPr>
              <w:br/>
              <w:t xml:space="preserve">b. Roster of all personnel involved (including name and title) </w:t>
            </w:r>
            <w:r w:rsidR="00FB32F2" w:rsidRPr="00FB32F2">
              <w:rPr>
                <w:rFonts w:ascii="Aptos" w:eastAsia="Times New Roman" w:hAnsi="Aptos" w:cs="Times New Roman"/>
                <w:color w:val="000000"/>
                <w:sz w:val="20"/>
                <w:szCs w:val="20"/>
                <w:lang w:eastAsia="en-US"/>
              </w:rPr>
              <w:br/>
              <w:t xml:space="preserve">c. Attendance log (with employee signatures) for personnel involved in the drill </w:t>
            </w:r>
            <w:r w:rsidR="00FB32F2" w:rsidRPr="00FB32F2">
              <w:rPr>
                <w:rFonts w:ascii="Aptos" w:eastAsia="Times New Roman" w:hAnsi="Aptos" w:cs="Times New Roman"/>
                <w:color w:val="000000"/>
                <w:sz w:val="20"/>
                <w:szCs w:val="20"/>
                <w:lang w:eastAsia="en-US"/>
              </w:rPr>
              <w:br/>
              <w:t>d. Agenda and operations logs for the drill</w:t>
            </w:r>
            <w:r w:rsidR="00FB32F2" w:rsidRPr="00FB32F2">
              <w:rPr>
                <w:rFonts w:ascii="Aptos" w:eastAsia="Times New Roman" w:hAnsi="Aptos" w:cs="Times New Roman"/>
                <w:color w:val="000000"/>
                <w:sz w:val="20"/>
                <w:szCs w:val="20"/>
                <w:lang w:eastAsia="en-US"/>
              </w:rPr>
              <w:br/>
              <w:t>e. Assessment of drill to evaluate effectiveness and identify any enhancements to the EOP</w:t>
            </w:r>
          </w:p>
        </w:tc>
      </w:tr>
      <w:tr w:rsidR="00FB32F2" w:rsidRPr="00FB32F2" w14:paraId="71BBD662" w14:textId="77777777" w:rsidTr="008E2644">
        <w:trPr>
          <w:trHeight w:val="27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1AC122D"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10</w:t>
            </w:r>
          </w:p>
        </w:tc>
        <w:tc>
          <w:tcPr>
            <w:tcW w:w="7445" w:type="dxa"/>
            <w:tcBorders>
              <w:top w:val="nil"/>
              <w:left w:val="nil"/>
              <w:bottom w:val="single" w:sz="4" w:space="0" w:color="auto"/>
              <w:right w:val="single" w:sz="4" w:space="0" w:color="auto"/>
            </w:tcBorders>
            <w:shd w:val="clear" w:color="auto" w:fill="auto"/>
            <w:vAlign w:val="center"/>
            <w:hideMark/>
          </w:tcPr>
          <w:p w14:paraId="51422615" w14:textId="13E81141"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3632CA8">
              <w:rPr>
                <w:rFonts w:ascii="Aptos" w:eastAsia="Times New Roman" w:hAnsi="Aptos" w:cs="Times New Roman"/>
                <w:color w:val="000000" w:themeColor="text1"/>
                <w:sz w:val="20"/>
                <w:szCs w:val="20"/>
                <w:lang w:eastAsia="en-US"/>
              </w:rPr>
              <w:t xml:space="preserve">Requiring all annexes be </w:t>
            </w:r>
            <w:r w:rsidR="461DB4D3" w:rsidRPr="03632CA8">
              <w:rPr>
                <w:rFonts w:ascii="Aptos" w:eastAsia="Times New Roman" w:hAnsi="Aptos" w:cs="Times New Roman"/>
                <w:color w:val="000000" w:themeColor="text1"/>
                <w:sz w:val="20"/>
                <w:szCs w:val="20"/>
                <w:lang w:eastAsia="en-US"/>
              </w:rPr>
              <w:t>fil</w:t>
            </w:r>
            <w:r w:rsidRPr="03632CA8">
              <w:rPr>
                <w:rFonts w:ascii="Aptos" w:eastAsia="Times New Roman" w:hAnsi="Aptos" w:cs="Times New Roman"/>
                <w:color w:val="000000" w:themeColor="text1"/>
                <w:sz w:val="20"/>
                <w:szCs w:val="20"/>
                <w:lang w:eastAsia="en-US"/>
              </w:rPr>
              <w:t>ed with EOPs.</w:t>
            </w:r>
          </w:p>
        </w:tc>
      </w:tr>
      <w:tr w:rsidR="00FB32F2" w:rsidRPr="00FB32F2" w14:paraId="49C226F2" w14:textId="77777777" w:rsidTr="008E2644">
        <w:trPr>
          <w:trHeight w:val="1080"/>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4E1C56E0" w14:textId="77777777" w:rsidR="00FB32F2" w:rsidRPr="00FB32F2" w:rsidRDefault="00FB32F2" w:rsidP="003C08D5">
            <w:pPr>
              <w:spacing w:after="0" w:line="240" w:lineRule="auto"/>
              <w:jc w:val="center"/>
              <w:rPr>
                <w:rFonts w:ascii="Aptos" w:eastAsia="Times New Roman" w:hAnsi="Aptos" w:cs="Times New Roman"/>
                <w:color w:val="000000"/>
                <w:sz w:val="20"/>
                <w:szCs w:val="20"/>
                <w:lang w:eastAsia="en-US"/>
              </w:rPr>
            </w:pPr>
            <w:r w:rsidRPr="00FB32F2">
              <w:rPr>
                <w:rFonts w:ascii="Aptos" w:eastAsia="Times New Roman" w:hAnsi="Aptos" w:cs="Times New Roman"/>
                <w:color w:val="000000"/>
                <w:sz w:val="20"/>
                <w:szCs w:val="20"/>
                <w:lang w:eastAsia="en-US"/>
              </w:rPr>
              <w:t>25.53(e) - Rec 11</w:t>
            </w:r>
          </w:p>
        </w:tc>
        <w:tc>
          <w:tcPr>
            <w:tcW w:w="7445" w:type="dxa"/>
            <w:tcBorders>
              <w:top w:val="nil"/>
              <w:left w:val="nil"/>
              <w:bottom w:val="single" w:sz="4" w:space="0" w:color="auto"/>
              <w:right w:val="single" w:sz="4" w:space="0" w:color="auto"/>
            </w:tcBorders>
            <w:shd w:val="clear" w:color="auto" w:fill="auto"/>
            <w:vAlign w:val="center"/>
            <w:hideMark/>
          </w:tcPr>
          <w:p w14:paraId="303DB128" w14:textId="2EAC28AE" w:rsidR="00FB32F2" w:rsidRPr="00FB32F2" w:rsidRDefault="00FB32F2" w:rsidP="003C08D5">
            <w:pPr>
              <w:spacing w:after="0" w:line="240" w:lineRule="auto"/>
              <w:rPr>
                <w:rFonts w:ascii="Aptos" w:eastAsia="Times New Roman" w:hAnsi="Aptos" w:cs="Times New Roman"/>
                <w:color w:val="000000"/>
                <w:sz w:val="20"/>
                <w:szCs w:val="20"/>
                <w:lang w:eastAsia="en-US"/>
              </w:rPr>
            </w:pPr>
            <w:r w:rsidRPr="03632CA8">
              <w:rPr>
                <w:rFonts w:ascii="Aptos" w:eastAsia="Times New Roman" w:hAnsi="Aptos" w:cs="Times New Roman"/>
                <w:color w:val="000000" w:themeColor="text1"/>
                <w:sz w:val="20"/>
                <w:szCs w:val="20"/>
                <w:lang w:eastAsia="en-US"/>
              </w:rPr>
              <w:t xml:space="preserve">EOP </w:t>
            </w:r>
            <w:r w:rsidR="2800EC22" w:rsidRPr="03632CA8">
              <w:rPr>
                <w:rFonts w:ascii="Aptos" w:eastAsia="Times New Roman" w:hAnsi="Aptos" w:cs="Times New Roman"/>
                <w:color w:val="000000" w:themeColor="text1"/>
                <w:sz w:val="20"/>
                <w:szCs w:val="20"/>
                <w:lang w:eastAsia="en-US"/>
              </w:rPr>
              <w:t>filing</w:t>
            </w:r>
            <w:r w:rsidRPr="03632CA8">
              <w:rPr>
                <w:rFonts w:ascii="Aptos" w:eastAsia="Times New Roman" w:hAnsi="Aptos" w:cs="Times New Roman"/>
                <w:color w:val="000000" w:themeColor="text1"/>
                <w:sz w:val="20"/>
                <w:szCs w:val="20"/>
                <w:lang w:eastAsia="en-US"/>
              </w:rPr>
              <w:t>s should be comprehensive and include all information, or an explanation as to why a required annex is not included (e.g., Entity’s facilities are not in hurricane evacuation routes as identified by TDEM)</w:t>
            </w:r>
            <w:r w:rsidR="00F91368" w:rsidRPr="03632CA8">
              <w:rPr>
                <w:rFonts w:ascii="Aptos" w:eastAsia="Times New Roman" w:hAnsi="Aptos" w:cs="Times New Roman"/>
                <w:color w:val="000000" w:themeColor="text1"/>
                <w:sz w:val="20"/>
                <w:szCs w:val="20"/>
                <w:lang w:eastAsia="en-US"/>
              </w:rPr>
              <w:t xml:space="preserve"> </w:t>
            </w:r>
            <w:r w:rsidRPr="03632CA8">
              <w:rPr>
                <w:rFonts w:ascii="Aptos" w:eastAsia="Times New Roman" w:hAnsi="Aptos" w:cs="Times New Roman"/>
                <w:color w:val="000000" w:themeColor="text1"/>
                <w:sz w:val="20"/>
                <w:szCs w:val="20"/>
                <w:lang w:eastAsia="en-US"/>
              </w:rPr>
              <w:t>(annexes specified on executive summary template)</w:t>
            </w:r>
            <w:r w:rsidR="00F91368" w:rsidRPr="03632CA8">
              <w:rPr>
                <w:rFonts w:ascii="Aptos" w:eastAsia="Times New Roman" w:hAnsi="Aptos" w:cs="Times New Roman"/>
                <w:color w:val="000000" w:themeColor="text1"/>
                <w:sz w:val="20"/>
                <w:szCs w:val="20"/>
                <w:lang w:eastAsia="en-US"/>
              </w:rPr>
              <w:t>.</w:t>
            </w:r>
          </w:p>
        </w:tc>
      </w:tr>
    </w:tbl>
    <w:p w14:paraId="385CDC78" w14:textId="77777777" w:rsidR="00FB32F2" w:rsidRDefault="00FB32F2" w:rsidP="0026458F">
      <w:pPr>
        <w:spacing w:after="0" w:line="240" w:lineRule="auto"/>
        <w:jc w:val="both"/>
        <w:rPr>
          <w:rFonts w:ascii="Aptos" w:eastAsia="Calibri" w:hAnsi="Aptos" w:cs="Times New Roman"/>
          <w:kern w:val="2"/>
          <w:sz w:val="22"/>
          <w:szCs w:val="22"/>
          <w:lang w:eastAsia="en-US"/>
          <w14:ligatures w14:val="standardContextual"/>
        </w:rPr>
      </w:pPr>
    </w:p>
    <w:p w14:paraId="0D439A9C" w14:textId="77777777" w:rsidR="00F853B7" w:rsidRPr="00FB32F2" w:rsidRDefault="00F853B7" w:rsidP="0026458F">
      <w:pPr>
        <w:spacing w:after="0" w:line="240" w:lineRule="auto"/>
        <w:jc w:val="both"/>
        <w:rPr>
          <w:rFonts w:ascii="Aptos" w:eastAsia="Calibri" w:hAnsi="Aptos" w:cs="Times New Roman"/>
          <w:kern w:val="2"/>
          <w:sz w:val="22"/>
          <w:szCs w:val="22"/>
          <w:lang w:eastAsia="en-US"/>
          <w14:ligatures w14:val="standardContextual"/>
        </w:rPr>
      </w:pPr>
    </w:p>
    <w:p w14:paraId="5D82B72B" w14:textId="77777777" w:rsidR="00FB32F2" w:rsidRPr="00FB32F2" w:rsidRDefault="00FB32F2" w:rsidP="0026458F">
      <w:pPr>
        <w:spacing w:after="0" w:line="240" w:lineRule="auto"/>
        <w:jc w:val="both"/>
        <w:rPr>
          <w:rFonts w:ascii="Aptos" w:eastAsia="Calibri" w:hAnsi="Aptos" w:cs="Times New Roman"/>
          <w:kern w:val="2"/>
          <w:sz w:val="22"/>
          <w:szCs w:val="22"/>
          <w:lang w:eastAsia="en-US"/>
          <w14:ligatures w14:val="standardContextual"/>
        </w:rPr>
        <w:sectPr w:rsidR="00FB32F2" w:rsidRPr="00FB32F2" w:rsidSect="00F1325E">
          <w:footerReference w:type="default" r:id="rId11"/>
          <w:pgSz w:w="12240" w:h="15840"/>
          <w:pgMar w:top="1440" w:right="1440" w:bottom="1440" w:left="1440" w:header="720" w:footer="288" w:gutter="0"/>
          <w:pgNumType w:start="1"/>
          <w:cols w:space="720"/>
          <w:docGrid w:linePitch="360"/>
        </w:sectPr>
      </w:pPr>
    </w:p>
    <w:p w14:paraId="7AB9C2B6" w14:textId="19F6EFBC" w:rsidR="00FB32F2" w:rsidRPr="00FB32F2" w:rsidRDefault="00FB32F2" w:rsidP="0026458F">
      <w:pPr>
        <w:keepNext/>
        <w:keepLines/>
        <w:spacing w:before="40" w:after="0" w:line="259" w:lineRule="auto"/>
        <w:jc w:val="both"/>
        <w:outlineLvl w:val="1"/>
        <w:rPr>
          <w:rFonts w:ascii="Aptos" w:eastAsia="Yu Gothic Light" w:hAnsi="Aptos" w:cs="Times New Roman"/>
          <w:b/>
          <w:color w:val="1A5798"/>
          <w:kern w:val="2"/>
          <w:szCs w:val="26"/>
          <w:lang w:eastAsia="en-US"/>
          <w14:ligatures w14:val="standardContextual"/>
        </w:rPr>
      </w:pPr>
      <w:r w:rsidRPr="00FB32F2">
        <w:rPr>
          <w:rFonts w:ascii="Aptos" w:eastAsia="Yu Gothic Light" w:hAnsi="Aptos" w:cs="Times New Roman"/>
          <w:b/>
          <w:color w:val="1A5798"/>
          <w:kern w:val="2"/>
          <w:szCs w:val="26"/>
          <w:lang w:eastAsia="en-US"/>
          <w14:ligatures w14:val="standardContextual"/>
        </w:rPr>
        <w:lastRenderedPageBreak/>
        <w:t xml:space="preserve">Filing </w:t>
      </w:r>
      <w:r w:rsidR="00F853B7">
        <w:rPr>
          <w:rFonts w:ascii="Aptos" w:eastAsia="Yu Gothic Light" w:hAnsi="Aptos" w:cs="Times New Roman"/>
          <w:b/>
          <w:color w:val="1A5798"/>
          <w:kern w:val="2"/>
          <w:szCs w:val="26"/>
          <w:lang w:eastAsia="en-US"/>
          <w14:ligatures w14:val="standardContextual"/>
        </w:rPr>
        <w:t>Entity</w:t>
      </w:r>
      <w:r w:rsidRPr="00FB32F2">
        <w:rPr>
          <w:rFonts w:ascii="Aptos" w:eastAsia="Yu Gothic Light" w:hAnsi="Aptos" w:cs="Times New Roman"/>
          <w:b/>
          <w:color w:val="1A5798"/>
          <w:kern w:val="2"/>
          <w:szCs w:val="26"/>
          <w:lang w:eastAsia="en-US"/>
          <w14:ligatures w14:val="standardContextual"/>
        </w:rPr>
        <w:t xml:space="preserve"> Comments</w:t>
      </w:r>
    </w:p>
    <w:p w14:paraId="436FB501" w14:textId="77777777" w:rsidR="00FB32F2" w:rsidRPr="00FB32F2" w:rsidRDefault="00FB32F2" w:rsidP="0026458F">
      <w:pPr>
        <w:spacing w:line="259" w:lineRule="auto"/>
        <w:jc w:val="both"/>
        <w:rPr>
          <w:rFonts w:ascii="Aptos" w:eastAsia="Calibri" w:hAnsi="Aptos" w:cs="Arial"/>
          <w:kern w:val="2"/>
          <w:sz w:val="22"/>
          <w:szCs w:val="22"/>
          <w:lang w:eastAsia="en-US"/>
          <w14:ligatures w14:val="standardContextual"/>
        </w:rPr>
      </w:pPr>
    </w:p>
    <w:tbl>
      <w:tblPr>
        <w:tblStyle w:val="TableGrid"/>
        <w:tblW w:w="0" w:type="auto"/>
        <w:tblLayout w:type="fixed"/>
        <w:tblLook w:val="04A0" w:firstRow="1" w:lastRow="0" w:firstColumn="1" w:lastColumn="0" w:noHBand="0" w:noVBand="1"/>
      </w:tblPr>
      <w:tblGrid>
        <w:gridCol w:w="2245"/>
        <w:gridCol w:w="3690"/>
        <w:gridCol w:w="7015"/>
      </w:tblGrid>
      <w:tr w:rsidR="00FB32F2" w:rsidRPr="00FB32F2" w14:paraId="5534A1C4" w14:textId="77777777" w:rsidTr="2F2EEDE3">
        <w:trPr>
          <w:trHeight w:val="539"/>
          <w:tblHeader/>
        </w:trPr>
        <w:tc>
          <w:tcPr>
            <w:tcW w:w="129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FCEFE" w14:textId="77777777" w:rsidR="00FB32F2" w:rsidRPr="00FB32F2" w:rsidRDefault="00FB32F2" w:rsidP="003C08D5">
            <w:pPr>
              <w:jc w:val="center"/>
              <w:rPr>
                <w:rFonts w:ascii="Aptos" w:hAnsi="Aptos" w:cs="Times New Roman"/>
                <w:b/>
                <w:bCs/>
              </w:rPr>
            </w:pPr>
            <w:bookmarkStart w:id="10" w:name="_Hlk194404419"/>
            <w:r w:rsidRPr="00FB32F2">
              <w:rPr>
                <w:rFonts w:ascii="Aptos" w:hAnsi="Aptos" w:cs="Times New Roman"/>
                <w:b/>
                <w:bCs/>
                <w:sz w:val="32"/>
                <w:szCs w:val="32"/>
              </w:rPr>
              <w:t>Rule Citation 25.53(c)</w:t>
            </w:r>
          </w:p>
        </w:tc>
      </w:tr>
      <w:tr w:rsidR="00FB32F2" w:rsidRPr="00FB32F2" w14:paraId="375C18EE" w14:textId="77777777" w:rsidTr="008E2644">
        <w:trPr>
          <w:trHeight w:val="539"/>
          <w:tblHeader/>
        </w:trPr>
        <w:tc>
          <w:tcPr>
            <w:tcW w:w="2245" w:type="dxa"/>
            <w:tcBorders>
              <w:top w:val="single" w:sz="4" w:space="0" w:color="auto"/>
              <w:left w:val="single" w:sz="4" w:space="0" w:color="auto"/>
              <w:bottom w:val="single" w:sz="4" w:space="0" w:color="auto"/>
              <w:right w:val="single" w:sz="4" w:space="0" w:color="auto"/>
            </w:tcBorders>
            <w:shd w:val="clear" w:color="auto" w:fill="1A5798"/>
            <w:vAlign w:val="center"/>
            <w:hideMark/>
          </w:tcPr>
          <w:p w14:paraId="5F2EBE95" w14:textId="5A6D5738" w:rsidR="00FB32F2" w:rsidRPr="00FB32F2" w:rsidRDefault="00FB32F2" w:rsidP="003436DC">
            <w:pPr>
              <w:jc w:val="center"/>
              <w:rPr>
                <w:rFonts w:ascii="Aptos" w:hAnsi="Aptos" w:cs="Times New Roman"/>
                <w:b/>
                <w:bCs/>
                <w:color w:val="FFFFFF"/>
              </w:rPr>
            </w:pPr>
            <w:bookmarkStart w:id="11" w:name="_Hlk194330037"/>
            <w:bookmarkStart w:id="12" w:name="_Hlk157500967"/>
            <w:r w:rsidRPr="2F2EEDE3">
              <w:rPr>
                <w:rFonts w:ascii="Aptos" w:hAnsi="Aptos" w:cs="Times New Roman"/>
                <w:b/>
                <w:color w:val="FFFFFF" w:themeColor="background1"/>
              </w:rPr>
              <w:t>Rule Citation</w:t>
            </w:r>
          </w:p>
        </w:tc>
        <w:tc>
          <w:tcPr>
            <w:tcW w:w="3690" w:type="dxa"/>
            <w:tcBorders>
              <w:top w:val="single" w:sz="4" w:space="0" w:color="auto"/>
              <w:left w:val="single" w:sz="4" w:space="0" w:color="auto"/>
              <w:bottom w:val="single" w:sz="4" w:space="0" w:color="auto"/>
              <w:right w:val="single" w:sz="4" w:space="0" w:color="auto"/>
            </w:tcBorders>
            <w:shd w:val="clear" w:color="auto" w:fill="1A5798"/>
            <w:vAlign w:val="center"/>
            <w:hideMark/>
          </w:tcPr>
          <w:p w14:paraId="1F5246ED" w14:textId="77A67008" w:rsidR="00FB32F2" w:rsidRPr="00FB32F2" w:rsidRDefault="00FB32F2" w:rsidP="003436DC">
            <w:pPr>
              <w:jc w:val="center"/>
              <w:rPr>
                <w:rFonts w:ascii="Aptos" w:hAnsi="Aptos" w:cs="Times New Roman"/>
                <w:b/>
                <w:bCs/>
                <w:color w:val="FFFFFF"/>
              </w:rPr>
            </w:pPr>
            <w:r w:rsidRPr="00FB32F2">
              <w:rPr>
                <w:rFonts w:ascii="Aptos" w:hAnsi="Aptos" w:cs="Times New Roman"/>
                <w:b/>
                <w:bCs/>
                <w:color w:val="FFFFFF"/>
              </w:rPr>
              <w:t>PUCT Recommend</w:t>
            </w:r>
            <w:r w:rsidR="00B17009">
              <w:rPr>
                <w:rFonts w:ascii="Aptos" w:hAnsi="Aptos" w:cs="Times New Roman"/>
                <w:b/>
                <w:bCs/>
                <w:color w:val="FFFFFF"/>
              </w:rPr>
              <w:t>ed Action</w:t>
            </w:r>
          </w:p>
        </w:tc>
        <w:tc>
          <w:tcPr>
            <w:tcW w:w="7015" w:type="dxa"/>
            <w:tcBorders>
              <w:top w:val="single" w:sz="4" w:space="0" w:color="auto"/>
              <w:left w:val="single" w:sz="4" w:space="0" w:color="auto"/>
              <w:bottom w:val="single" w:sz="4" w:space="0" w:color="auto"/>
              <w:right w:val="single" w:sz="4" w:space="0" w:color="auto"/>
            </w:tcBorders>
            <w:shd w:val="clear" w:color="auto" w:fill="1A5798"/>
            <w:vAlign w:val="center"/>
            <w:hideMark/>
          </w:tcPr>
          <w:p w14:paraId="3277C20C" w14:textId="77777777" w:rsidR="00FB32F2" w:rsidRPr="00FB32F2" w:rsidRDefault="00FB32F2" w:rsidP="003436DC">
            <w:pPr>
              <w:jc w:val="center"/>
              <w:rPr>
                <w:rFonts w:ascii="Aptos" w:hAnsi="Aptos" w:cs="Times New Roman"/>
                <w:b/>
                <w:bCs/>
                <w:color w:val="FFFFFF"/>
              </w:rPr>
            </w:pPr>
            <w:r w:rsidRPr="00FB32F2">
              <w:rPr>
                <w:rFonts w:ascii="Aptos" w:hAnsi="Aptos" w:cs="Times New Roman"/>
                <w:b/>
                <w:bCs/>
                <w:color w:val="FFFFFF"/>
              </w:rPr>
              <w:t>Filing Entity Comment</w:t>
            </w:r>
          </w:p>
        </w:tc>
      </w:tr>
      <w:sdt>
        <w:sdtPr>
          <w:rPr>
            <w:rFonts w:ascii="Aptos" w:eastAsiaTheme="minorEastAsia" w:hAnsi="Aptos" w:cs="Times New Roman"/>
            <w:b/>
            <w:bCs/>
            <w:kern w:val="0"/>
            <w:sz w:val="24"/>
            <w:szCs w:val="24"/>
            <w:lang w:eastAsia="ja-JP"/>
            <w14:ligatures w14:val="none"/>
          </w:rPr>
          <w:id w:val="-1637405417"/>
          <w15:repeatingSection/>
        </w:sdtPr>
        <w:sdtContent>
          <w:sdt>
            <w:sdtPr>
              <w:rPr>
                <w:rFonts w:ascii="Aptos" w:eastAsiaTheme="minorEastAsia" w:hAnsi="Aptos" w:cs="Times New Roman"/>
                <w:b/>
                <w:bCs/>
                <w:kern w:val="0"/>
                <w:sz w:val="24"/>
                <w:szCs w:val="24"/>
                <w:lang w:eastAsia="ja-JP"/>
                <w14:ligatures w14:val="none"/>
              </w:rPr>
              <w:id w:val="-598250459"/>
              <w:placeholder>
                <w:docPart w:val="06D77CE216204BF8B0E126150071B9A9"/>
              </w:placeholder>
              <w15:repeatingSectionItem/>
            </w:sdtPr>
            <w:sdtContent>
              <w:tr w:rsidR="00FB32F2" w:rsidRPr="00FB32F2" w14:paraId="486D828B"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3542BE" w14:textId="2733F0F2" w:rsidR="00FB32F2" w:rsidRPr="00FB32F2" w:rsidRDefault="00FB32F2" w:rsidP="003436DC">
                    <w:pPr>
                      <w:jc w:val="center"/>
                      <w:rPr>
                        <w:rFonts w:ascii="Aptos" w:hAnsi="Aptos" w:cs="Times New Roman"/>
                        <w:b/>
                        <w:bCs/>
                      </w:rPr>
                    </w:pPr>
                    <w:r w:rsidRPr="00FB32F2">
                      <w:rPr>
                        <w:rFonts w:ascii="Aptos" w:hAnsi="Aptos" w:cs="Arial"/>
                        <w:b/>
                        <w:bCs/>
                      </w:rPr>
                      <w:fldChar w:fldCharType="begin">
                        <w:ffData>
                          <w:name w:val="Dropdown1"/>
                          <w:enabled/>
                          <w:calcOnExit w:val="0"/>
                          <w:ddList>
                            <w:listEntry w:val="25.53(c)"/>
                          </w:ddList>
                        </w:ffData>
                      </w:fldChar>
                    </w:r>
                    <w:bookmarkStart w:id="13" w:name="Dropdown1"/>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bookmarkEnd w:id="13"/>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D4E5C87" w14:textId="77777777" w:rsidR="00FB32F2" w:rsidRPr="00FB32F2" w:rsidRDefault="00FB32F2" w:rsidP="003436DC">
                    <w:pPr>
                      <w:jc w:val="center"/>
                      <w:rPr>
                        <w:rFonts w:ascii="Aptos" w:hAnsi="Aptos" w:cs="Times New Roman"/>
                        <w:b/>
                        <w:bCs/>
                      </w:rPr>
                    </w:pPr>
                    <w:r w:rsidRPr="00FB32F2">
                      <w:rPr>
                        <w:rFonts w:ascii="Aptos" w:hAnsi="Aptos" w:cs="Arial"/>
                        <w:b/>
                        <w:bCs/>
                      </w:rPr>
                      <w:fldChar w:fldCharType="begin">
                        <w:ffData>
                          <w:name w:val="Dropdown2"/>
                          <w:enabled/>
                          <w:calcOnExit w:val="0"/>
                          <w:ddList>
                            <w:listEntry w:val="25.53(c) - Rec 1"/>
                            <w:listEntry w:val="25.53(c) - Rec 2"/>
                            <w:listEntry w:val="25.53(c) - Rec 3"/>
                            <w:listEntry w:val="25.53(c) - Rec 4"/>
                            <w:listEntry w:val="25.53(c) - Rec 5"/>
                            <w:listEntry w:val="25.53(c) - Rec 6"/>
                          </w:ddList>
                        </w:ffData>
                      </w:fldChar>
                    </w:r>
                    <w:bookmarkStart w:id="14" w:name="Dropdown2"/>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bookmarkEnd w:id="14"/>
                  </w:p>
                </w:tc>
                <w:sdt>
                  <w:sdtPr>
                    <w:rPr>
                      <w:rFonts w:ascii="Aptos" w:hAnsi="Aptos" w:cs="Arial"/>
                      <w:b/>
                      <w:bCs/>
                    </w:rPr>
                    <w:alias w:val="Enter the Filing Entity Comment"/>
                    <w:tag w:val="Enter the Filing Entity Comment"/>
                    <w:id w:val="935411253"/>
                    <w:placeholder>
                      <w:docPart w:val="CF5F65285D3841ECB844FE69E04236F1"/>
                    </w:placeholder>
                  </w:sdtPr>
                  <w:sdtContent>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4050EE" w14:textId="16FC7479" w:rsidR="00FB32F2" w:rsidRPr="00FB32F2" w:rsidRDefault="00701F91" w:rsidP="0026458F">
                        <w:pPr>
                          <w:jc w:val="both"/>
                          <w:rPr>
                            <w:rFonts w:ascii="Aptos" w:hAnsi="Aptos" w:cs="Arial"/>
                            <w:b/>
                            <w:bCs/>
                          </w:rPr>
                        </w:pPr>
                        <w:r>
                          <w:t xml:space="preserve">OPPOSE – this is duplicative, unnecessary and onerous. </w:t>
                        </w:r>
                        <w:r w:rsidR="004705FF">
                          <w:t xml:space="preserve">EOP filings already require that each entity associated with the filing </w:t>
                        </w:r>
                        <w:r w:rsidR="00FE1A43">
                          <w:t xml:space="preserve">company be identified along with the EOP components that relate to each entity. </w:t>
                        </w:r>
                        <w:r w:rsidR="00365558">
                          <w:t>Ther</w:t>
                        </w:r>
                        <w:r w:rsidR="002875A5">
                          <w:t>e</w:t>
                        </w:r>
                        <w:r w:rsidR="00365558">
                          <w:t xml:space="preserve"> is no</w:t>
                        </w:r>
                        <w:r w:rsidR="002875A5">
                          <w:t xml:space="preserve"> apparent</w:t>
                        </w:r>
                        <w:r w:rsidR="00365558">
                          <w:t xml:space="preserve"> benefit to separate </w:t>
                        </w:r>
                        <w:proofErr w:type="gramStart"/>
                        <w:r w:rsidR="00365558">
                          <w:t>filings</w:t>
                        </w:r>
                        <w:r w:rsidR="002875A5">
                          <w:t>,</w:t>
                        </w:r>
                        <w:r w:rsidR="006C471F">
                          <w:t xml:space="preserve"> </w:t>
                        </w:r>
                        <w:r w:rsidR="00365558">
                          <w:t>but</w:t>
                        </w:r>
                        <w:proofErr w:type="gramEnd"/>
                        <w:r w:rsidR="002875A5">
                          <w:t xml:space="preserve"> imposing that requirement would</w:t>
                        </w:r>
                        <w:r w:rsidR="00365558">
                          <w:t xml:space="preserve"> be time-consuming </w:t>
                        </w:r>
                        <w:r w:rsidR="002875A5">
                          <w:t>and</w:t>
                        </w:r>
                        <w:r w:rsidR="00365558">
                          <w:t xml:space="preserve"> burdensome.</w:t>
                        </w:r>
                      </w:p>
                    </w:tc>
                  </w:sdtContent>
                </w:sdt>
                <w:bookmarkEnd w:id="11"/>
                <w:bookmarkEnd w:id="12"/>
              </w:tr>
            </w:sdtContent>
          </w:sdt>
          <w:bookmarkEnd w:id="10" w:displacedByCustomXml="next"/>
          <w:sdt>
            <w:sdtPr>
              <w:rPr>
                <w:rFonts w:ascii="Aptos" w:eastAsiaTheme="minorEastAsia" w:hAnsi="Aptos" w:cs="Times New Roman"/>
                <w:b/>
                <w:bCs/>
                <w:kern w:val="0"/>
                <w:sz w:val="24"/>
                <w:szCs w:val="24"/>
                <w:lang w:eastAsia="ja-JP"/>
                <w14:ligatures w14:val="none"/>
              </w:rPr>
              <w:id w:val="739441328"/>
              <w:placeholder>
                <w:docPart w:val="2D603868ED0C4B56BC8BEC3600E7A1A5"/>
              </w:placeholder>
              <w15:repeatingSectionItem/>
            </w:sdtPr>
            <w:sdtContent>
              <w:tr w:rsidR="0008045F" w:rsidRPr="00FB32F2" w14:paraId="7334E6F3"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2E540C0" w14:textId="77777777" w:rsidR="0008045F" w:rsidRPr="00FB32F2" w:rsidRDefault="0008045F" w:rsidP="003436DC">
                    <w:pPr>
                      <w:jc w:val="center"/>
                      <w:rPr>
                        <w:rFonts w:ascii="Aptos" w:hAnsi="Aptos" w:cs="Times New Roman"/>
                        <w:b/>
                        <w:bCs/>
                      </w:rPr>
                    </w:pPr>
                    <w:r w:rsidRPr="00FB32F2">
                      <w:rPr>
                        <w:rFonts w:ascii="Aptos" w:hAnsi="Aptos" w:cs="Arial"/>
                        <w:b/>
                        <w:bCs/>
                      </w:rPr>
                      <w:fldChar w:fldCharType="begin">
                        <w:ffData>
                          <w:name w:val="Dropdown1"/>
                          <w:enabled/>
                          <w:calcOnExit w:val="0"/>
                          <w:ddList>
                            <w:listEntry w:val="25.53(c)"/>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FF1CB5C" w14:textId="7440D3B3" w:rsidR="0008045F" w:rsidRPr="00FB32F2" w:rsidRDefault="0008045F" w:rsidP="003436DC">
                    <w:pPr>
                      <w:jc w:val="center"/>
                      <w:rPr>
                        <w:rFonts w:ascii="Aptos" w:hAnsi="Aptos" w:cs="Times New Roman"/>
                        <w:b/>
                        <w:bCs/>
                      </w:rPr>
                    </w:pPr>
                    <w:r w:rsidRPr="00FB32F2">
                      <w:rPr>
                        <w:rFonts w:ascii="Aptos" w:hAnsi="Aptos" w:cs="Arial"/>
                        <w:b/>
                        <w:bCs/>
                      </w:rPr>
                      <w:fldChar w:fldCharType="begin">
                        <w:ffData>
                          <w:name w:val="Dropdown2"/>
                          <w:enabled/>
                          <w:calcOnExit w:val="0"/>
                          <w:ddList>
                            <w:result w:val="3"/>
                            <w:listEntry w:val="25.53(c) - Rec 1"/>
                            <w:listEntry w:val="25.53(c) - Rec 2"/>
                            <w:listEntry w:val="25.53(c) - Rec 3"/>
                            <w:listEntry w:val="25.53(c) - Rec 4"/>
                            <w:listEntry w:val="25.53(c) - Rec 5"/>
                            <w:listEntry w:val="25.53(c) - Rec 6"/>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sdt>
                  <w:sdtPr>
                    <w:rPr>
                      <w:rFonts w:ascii="Aptos" w:hAnsi="Aptos" w:cs="Arial"/>
                      <w:b/>
                      <w:bCs/>
                    </w:rPr>
                    <w:alias w:val="Enter the Filing Entity Comment"/>
                    <w:tag w:val="Enter the Filing Entity Comment"/>
                    <w:id w:val="-1518532940"/>
                    <w:placeholder>
                      <w:docPart w:val="D3B72E5D32A6477EAA9DFDE586BC8374"/>
                    </w:placeholder>
                  </w:sdtPr>
                  <w:sdtContent>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98B2992" w14:textId="77777777" w:rsidR="00972603" w:rsidRDefault="00233AD1" w:rsidP="00A47782">
                        <w:pPr>
                          <w:jc w:val="both"/>
                        </w:pPr>
                        <w:r>
                          <w:t xml:space="preserve">If the list of assets is limited to listing generating units or facilities, </w:t>
                        </w:r>
                        <w:proofErr w:type="gramStart"/>
                        <w:r>
                          <w:t>similar to</w:t>
                        </w:r>
                        <w:proofErr w:type="gramEnd"/>
                        <w:r>
                          <w:t xml:space="preserve"> PGC generating capacity report, </w:t>
                        </w:r>
                        <w:r w:rsidR="00972603">
                          <w:t>then TCPA has no objection.</w:t>
                        </w:r>
                      </w:p>
                      <w:p w14:paraId="1A135873" w14:textId="77093F3D" w:rsidR="0008045F" w:rsidRPr="00FB32F2" w:rsidRDefault="00972603" w:rsidP="00A47782">
                        <w:pPr>
                          <w:jc w:val="both"/>
                          <w:rPr>
                            <w:rFonts w:ascii="Aptos" w:hAnsi="Aptos" w:cs="Arial"/>
                            <w:b/>
                            <w:bCs/>
                          </w:rPr>
                        </w:pPr>
                        <w:r>
                          <w:t xml:space="preserve">If the list is expected to provide a more detailed level of information, then TCPA has concerns about </w:t>
                        </w:r>
                        <w:r w:rsidR="009F45EE">
                          <w:t>the recommendation being needlessly cumbersome</w:t>
                        </w:r>
                        <w:r w:rsidR="002875A5">
                          <w:t>, with unclear benefit</w:t>
                        </w:r>
                        <w:r w:rsidR="009F45EE">
                          <w:t>.</w:t>
                        </w:r>
                      </w:p>
                    </w:tc>
                  </w:sdtContent>
                </w:sdt>
              </w:tr>
            </w:sdtContent>
          </w:sdt>
          <w:sdt>
            <w:sdtPr>
              <w:rPr>
                <w:rFonts w:ascii="Aptos" w:eastAsiaTheme="minorEastAsia" w:hAnsi="Aptos" w:cs="Times New Roman"/>
                <w:b/>
                <w:bCs/>
                <w:kern w:val="0"/>
                <w:sz w:val="24"/>
                <w:szCs w:val="24"/>
                <w:lang w:eastAsia="ja-JP"/>
                <w14:ligatures w14:val="none"/>
              </w:rPr>
              <w:id w:val="1820080877"/>
              <w:placeholder>
                <w:docPart w:val="4FF30BCCCD9944248A9D48AB7ADC892B"/>
              </w:placeholder>
              <w15:repeatingSectionItem/>
            </w:sdtPr>
            <w:sdtContent>
              <w:tr w:rsidR="00D03AF0" w:rsidRPr="00FB32F2" w14:paraId="4E7E12A6"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58E4703" w14:textId="77777777" w:rsidR="00D03AF0" w:rsidRPr="00FB32F2" w:rsidRDefault="00D03AF0" w:rsidP="003436DC">
                    <w:pPr>
                      <w:jc w:val="center"/>
                      <w:rPr>
                        <w:rFonts w:ascii="Aptos" w:hAnsi="Aptos" w:cs="Times New Roman"/>
                        <w:b/>
                        <w:bCs/>
                      </w:rPr>
                    </w:pPr>
                    <w:r w:rsidRPr="00FB32F2">
                      <w:rPr>
                        <w:rFonts w:ascii="Aptos" w:hAnsi="Aptos" w:cs="Arial"/>
                        <w:b/>
                        <w:bCs/>
                      </w:rPr>
                      <w:fldChar w:fldCharType="begin">
                        <w:ffData>
                          <w:name w:val="Dropdown1"/>
                          <w:enabled/>
                          <w:calcOnExit w:val="0"/>
                          <w:ddList>
                            <w:listEntry w:val="25.53(c)"/>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E46FC95" w14:textId="3A47644E" w:rsidR="00D03AF0" w:rsidRPr="00FB32F2" w:rsidRDefault="00D03AF0" w:rsidP="003436DC">
                    <w:pPr>
                      <w:jc w:val="center"/>
                      <w:rPr>
                        <w:rFonts w:ascii="Aptos" w:hAnsi="Aptos" w:cs="Times New Roman"/>
                        <w:b/>
                        <w:bCs/>
                      </w:rPr>
                    </w:pPr>
                    <w:r w:rsidRPr="00FB32F2">
                      <w:rPr>
                        <w:rFonts w:ascii="Aptos" w:hAnsi="Aptos" w:cs="Arial"/>
                        <w:b/>
                        <w:bCs/>
                      </w:rPr>
                      <w:fldChar w:fldCharType="begin">
                        <w:ffData>
                          <w:name w:val="Dropdown2"/>
                          <w:enabled/>
                          <w:calcOnExit w:val="0"/>
                          <w:ddList>
                            <w:result w:val="4"/>
                            <w:listEntry w:val="25.53(c) - Rec 1"/>
                            <w:listEntry w:val="25.53(c) - Rec 2"/>
                            <w:listEntry w:val="25.53(c) - Rec 3"/>
                            <w:listEntry w:val="25.53(c) - Rec 4"/>
                            <w:listEntry w:val="25.53(c) - Rec 5"/>
                            <w:listEntry w:val="25.53(c) - Rec 6"/>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sdt>
                  <w:sdtPr>
                    <w:rPr>
                      <w:rFonts w:ascii="Aptos" w:hAnsi="Aptos" w:cs="Arial"/>
                      <w:b/>
                      <w:bCs/>
                    </w:rPr>
                    <w:alias w:val="Enter the Filing Entity Comment"/>
                    <w:tag w:val="Enter the Filing Entity Comment"/>
                    <w:id w:val="-494334545"/>
                    <w:placeholder>
                      <w:docPart w:val="F3810E7170F749C49578C9728A5DD0E1"/>
                    </w:placeholder>
                  </w:sdtPr>
                  <w:sdtContent>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454A656" w14:textId="102FF6D8" w:rsidR="00D03AF0" w:rsidRPr="00FB32F2" w:rsidRDefault="00966FE0" w:rsidP="00A47782">
                        <w:pPr>
                          <w:jc w:val="both"/>
                          <w:rPr>
                            <w:rFonts w:ascii="Aptos" w:hAnsi="Aptos" w:cs="Arial"/>
                            <w:b/>
                            <w:bCs/>
                          </w:rPr>
                        </w:pPr>
                        <w:r>
                          <w:t xml:space="preserve">TCPA has concerns regarding refiling full EOPs every three years. </w:t>
                        </w:r>
                        <w:r w:rsidR="00165ED0">
                          <w:t xml:space="preserve">Providing an affidavit to indicate EOPs without material changes </w:t>
                        </w:r>
                        <w:r w:rsidR="009F3A7D">
                          <w:t xml:space="preserve">already </w:t>
                        </w:r>
                        <w:r w:rsidR="00165ED0">
                          <w:t>requires entities review their existing EOPs to see if updates are needed. Additionally,</w:t>
                        </w:r>
                        <w:r>
                          <w:t xml:space="preserve"> </w:t>
                        </w:r>
                        <w:r w:rsidR="00165ED0">
                          <w:t>s</w:t>
                        </w:r>
                        <w:r>
                          <w:t xml:space="preserve">taff has not indicated how the plans will be used outside of review by third party consultants.  If staff is having trouble finding full EOPs, there are better ways to handle this situation (e.g. </w:t>
                        </w:r>
                        <w:proofErr w:type="spellStart"/>
                        <w:r>
                          <w:t>raming</w:t>
                        </w:r>
                        <w:proofErr w:type="spellEnd"/>
                        <w:r>
                          <w:t xml:space="preserve"> conventions, separate projects for annual updates and for full EOPs, requiring the biannual PGC renewals to include</w:t>
                        </w:r>
                        <w:r w:rsidR="00E36DCC">
                          <w:t xml:space="preserve"> </w:t>
                        </w:r>
                        <w:r w:rsidR="00E36DCC" w:rsidRPr="00CE05F4">
                          <w:t>a reference to</w:t>
                        </w:r>
                        <w:r>
                          <w:t xml:space="preserve"> the most recent full EO</w:t>
                        </w:r>
                        <w:r w:rsidR="00E36DCC">
                          <w:t xml:space="preserve">P </w:t>
                        </w:r>
                        <w:r w:rsidR="00E36DCC" w:rsidRPr="00CE05F4">
                          <w:t>filing</w:t>
                        </w:r>
                        <w:r w:rsidRPr="00CE05F4">
                          <w:t>,</w:t>
                        </w:r>
                        <w:r>
                          <w:t xml:space="preserve"> including a field in the entity’s PUCT portal information where they should</w:t>
                        </w:r>
                        <w:r w:rsidR="00E36DCC">
                          <w:t xml:space="preserve"> </w:t>
                        </w:r>
                        <w:r w:rsidR="00E36DCC" w:rsidRPr="00CE05F4">
                          <w:t>maintain</w:t>
                        </w:r>
                        <w:r>
                          <w:t xml:space="preserve"> the reference to the full EOP</w:t>
                        </w:r>
                        <w:r w:rsidR="00E36DCC">
                          <w:t xml:space="preserve"> </w:t>
                        </w:r>
                        <w:r w:rsidR="00E36DCC" w:rsidRPr="00CE05F4">
                          <w:t>filing</w:t>
                        </w:r>
                        <w:r>
                          <w:t>).</w:t>
                        </w:r>
                      </w:p>
                    </w:tc>
                  </w:sdtContent>
                </w:sdt>
              </w:tr>
            </w:sdtContent>
          </w:sdt>
          <w:sdt>
            <w:sdtPr>
              <w:rPr>
                <w:rFonts w:ascii="Aptos" w:eastAsiaTheme="minorEastAsia" w:hAnsi="Aptos" w:cs="Times New Roman"/>
                <w:b/>
                <w:bCs/>
                <w:kern w:val="0"/>
                <w:sz w:val="24"/>
                <w:szCs w:val="24"/>
                <w:lang w:eastAsia="ja-JP"/>
                <w14:ligatures w14:val="none"/>
              </w:rPr>
              <w:id w:val="1490829733"/>
              <w:placeholder>
                <w:docPart w:val="55FBB5D5D07E4A3E9F9F12C0AF86D604"/>
              </w:placeholder>
              <w15:repeatingSectionItem/>
            </w:sdtPr>
            <w:sdtContent>
              <w:tr w:rsidR="00B805FF" w:rsidRPr="00FB32F2" w14:paraId="324FC48F"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8742E41" w14:textId="77777777" w:rsidR="00B805FF" w:rsidRPr="00FB32F2" w:rsidRDefault="00B805FF" w:rsidP="003436DC">
                    <w:pPr>
                      <w:jc w:val="center"/>
                      <w:rPr>
                        <w:rFonts w:ascii="Aptos" w:hAnsi="Aptos" w:cs="Times New Roman"/>
                        <w:b/>
                        <w:bCs/>
                      </w:rPr>
                    </w:pPr>
                    <w:r w:rsidRPr="00FB32F2">
                      <w:rPr>
                        <w:rFonts w:ascii="Aptos" w:hAnsi="Aptos" w:cs="Arial"/>
                        <w:b/>
                        <w:bCs/>
                      </w:rPr>
                      <w:fldChar w:fldCharType="begin">
                        <w:ffData>
                          <w:name w:val="Dropdown1"/>
                          <w:enabled/>
                          <w:calcOnExit w:val="0"/>
                          <w:ddList>
                            <w:listEntry w:val="25.53(c)"/>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C1F2A17" w14:textId="7516047E" w:rsidR="00B805FF" w:rsidRPr="00FB32F2" w:rsidRDefault="00B805FF" w:rsidP="003436DC">
                    <w:pPr>
                      <w:jc w:val="center"/>
                      <w:rPr>
                        <w:rFonts w:ascii="Aptos" w:hAnsi="Aptos" w:cs="Times New Roman"/>
                        <w:b/>
                        <w:bCs/>
                      </w:rPr>
                    </w:pPr>
                    <w:r w:rsidRPr="00FB32F2">
                      <w:rPr>
                        <w:rFonts w:ascii="Aptos" w:hAnsi="Aptos" w:cs="Arial"/>
                        <w:b/>
                        <w:bCs/>
                      </w:rPr>
                      <w:fldChar w:fldCharType="begin">
                        <w:ffData>
                          <w:name w:val="Dropdown2"/>
                          <w:enabled/>
                          <w:calcOnExit w:val="0"/>
                          <w:ddList>
                            <w:result w:val="5"/>
                            <w:listEntry w:val="25.53(c) - Rec 1"/>
                            <w:listEntry w:val="25.53(c) - Rec 2"/>
                            <w:listEntry w:val="25.53(c) - Rec 3"/>
                            <w:listEntry w:val="25.53(c) - Rec 4"/>
                            <w:listEntry w:val="25.53(c) - Rec 5"/>
                            <w:listEntry w:val="25.53(c) - Rec 6"/>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sdt>
                  <w:sdtPr>
                    <w:rPr>
                      <w:rFonts w:ascii="Aptos" w:hAnsi="Aptos" w:cs="Arial"/>
                      <w:b/>
                      <w:bCs/>
                    </w:rPr>
                    <w:alias w:val="Enter the Filing Entity Comment"/>
                    <w:tag w:val="Enter the Filing Entity Comment"/>
                    <w:id w:val="-1684507416"/>
                    <w:placeholder>
                      <w:docPart w:val="DE7B243383F04A0C92BF69DCAC5C0606"/>
                    </w:placeholder>
                  </w:sdtPr>
                  <w:sdtContent>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29E69DB" w14:textId="6BD1B328" w:rsidR="00B805FF" w:rsidRPr="00FB32F2" w:rsidRDefault="00C53B17" w:rsidP="00A47782">
                        <w:pPr>
                          <w:jc w:val="both"/>
                          <w:rPr>
                            <w:rFonts w:ascii="Aptos" w:hAnsi="Aptos" w:cs="Arial"/>
                            <w:b/>
                            <w:bCs/>
                          </w:rPr>
                        </w:pPr>
                        <w:r>
                          <w:t>T</w:t>
                        </w:r>
                        <w:r w:rsidR="00714F6C">
                          <w:t>CPA does not support this recommendation as it is unnecessar</w:t>
                        </w:r>
                        <w:r w:rsidR="00E369F9">
                          <w:t>y.</w:t>
                        </w:r>
                        <w:r>
                          <w:t xml:space="preserve"> EOP</w:t>
                        </w:r>
                        <w:r w:rsidR="00424035">
                          <w:t xml:space="preserve"> filing</w:t>
                        </w:r>
                        <w:r w:rsidR="002875A5">
                          <w:t xml:space="preserve"> deadlines</w:t>
                        </w:r>
                        <w:r>
                          <w:t xml:space="preserve"> (mid-March) will not line up with the timing of weather preparations</w:t>
                        </w:r>
                        <w:r w:rsidR="00731BBE">
                          <w:t xml:space="preserve"> and associated declarations</w:t>
                        </w:r>
                        <w:r>
                          <w:t xml:space="preserve"> (no later than June 1 for summer and December 1 for winter)</w:t>
                        </w:r>
                        <w:r w:rsidR="00316599">
                          <w:t>,</w:t>
                        </w:r>
                        <w:r w:rsidR="00A24336">
                          <w:t xml:space="preserve"> with declarations filed separately at ERCOT</w:t>
                        </w:r>
                        <w:r w:rsidR="00CB1979">
                          <w:t xml:space="preserve"> </w:t>
                        </w:r>
                        <w:r w:rsidR="00097A2C">
                          <w:t>close to th</w:t>
                        </w:r>
                        <w:r w:rsidR="002875A5">
                          <w:t>e</w:t>
                        </w:r>
                        <w:r w:rsidR="00097A2C">
                          <w:t xml:space="preserve"> season for which the declaration applies</w:t>
                        </w:r>
                        <w:r>
                          <w:t>.</w:t>
                        </w:r>
                        <w:r w:rsidR="00D9602D">
                          <w:t xml:space="preserve"> </w:t>
                        </w:r>
                        <w:r>
                          <w:t xml:space="preserve"> </w:t>
                        </w:r>
                      </w:p>
                    </w:tc>
                  </w:sdtContent>
                </w:sdt>
              </w:tr>
            </w:sdtContent>
          </w:sdt>
        </w:sdtContent>
      </w:sdt>
    </w:tbl>
    <w:p w14:paraId="2C35DE4C" w14:textId="77777777" w:rsidR="00FB32F2" w:rsidRPr="00FB32F2" w:rsidRDefault="00FB32F2" w:rsidP="0026458F">
      <w:pPr>
        <w:spacing w:line="259" w:lineRule="auto"/>
        <w:jc w:val="both"/>
        <w:rPr>
          <w:rFonts w:ascii="Aptos" w:eastAsia="Calibri" w:hAnsi="Aptos" w:cs="Arial"/>
          <w:kern w:val="2"/>
          <w:sz w:val="22"/>
          <w:szCs w:val="22"/>
          <w:lang w:eastAsia="en-US"/>
          <w14:ligatures w14:val="standardContextual"/>
        </w:rPr>
      </w:pPr>
    </w:p>
    <w:tbl>
      <w:tblPr>
        <w:tblStyle w:val="TableGrid"/>
        <w:tblW w:w="0" w:type="auto"/>
        <w:tblLayout w:type="fixed"/>
        <w:tblLook w:val="04A0" w:firstRow="1" w:lastRow="0" w:firstColumn="1" w:lastColumn="0" w:noHBand="0" w:noVBand="1"/>
      </w:tblPr>
      <w:tblGrid>
        <w:gridCol w:w="2245"/>
        <w:gridCol w:w="3690"/>
        <w:gridCol w:w="7015"/>
      </w:tblGrid>
      <w:tr w:rsidR="00FB32F2" w:rsidRPr="00FB32F2" w14:paraId="25FE090D" w14:textId="77777777" w:rsidTr="00FB32F2">
        <w:trPr>
          <w:trHeight w:val="539"/>
          <w:tblHeader/>
        </w:trPr>
        <w:tc>
          <w:tcPr>
            <w:tcW w:w="1295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9DCE3F" w14:textId="77777777" w:rsidR="00FB32F2" w:rsidRPr="00FB32F2" w:rsidRDefault="00FB32F2" w:rsidP="003C08D5">
            <w:pPr>
              <w:jc w:val="center"/>
              <w:rPr>
                <w:rFonts w:ascii="Aptos" w:hAnsi="Aptos" w:cs="Times New Roman"/>
                <w:b/>
                <w:bCs/>
              </w:rPr>
            </w:pPr>
            <w:r w:rsidRPr="00FB32F2">
              <w:rPr>
                <w:rFonts w:ascii="Aptos" w:hAnsi="Aptos" w:cs="Times New Roman"/>
                <w:b/>
                <w:bCs/>
                <w:sz w:val="32"/>
                <w:szCs w:val="32"/>
              </w:rPr>
              <w:lastRenderedPageBreak/>
              <w:t>Rule Citation 25.53(e)</w:t>
            </w:r>
          </w:p>
        </w:tc>
      </w:tr>
      <w:tr w:rsidR="00FB32F2" w:rsidRPr="00FB32F2" w14:paraId="19AE03F3" w14:textId="77777777" w:rsidTr="008E2644">
        <w:trPr>
          <w:trHeight w:val="539"/>
          <w:tblHeader/>
        </w:trPr>
        <w:tc>
          <w:tcPr>
            <w:tcW w:w="2245" w:type="dxa"/>
            <w:tcBorders>
              <w:top w:val="single" w:sz="4" w:space="0" w:color="auto"/>
              <w:left w:val="single" w:sz="4" w:space="0" w:color="auto"/>
              <w:bottom w:val="single" w:sz="4" w:space="0" w:color="auto"/>
              <w:right w:val="single" w:sz="4" w:space="0" w:color="auto"/>
            </w:tcBorders>
            <w:shd w:val="clear" w:color="auto" w:fill="1A5798"/>
            <w:vAlign w:val="center"/>
            <w:hideMark/>
          </w:tcPr>
          <w:p w14:paraId="1DADFA1D" w14:textId="77777777" w:rsidR="00FB32F2" w:rsidRPr="00FB32F2" w:rsidRDefault="00FB32F2" w:rsidP="003436DC">
            <w:pPr>
              <w:jc w:val="center"/>
              <w:rPr>
                <w:rFonts w:ascii="Aptos" w:hAnsi="Aptos" w:cs="Times New Roman"/>
                <w:b/>
                <w:bCs/>
                <w:color w:val="FFFFFF"/>
              </w:rPr>
            </w:pPr>
            <w:r w:rsidRPr="00FB32F2">
              <w:rPr>
                <w:rFonts w:ascii="Aptos" w:hAnsi="Aptos" w:cs="Times New Roman"/>
                <w:b/>
                <w:bCs/>
                <w:color w:val="FFFFFF"/>
              </w:rPr>
              <w:t>Rule Citation</w:t>
            </w:r>
          </w:p>
        </w:tc>
        <w:tc>
          <w:tcPr>
            <w:tcW w:w="3690" w:type="dxa"/>
            <w:tcBorders>
              <w:top w:val="single" w:sz="4" w:space="0" w:color="auto"/>
              <w:left w:val="single" w:sz="4" w:space="0" w:color="auto"/>
              <w:bottom w:val="single" w:sz="4" w:space="0" w:color="auto"/>
              <w:right w:val="single" w:sz="4" w:space="0" w:color="auto"/>
            </w:tcBorders>
            <w:shd w:val="clear" w:color="auto" w:fill="1A5798"/>
            <w:vAlign w:val="center"/>
            <w:hideMark/>
          </w:tcPr>
          <w:p w14:paraId="3660DB77" w14:textId="4724E38F" w:rsidR="00FB32F2" w:rsidRPr="00FB32F2" w:rsidRDefault="00FB32F2" w:rsidP="003436DC">
            <w:pPr>
              <w:jc w:val="center"/>
              <w:rPr>
                <w:rFonts w:ascii="Aptos" w:hAnsi="Aptos" w:cs="Times New Roman"/>
                <w:b/>
                <w:bCs/>
                <w:color w:val="FFFFFF"/>
              </w:rPr>
            </w:pPr>
            <w:r w:rsidRPr="00FB32F2">
              <w:rPr>
                <w:rFonts w:ascii="Aptos" w:hAnsi="Aptos" w:cs="Times New Roman"/>
                <w:b/>
                <w:bCs/>
                <w:color w:val="FFFFFF"/>
              </w:rPr>
              <w:t>PUCT Recommend</w:t>
            </w:r>
            <w:r w:rsidR="00B17009">
              <w:rPr>
                <w:rFonts w:ascii="Aptos" w:hAnsi="Aptos" w:cs="Times New Roman"/>
                <w:b/>
                <w:bCs/>
                <w:color w:val="FFFFFF"/>
              </w:rPr>
              <w:t>ed Action</w:t>
            </w:r>
          </w:p>
        </w:tc>
        <w:tc>
          <w:tcPr>
            <w:tcW w:w="7015" w:type="dxa"/>
            <w:tcBorders>
              <w:top w:val="single" w:sz="4" w:space="0" w:color="auto"/>
              <w:left w:val="single" w:sz="4" w:space="0" w:color="auto"/>
              <w:bottom w:val="single" w:sz="4" w:space="0" w:color="auto"/>
              <w:right w:val="single" w:sz="4" w:space="0" w:color="auto"/>
            </w:tcBorders>
            <w:shd w:val="clear" w:color="auto" w:fill="1A5798"/>
            <w:vAlign w:val="center"/>
            <w:hideMark/>
          </w:tcPr>
          <w:p w14:paraId="3CD02F29" w14:textId="77777777" w:rsidR="00FB32F2" w:rsidRPr="00FB32F2" w:rsidRDefault="00FB32F2" w:rsidP="003436DC">
            <w:pPr>
              <w:jc w:val="center"/>
              <w:rPr>
                <w:rFonts w:ascii="Aptos" w:hAnsi="Aptos" w:cs="Times New Roman"/>
                <w:b/>
                <w:bCs/>
                <w:color w:val="FFFFFF"/>
              </w:rPr>
            </w:pPr>
            <w:r w:rsidRPr="00FB32F2">
              <w:rPr>
                <w:rFonts w:ascii="Aptos" w:hAnsi="Aptos" w:cs="Times New Roman"/>
                <w:b/>
                <w:bCs/>
                <w:color w:val="FFFFFF"/>
              </w:rPr>
              <w:t>Filing Entity Comment</w:t>
            </w:r>
          </w:p>
        </w:tc>
      </w:tr>
      <w:sdt>
        <w:sdtPr>
          <w:rPr>
            <w:rFonts w:ascii="Aptos" w:eastAsiaTheme="minorEastAsia" w:hAnsi="Aptos" w:cs="Times New Roman"/>
            <w:b/>
            <w:bCs/>
            <w:kern w:val="0"/>
            <w:sz w:val="24"/>
            <w:szCs w:val="24"/>
            <w:lang w:eastAsia="ja-JP"/>
            <w14:ligatures w14:val="none"/>
          </w:rPr>
          <w:id w:val="-1187526245"/>
          <w15:repeatingSection/>
        </w:sdtPr>
        <w:sdtContent>
          <w:sdt>
            <w:sdtPr>
              <w:rPr>
                <w:rFonts w:ascii="Aptos" w:eastAsiaTheme="minorEastAsia" w:hAnsi="Aptos" w:cs="Times New Roman"/>
                <w:b/>
                <w:bCs/>
                <w:kern w:val="0"/>
                <w:sz w:val="24"/>
                <w:szCs w:val="24"/>
                <w:lang w:eastAsia="ja-JP"/>
                <w14:ligatures w14:val="none"/>
              </w:rPr>
              <w:id w:val="-1410999422"/>
              <w:placeholder>
                <w:docPart w:val="17A4067214E54C31AF22A91109D9AB16"/>
              </w:placeholder>
              <w15:repeatingSectionItem/>
            </w:sdtPr>
            <w:sdtContent>
              <w:tr w:rsidR="00FB32F2" w:rsidRPr="00FB32F2" w14:paraId="1278A14A"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DA42C4" w14:textId="46C01984" w:rsidR="00FB32F2" w:rsidRPr="00FB32F2" w:rsidRDefault="00FB32F2" w:rsidP="003436DC">
                    <w:pPr>
                      <w:jc w:val="center"/>
                      <w:rPr>
                        <w:rFonts w:ascii="Aptos" w:hAnsi="Aptos" w:cs="Times New Roman"/>
                        <w:b/>
                        <w:bCs/>
                      </w:rPr>
                    </w:pPr>
                    <w:r w:rsidRPr="00FB32F2">
                      <w:rPr>
                        <w:rFonts w:ascii="Aptos" w:hAnsi="Aptos" w:cs="Arial"/>
                        <w:b/>
                        <w:bCs/>
                      </w:rPr>
                      <w:fldChar w:fldCharType="begin">
                        <w:ffData>
                          <w:name w:val=""/>
                          <w:enabled/>
                          <w:calcOnExit w:val="0"/>
                          <w:ddList>
                            <w:listEntry w:val="25.53(e)"/>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740299A" w14:textId="7F96D503" w:rsidR="00FB32F2" w:rsidRPr="00FB32F2" w:rsidRDefault="00FB32F2" w:rsidP="003436DC">
                    <w:pPr>
                      <w:jc w:val="center"/>
                      <w:rPr>
                        <w:rFonts w:ascii="Aptos" w:hAnsi="Aptos" w:cs="Times New Roman"/>
                        <w:b/>
                        <w:bCs/>
                      </w:rPr>
                    </w:pPr>
                    <w:r w:rsidRPr="00FB32F2">
                      <w:rPr>
                        <w:rFonts w:ascii="Aptos" w:hAnsi="Aptos" w:cs="Arial"/>
                        <w:b/>
                        <w:bCs/>
                      </w:rPr>
                      <w:fldChar w:fldCharType="begin">
                        <w:ffData>
                          <w:name w:val=""/>
                          <w:enabled/>
                          <w:calcOnExit w:val="0"/>
                          <w:ddList>
                            <w:result w:val="3"/>
                            <w:listEntry w:val="25.53(e) - Rec 1"/>
                            <w:listEntry w:val="25.53(e) - Rec 2"/>
                            <w:listEntry w:val="25.53(e) - Rec 3"/>
                            <w:listEntry w:val="25.53(e) - Rec 4"/>
                            <w:listEntry w:val="25.53(e) - Rec 5"/>
                            <w:listEntry w:val="25.53(e) - Rec 6"/>
                            <w:listEntry w:val="25.53(e) - Rec 7"/>
                            <w:listEntry w:val="25.53(e) - Rec 8"/>
                            <w:listEntry w:val="25.53(e) - Rec 9"/>
                            <w:listEntry w:val="25.53(e) - Rec 10"/>
                            <w:listEntry w:val="25.53(e) - Rec 11"/>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sdt>
                    <w:sdtPr>
                      <w:rPr>
                        <w:rFonts w:ascii="Aptos" w:hAnsi="Aptos" w:cs="Arial"/>
                        <w:b/>
                        <w:bCs/>
                      </w:rPr>
                      <w:alias w:val="Enter the Filing Entity Comment"/>
                      <w:tag w:val="Enter the Filing Entity Comment"/>
                      <w:id w:val="913054940"/>
                      <w:placeholder>
                        <w:docPart w:val="3A29E01DDA374D4ABF82EB6D987F837B"/>
                      </w:placeholder>
                    </w:sdtPr>
                    <w:sdtContent>
                      <w:p w14:paraId="290FCA95" w14:textId="54CC6E0F" w:rsidR="00DB088C" w:rsidRPr="00225B41" w:rsidRDefault="00DB088C" w:rsidP="00C066C9">
                        <w:pPr>
                          <w:rPr>
                            <w:rFonts w:ascii="Aptos" w:hAnsi="Aptos" w:cs="Arial"/>
                          </w:rPr>
                        </w:pPr>
                        <w:r w:rsidRPr="00225B41">
                          <w:rPr>
                            <w:rFonts w:ascii="Aptos" w:hAnsi="Aptos" w:cs="Arial"/>
                          </w:rPr>
                          <w:t xml:space="preserve">As a general matter, TCPA is concerned about the possibility of adding too many </w:t>
                        </w:r>
                        <w:proofErr w:type="gramStart"/>
                        <w:r w:rsidRPr="00225B41">
                          <w:rPr>
                            <w:rFonts w:ascii="Aptos" w:hAnsi="Aptos" w:cs="Arial"/>
                          </w:rPr>
                          <w:t>weather</w:t>
                        </w:r>
                        <w:proofErr w:type="gramEnd"/>
                        <w:r w:rsidRPr="00225B41">
                          <w:rPr>
                            <w:rFonts w:ascii="Aptos" w:hAnsi="Aptos" w:cs="Arial"/>
                          </w:rPr>
                          <w:t xml:space="preserve"> specific annexes, which can be addressed in an </w:t>
                        </w:r>
                        <w:proofErr w:type="gramStart"/>
                        <w:r w:rsidRPr="00225B41">
                          <w:rPr>
                            <w:rFonts w:ascii="Aptos" w:hAnsi="Aptos" w:cs="Arial"/>
                          </w:rPr>
                          <w:t>all hazards</w:t>
                        </w:r>
                        <w:proofErr w:type="gramEnd"/>
                        <w:r w:rsidRPr="00225B41">
                          <w:rPr>
                            <w:rFonts w:ascii="Aptos" w:hAnsi="Aptos" w:cs="Arial"/>
                          </w:rPr>
                          <w:t xml:space="preserve"> annex or the existing applicable annexes. It may not be useful to overburden EOP filings with too many annexes, especially for entities that may not be applicable for.</w:t>
                        </w:r>
                      </w:p>
                      <w:p w14:paraId="47BF5657" w14:textId="77777777" w:rsidR="00DB088C" w:rsidRPr="00225B41" w:rsidRDefault="00DB088C" w:rsidP="00C066C9">
                        <w:pPr>
                          <w:rPr>
                            <w:rFonts w:ascii="Aptos" w:hAnsi="Aptos" w:cs="Arial"/>
                          </w:rPr>
                        </w:pPr>
                      </w:p>
                      <w:p w14:paraId="1CB0A766" w14:textId="4DFFB2C0" w:rsidR="0008045F" w:rsidRDefault="00F83B2F" w:rsidP="00C066C9">
                        <w:pPr>
                          <w:rPr>
                            <w:rFonts w:ascii="Aptos" w:hAnsi="Aptos" w:cs="Arial"/>
                            <w:b/>
                            <w:bCs/>
                          </w:rPr>
                        </w:pPr>
                        <w:r w:rsidRPr="00225B41">
                          <w:t>Additionally,</w:t>
                        </w:r>
                        <w:r>
                          <w:t xml:space="preserve"> </w:t>
                        </w:r>
                        <w:r w:rsidR="00056BAF">
                          <w:t xml:space="preserve">TCPA has concerns about the proposal to require detailed </w:t>
                        </w:r>
                        <w:proofErr w:type="gramStart"/>
                        <w:r w:rsidR="00056BAF">
                          <w:t>checklists (#</w:t>
                        </w:r>
                        <w:proofErr w:type="gramEnd"/>
                        <w:r w:rsidR="00056BAF">
                          <w:t xml:space="preserve">3) and all applicable processes and </w:t>
                        </w:r>
                        <w:proofErr w:type="gramStart"/>
                        <w:r w:rsidR="00056BAF">
                          <w:t>procedures (#</w:t>
                        </w:r>
                        <w:proofErr w:type="gramEnd"/>
                        <w:r w:rsidR="00056BAF">
                          <w:t>4)</w:t>
                        </w:r>
                        <w:r w:rsidR="00933416">
                          <w:t xml:space="preserve"> </w:t>
                        </w:r>
                        <w:r w:rsidR="00BE47DA">
                          <w:t xml:space="preserve">for the weather emergency annex, </w:t>
                        </w:r>
                        <w:r w:rsidR="00933416">
                          <w:t>as those are site-specific and</w:t>
                        </w:r>
                        <w:r w:rsidR="00D50E3F">
                          <w:t xml:space="preserve"> would</w:t>
                        </w:r>
                        <w:r w:rsidR="00933416">
                          <w:t xml:space="preserve"> needlessly add several hundred pages to EOPs</w:t>
                        </w:r>
                        <w:r w:rsidR="00966CAC">
                          <w:t xml:space="preserve">. Since these checklists and procedures </w:t>
                        </w:r>
                        <w:r w:rsidR="00BA220E">
                          <w:t>may be reviewed by ERCOT inspectors</w:t>
                        </w:r>
                        <w:r w:rsidR="00F669AD">
                          <w:t xml:space="preserve"> during weather-preparedness inspections under 16 Tex. Admin. Code 25.55,</w:t>
                        </w:r>
                        <w:r w:rsidR="00BA220E">
                          <w:t xml:space="preserve"> or by PUC staff any time</w:t>
                        </w:r>
                        <w:r w:rsidR="00292622">
                          <w:t xml:space="preserve"> upon request</w:t>
                        </w:r>
                        <w:r w:rsidR="00C066C9">
                          <w:t xml:space="preserve">, this requirement would be </w:t>
                        </w:r>
                        <w:r w:rsidR="00F70713">
                          <w:t xml:space="preserve">unnecessarily </w:t>
                        </w:r>
                        <w:r w:rsidR="00C066C9">
                          <w:t xml:space="preserve">burdensome. TCPA has no concerns with other recommendations. </w:t>
                        </w:r>
                      </w:p>
                    </w:sdtContent>
                  </w:sdt>
                  <w:p w14:paraId="6388CEF6" w14:textId="7769A385" w:rsidR="00FB32F2" w:rsidRPr="00FB32F2" w:rsidRDefault="00FB32F2" w:rsidP="0026458F">
                    <w:pPr>
                      <w:jc w:val="both"/>
                      <w:rPr>
                        <w:rFonts w:ascii="Aptos" w:hAnsi="Aptos" w:cs="Arial"/>
                        <w:b/>
                        <w:bCs/>
                      </w:rPr>
                    </w:pPr>
                  </w:p>
                </w:tc>
              </w:tr>
            </w:sdtContent>
          </w:sdt>
          <w:sdt>
            <w:sdtPr>
              <w:rPr>
                <w:rFonts w:ascii="Aptos" w:eastAsiaTheme="minorEastAsia" w:hAnsi="Aptos" w:cs="Times New Roman"/>
                <w:b/>
                <w:bCs/>
                <w:kern w:val="0"/>
                <w:sz w:val="24"/>
                <w:szCs w:val="24"/>
                <w:lang w:eastAsia="ja-JP"/>
                <w14:ligatures w14:val="none"/>
              </w:rPr>
              <w:id w:val="-844931361"/>
              <w:placeholder>
                <w:docPart w:val="1E60E08E6D354F11BFCC61CF7F0A3AEC"/>
              </w:placeholder>
              <w15:repeatingSectionItem/>
            </w:sdtPr>
            <w:sdtEndPr>
              <w:rPr>
                <w:b w:val="0"/>
                <w:bCs w:val="0"/>
              </w:rPr>
            </w:sdtEndPr>
            <w:sdtContent>
              <w:tr w:rsidR="001B679E" w:rsidRPr="00FB32F2" w14:paraId="1CBB0A0E"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372C4D1" w14:textId="77777777" w:rsidR="001B679E" w:rsidRPr="00FB32F2" w:rsidRDefault="001B679E" w:rsidP="003436DC">
                    <w:pPr>
                      <w:jc w:val="center"/>
                      <w:rPr>
                        <w:rFonts w:ascii="Aptos" w:hAnsi="Aptos" w:cs="Times New Roman"/>
                        <w:b/>
                        <w:bCs/>
                      </w:rPr>
                    </w:pPr>
                    <w:r w:rsidRPr="00FB32F2">
                      <w:rPr>
                        <w:rFonts w:ascii="Aptos" w:hAnsi="Aptos" w:cs="Arial"/>
                        <w:b/>
                        <w:bCs/>
                      </w:rPr>
                      <w:fldChar w:fldCharType="begin">
                        <w:ffData>
                          <w:name w:val=""/>
                          <w:enabled/>
                          <w:calcOnExit w:val="0"/>
                          <w:ddList>
                            <w:listEntry w:val="25.53(e)"/>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4F58CCD" w14:textId="4D60FCCF" w:rsidR="001B679E" w:rsidRPr="00FB32F2" w:rsidRDefault="001B679E" w:rsidP="003436DC">
                    <w:pPr>
                      <w:jc w:val="center"/>
                      <w:rPr>
                        <w:rFonts w:ascii="Aptos" w:hAnsi="Aptos" w:cs="Times New Roman"/>
                        <w:b/>
                        <w:bCs/>
                      </w:rPr>
                    </w:pPr>
                    <w:r w:rsidRPr="00FB32F2">
                      <w:rPr>
                        <w:rFonts w:ascii="Aptos" w:hAnsi="Aptos" w:cs="Arial"/>
                        <w:b/>
                        <w:bCs/>
                      </w:rPr>
                      <w:fldChar w:fldCharType="begin">
                        <w:ffData>
                          <w:name w:val=""/>
                          <w:enabled/>
                          <w:calcOnExit w:val="0"/>
                          <w:ddList>
                            <w:result w:val="8"/>
                            <w:listEntry w:val="25.53(e) - Rec 1"/>
                            <w:listEntry w:val="25.53(e) - Rec 2"/>
                            <w:listEntry w:val="25.53(e) - Rec 3"/>
                            <w:listEntry w:val="25.53(e) - Rec 4"/>
                            <w:listEntry w:val="25.53(e) - Rec 5"/>
                            <w:listEntry w:val="25.53(e) - Rec 6"/>
                            <w:listEntry w:val="25.53(e) - Rec 7"/>
                            <w:listEntry w:val="25.53(e) - Rec 8"/>
                            <w:listEntry w:val="25.53(e) - Rec 9"/>
                            <w:listEntry w:val="25.53(e) - Rec 10"/>
                            <w:listEntry w:val="25.53(e) - Rec 11"/>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B274627" w14:textId="519FADB9" w:rsidR="001B679E" w:rsidRPr="00225B41" w:rsidRDefault="001B679E" w:rsidP="0026458F">
                    <w:pPr>
                      <w:jc w:val="both"/>
                      <w:rPr>
                        <w:rFonts w:ascii="Aptos" w:hAnsi="Aptos" w:cs="Arial"/>
                      </w:rPr>
                    </w:pPr>
                    <w:r w:rsidRPr="00225B41">
                      <w:rPr>
                        <w:rFonts w:ascii="Aptos" w:hAnsi="Aptos" w:cs="Arial"/>
                      </w:rPr>
                      <w:t xml:space="preserve">TCPA </w:t>
                    </w:r>
                    <w:r w:rsidR="00A86992" w:rsidRPr="00225B41">
                      <w:rPr>
                        <w:rFonts w:ascii="Aptos" w:hAnsi="Aptos" w:cs="Arial"/>
                      </w:rPr>
                      <w:t xml:space="preserve">believes this section should be </w:t>
                    </w:r>
                    <w:r w:rsidR="005169CC" w:rsidRPr="00225B41">
                      <w:rPr>
                        <w:rFonts w:ascii="Aptos" w:hAnsi="Aptos" w:cs="Arial"/>
                      </w:rPr>
                      <w:t xml:space="preserve">clarified to ensure it pertains to the annual drill process.  TCPA has concerns regarding sensitive information </w:t>
                    </w:r>
                    <w:r w:rsidR="00A1702D" w:rsidRPr="00225B41">
                      <w:rPr>
                        <w:rFonts w:ascii="Aptos" w:hAnsi="Aptos" w:cs="Arial"/>
                      </w:rPr>
                      <w:t xml:space="preserve">contained in operations logs, </w:t>
                    </w:r>
                    <w:r w:rsidR="001D003B" w:rsidRPr="00225B41">
                      <w:rPr>
                        <w:rFonts w:ascii="Aptos" w:hAnsi="Aptos" w:cs="Arial"/>
                      </w:rPr>
                      <w:t xml:space="preserve">any weaknesses found in drills, which could be used by bad actors, and </w:t>
                    </w:r>
                    <w:r w:rsidR="006C51F7" w:rsidRPr="00225B41">
                      <w:rPr>
                        <w:rFonts w:ascii="Aptos" w:hAnsi="Aptos" w:cs="Arial"/>
                      </w:rPr>
                      <w:t xml:space="preserve">the release of personnel information.  TCPA </w:t>
                    </w:r>
                    <w:r w:rsidR="004B01E9" w:rsidRPr="00225B41">
                      <w:rPr>
                        <w:rFonts w:ascii="Aptos" w:hAnsi="Aptos" w:cs="Arial"/>
                      </w:rPr>
                      <w:t>is not aware of any concerns from Staff regarding what is currently provided regarding drills, including 30-day notice to allow Staff to attend</w:t>
                    </w:r>
                    <w:r w:rsidR="009D2451" w:rsidRPr="00225B41">
                      <w:rPr>
                        <w:rFonts w:ascii="Aptos" w:hAnsi="Aptos" w:cs="Arial"/>
                      </w:rPr>
                      <w:t>, and believes the current information is sufficient.</w:t>
                    </w:r>
                  </w:p>
                </w:tc>
              </w:tr>
            </w:sdtContent>
          </w:sdt>
          <w:sdt>
            <w:sdtPr>
              <w:rPr>
                <w:rFonts w:ascii="Aptos" w:eastAsiaTheme="minorEastAsia" w:hAnsi="Aptos" w:cs="Times New Roman"/>
                <w:b/>
                <w:bCs/>
                <w:kern w:val="0"/>
                <w:sz w:val="24"/>
                <w:szCs w:val="24"/>
                <w:lang w:eastAsia="ja-JP"/>
                <w14:ligatures w14:val="none"/>
              </w:rPr>
              <w:id w:val="580570059"/>
              <w:placeholder>
                <w:docPart w:val="B11A4815858142069A7B50DACA1C0CC2"/>
              </w:placeholder>
              <w15:repeatingSectionItem/>
            </w:sdtPr>
            <w:sdtContent>
              <w:tr w:rsidR="004F6703" w:rsidRPr="00FB32F2" w14:paraId="5CAD1B4E" w14:textId="77777777" w:rsidTr="00FB32F2">
                <w:trPr>
                  <w:trHeight w:val="647"/>
                </w:trPr>
                <w:tc>
                  <w:tcPr>
                    <w:tcW w:w="224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F473A6E" w14:textId="77777777" w:rsidR="004F6703" w:rsidRPr="00FB32F2" w:rsidRDefault="004F6703" w:rsidP="003436DC">
                    <w:pPr>
                      <w:jc w:val="center"/>
                      <w:rPr>
                        <w:rFonts w:ascii="Aptos" w:hAnsi="Aptos" w:cs="Times New Roman"/>
                        <w:b/>
                        <w:bCs/>
                      </w:rPr>
                    </w:pPr>
                    <w:r w:rsidRPr="00FB32F2">
                      <w:rPr>
                        <w:rFonts w:ascii="Aptos" w:hAnsi="Aptos" w:cs="Arial"/>
                        <w:b/>
                        <w:bCs/>
                      </w:rPr>
                      <w:fldChar w:fldCharType="begin">
                        <w:ffData>
                          <w:name w:val=""/>
                          <w:enabled/>
                          <w:calcOnExit w:val="0"/>
                          <w:ddList>
                            <w:listEntry w:val="25.53(e)"/>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A996DF2" w14:textId="51CD3718" w:rsidR="004F6703" w:rsidRPr="00FB32F2" w:rsidRDefault="004F6703" w:rsidP="003436DC">
                    <w:pPr>
                      <w:jc w:val="center"/>
                      <w:rPr>
                        <w:rFonts w:ascii="Aptos" w:hAnsi="Aptos" w:cs="Times New Roman"/>
                        <w:b/>
                        <w:bCs/>
                      </w:rPr>
                    </w:pPr>
                    <w:r w:rsidRPr="00FB32F2">
                      <w:rPr>
                        <w:rFonts w:ascii="Aptos" w:hAnsi="Aptos" w:cs="Arial"/>
                        <w:b/>
                        <w:bCs/>
                      </w:rPr>
                      <w:fldChar w:fldCharType="begin">
                        <w:ffData>
                          <w:name w:val=""/>
                          <w:enabled/>
                          <w:calcOnExit w:val="0"/>
                          <w:ddList>
                            <w:result w:val="9"/>
                            <w:listEntry w:val="25.53(e) - Rec 1"/>
                            <w:listEntry w:val="25.53(e) - Rec 2"/>
                            <w:listEntry w:val="25.53(e) - Rec 3"/>
                            <w:listEntry w:val="25.53(e) - Rec 4"/>
                            <w:listEntry w:val="25.53(e) - Rec 5"/>
                            <w:listEntry w:val="25.53(e) - Rec 6"/>
                            <w:listEntry w:val="25.53(e) - Rec 7"/>
                            <w:listEntry w:val="25.53(e) - Rec 8"/>
                            <w:listEntry w:val="25.53(e) - Rec 9"/>
                            <w:listEntry w:val="25.53(e) - Rec 10"/>
                            <w:listEntry w:val="25.53(e) - Rec 11"/>
                          </w:ddList>
                        </w:ffData>
                      </w:fldChar>
                    </w:r>
                    <w:r w:rsidRPr="00FB32F2">
                      <w:rPr>
                        <w:rFonts w:ascii="Aptos" w:hAnsi="Aptos" w:cs="Arial"/>
                        <w:b/>
                        <w:bCs/>
                      </w:rPr>
                      <w:instrText xml:space="preserve"> FORMDROPDOWN </w:instrText>
                    </w:r>
                    <w:r w:rsidRPr="00FB32F2">
                      <w:rPr>
                        <w:rFonts w:ascii="Aptos" w:hAnsi="Aptos" w:cs="Arial"/>
                        <w:b/>
                        <w:bCs/>
                      </w:rPr>
                    </w:r>
                    <w:r w:rsidRPr="00FB32F2">
                      <w:rPr>
                        <w:rFonts w:ascii="Aptos" w:hAnsi="Aptos" w:cs="Arial"/>
                        <w:b/>
                        <w:bCs/>
                      </w:rPr>
                      <w:fldChar w:fldCharType="separate"/>
                    </w:r>
                    <w:r w:rsidRPr="00FB32F2">
                      <w:rPr>
                        <w:rFonts w:ascii="Aptos" w:hAnsi="Aptos" w:cs="Arial"/>
                        <w:b/>
                        <w:bCs/>
                      </w:rPr>
                      <w:fldChar w:fldCharType="end"/>
                    </w:r>
                  </w:p>
                </w:tc>
                <w:tc>
                  <w:tcPr>
                    <w:tcW w:w="7015" w:type="dxa"/>
                    <w:tcBorders>
                      <w:top w:val="single" w:sz="4" w:space="0" w:color="auto"/>
                      <w:left w:val="single" w:sz="4" w:space="0" w:color="auto"/>
                      <w:bottom w:val="single" w:sz="4" w:space="0" w:color="auto"/>
                      <w:right w:val="single" w:sz="4" w:space="0" w:color="auto"/>
                    </w:tcBorders>
                    <w:shd w:val="clear" w:color="auto" w:fill="D9E2F3"/>
                    <w:vAlign w:val="center"/>
                    <w:hideMark/>
                  </w:tcPr>
                  <w:sdt>
                    <w:sdtPr>
                      <w:rPr>
                        <w:rFonts w:ascii="Aptos" w:hAnsi="Aptos" w:cs="Arial"/>
                        <w:b/>
                        <w:bCs/>
                      </w:rPr>
                      <w:alias w:val="Enter the Filing Entity Comment"/>
                      <w:tag w:val="Enter the Filing Entity Comment"/>
                      <w:id w:val="-1953395068"/>
                      <w:placeholder>
                        <w:docPart w:val="CC4330B975F346A5AC55586C76706F76"/>
                      </w:placeholder>
                    </w:sdtPr>
                    <w:sdtContent>
                      <w:p w14:paraId="7B1BAA89" w14:textId="33EFE08F" w:rsidR="004F6703" w:rsidRDefault="00473436" w:rsidP="00A47782">
                        <w:pPr>
                          <w:rPr>
                            <w:rFonts w:ascii="Aptos" w:hAnsi="Aptos" w:cs="Arial"/>
                            <w:b/>
                            <w:bCs/>
                          </w:rPr>
                        </w:pPr>
                        <w:r>
                          <w:t>TCPA is c</w:t>
                        </w:r>
                        <w:r w:rsidR="004F6703">
                          <w:t>oncerned about this proposal</w:t>
                        </w:r>
                        <w:r>
                          <w:t>.</w:t>
                        </w:r>
                        <w:r w:rsidR="004F6703">
                          <w:t xml:space="preserve"> </w:t>
                        </w:r>
                        <w:r w:rsidR="002977F0">
                          <w:t>R</w:t>
                        </w:r>
                        <w:r w:rsidR="004F6703">
                          <w:t xml:space="preserve">edacted annexes that are currently withheld from the EOP filing </w:t>
                        </w:r>
                        <w:r w:rsidR="002977F0">
                          <w:t xml:space="preserve">are </w:t>
                        </w:r>
                        <w:r w:rsidR="00106DA7">
                          <w:t>withheld because they</w:t>
                        </w:r>
                        <w:r w:rsidR="004F6703">
                          <w:t xml:space="preserve"> contain confidential, security sensitive information. </w:t>
                        </w:r>
                        <w:r w:rsidR="00106DA7">
                          <w:t xml:space="preserve">With the PUC subject to the Public Information Act (PIA), </w:t>
                        </w:r>
                        <w:r w:rsidR="008A4A1E">
                          <w:t>a requirement to file the annex, even confidentially, would necessitate heavy redaction</w:t>
                        </w:r>
                        <w:r w:rsidR="006F0896">
                          <w:t xml:space="preserve"> due to the sensitivity of the information. </w:t>
                        </w:r>
                        <w:r w:rsidR="00335316">
                          <w:t xml:space="preserve">ERCOT, not subject to the PIA, </w:t>
                        </w:r>
                        <w:r w:rsidR="00545B95">
                          <w:t>has a</w:t>
                        </w:r>
                        <w:r w:rsidR="00F65E8B">
                          <w:t xml:space="preserve"> well-established</w:t>
                        </w:r>
                        <w:r w:rsidR="00545B95">
                          <w:t xml:space="preserve"> process for protecting confidential and sensitive information</w:t>
                        </w:r>
                        <w:r w:rsidR="002859F9">
                          <w:t>,</w:t>
                        </w:r>
                        <w:r w:rsidR="00DF3338">
                          <w:t xml:space="preserve"> is not subject to Attorney General (AG) rulings related to the PIA</w:t>
                        </w:r>
                        <w:r w:rsidR="00472539">
                          <w:t>, and receives</w:t>
                        </w:r>
                        <w:r w:rsidR="00782871">
                          <w:t xml:space="preserve"> annexes in full already</w:t>
                        </w:r>
                        <w:r w:rsidR="00DF3338">
                          <w:t xml:space="preserve">. </w:t>
                        </w:r>
                        <w:r w:rsidR="00782871">
                          <w:t xml:space="preserve">Because the PUC is subject to the PIA and </w:t>
                        </w:r>
                        <w:r w:rsidR="005F7D8A">
                          <w:t xml:space="preserve">AG </w:t>
                        </w:r>
                        <w:r w:rsidR="005F7D8A">
                          <w:lastRenderedPageBreak/>
                          <w:t xml:space="preserve">rulings associated with the PIA, protecting confidential and security sensitive information will </w:t>
                        </w:r>
                        <w:r w:rsidR="00992B17">
                          <w:t>be much more difficult</w:t>
                        </w:r>
                        <w:r w:rsidR="00F12BE4">
                          <w:t xml:space="preserve"> if entities are required to file </w:t>
                        </w:r>
                        <w:r w:rsidR="007C1307">
                          <w:t>complete annexes with the PUC</w:t>
                        </w:r>
                        <w:r w:rsidR="00992B17">
                          <w:t>.</w:t>
                        </w:r>
                      </w:p>
                    </w:sdtContent>
                  </w:sdt>
                  <w:p w14:paraId="6F6A50DD" w14:textId="325D778D" w:rsidR="004F6703" w:rsidRPr="00FB32F2" w:rsidRDefault="004F6703" w:rsidP="0026458F">
                    <w:pPr>
                      <w:jc w:val="both"/>
                      <w:rPr>
                        <w:rFonts w:ascii="Aptos" w:hAnsi="Aptos" w:cs="Arial"/>
                        <w:b/>
                        <w:bCs/>
                      </w:rPr>
                    </w:pPr>
                  </w:p>
                </w:tc>
              </w:tr>
            </w:sdtContent>
          </w:sdt>
        </w:sdtContent>
      </w:sdt>
    </w:tbl>
    <w:p w14:paraId="38D05944" w14:textId="77777777" w:rsidR="00FB32F2" w:rsidRPr="00FB32F2" w:rsidRDefault="00FB32F2" w:rsidP="0026458F">
      <w:pPr>
        <w:spacing w:line="259" w:lineRule="auto"/>
        <w:jc w:val="both"/>
        <w:rPr>
          <w:rFonts w:ascii="Calibri" w:eastAsia="Calibri" w:hAnsi="Calibri" w:cs="Arial"/>
          <w:kern w:val="2"/>
          <w:sz w:val="22"/>
          <w:szCs w:val="22"/>
          <w:lang w:eastAsia="en-US"/>
          <w14:ligatures w14:val="standardContextual"/>
        </w:rPr>
      </w:pPr>
    </w:p>
    <w:p w14:paraId="2C078E63" w14:textId="4D5CB2FC" w:rsidR="00B13947" w:rsidRDefault="00B13947" w:rsidP="0026458F">
      <w:pPr>
        <w:jc w:val="both"/>
      </w:pPr>
    </w:p>
    <w:sectPr w:rsidR="00B13947" w:rsidSect="00A11B8D">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0512D" w14:textId="77777777" w:rsidR="00E45691" w:rsidRDefault="00E45691" w:rsidP="00A141B8">
      <w:pPr>
        <w:spacing w:after="0" w:line="240" w:lineRule="auto"/>
      </w:pPr>
      <w:r>
        <w:separator/>
      </w:r>
    </w:p>
  </w:endnote>
  <w:endnote w:type="continuationSeparator" w:id="0">
    <w:p w14:paraId="05DCDE59" w14:textId="77777777" w:rsidR="00E45691" w:rsidRDefault="00E45691" w:rsidP="00A141B8">
      <w:pPr>
        <w:spacing w:after="0" w:line="240" w:lineRule="auto"/>
      </w:pPr>
      <w:r>
        <w:continuationSeparator/>
      </w:r>
    </w:p>
  </w:endnote>
  <w:endnote w:type="continuationNotice" w:id="1">
    <w:p w14:paraId="1B420127" w14:textId="77777777" w:rsidR="00E45691" w:rsidRDefault="00E45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711054"/>
      <w:docPartObj>
        <w:docPartGallery w:val="Page Numbers (Bottom of Page)"/>
        <w:docPartUnique/>
      </w:docPartObj>
    </w:sdtPr>
    <w:sdtContent>
      <w:sdt>
        <w:sdtPr>
          <w:id w:val="-1769616900"/>
          <w:docPartObj>
            <w:docPartGallery w:val="Page Numbers (Top of Page)"/>
            <w:docPartUnique/>
          </w:docPartObj>
        </w:sdtPr>
        <w:sdtContent>
          <w:p w14:paraId="089622B8" w14:textId="62670D25" w:rsidR="0052259D" w:rsidRDefault="0052259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8B2685" w14:textId="77777777" w:rsidR="0052259D" w:rsidRDefault="0052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8B1A" w14:textId="77777777" w:rsidR="00E45691" w:rsidRDefault="00E45691" w:rsidP="00A141B8">
      <w:pPr>
        <w:spacing w:after="0" w:line="240" w:lineRule="auto"/>
      </w:pPr>
      <w:r>
        <w:separator/>
      </w:r>
    </w:p>
  </w:footnote>
  <w:footnote w:type="continuationSeparator" w:id="0">
    <w:p w14:paraId="6196F33D" w14:textId="77777777" w:rsidR="00E45691" w:rsidRDefault="00E45691" w:rsidP="00A141B8">
      <w:pPr>
        <w:spacing w:after="0" w:line="240" w:lineRule="auto"/>
      </w:pPr>
      <w:r>
        <w:continuationSeparator/>
      </w:r>
    </w:p>
  </w:footnote>
  <w:footnote w:type="continuationNotice" w:id="1">
    <w:p w14:paraId="17083BE0" w14:textId="77777777" w:rsidR="00E45691" w:rsidRDefault="00E456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911FF"/>
    <w:multiLevelType w:val="hybridMultilevel"/>
    <w:tmpl w:val="42E82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5488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19A39"/>
    <w:rsid w:val="00001152"/>
    <w:rsid w:val="00002788"/>
    <w:rsid w:val="000028C7"/>
    <w:rsid w:val="00003C3E"/>
    <w:rsid w:val="000137E2"/>
    <w:rsid w:val="00023403"/>
    <w:rsid w:val="00027550"/>
    <w:rsid w:val="00045A0F"/>
    <w:rsid w:val="00056BAF"/>
    <w:rsid w:val="000577DA"/>
    <w:rsid w:val="00075D66"/>
    <w:rsid w:val="00077A62"/>
    <w:rsid w:val="0008045F"/>
    <w:rsid w:val="0008120A"/>
    <w:rsid w:val="0009548D"/>
    <w:rsid w:val="00097A2C"/>
    <w:rsid w:val="000A169B"/>
    <w:rsid w:val="000A6FB9"/>
    <w:rsid w:val="000D2F23"/>
    <w:rsid w:val="000F26E0"/>
    <w:rsid w:val="000F5FB2"/>
    <w:rsid w:val="000F6B8C"/>
    <w:rsid w:val="00101818"/>
    <w:rsid w:val="00106DA7"/>
    <w:rsid w:val="001109E5"/>
    <w:rsid w:val="00127035"/>
    <w:rsid w:val="00130069"/>
    <w:rsid w:val="001318A8"/>
    <w:rsid w:val="00154D98"/>
    <w:rsid w:val="00157592"/>
    <w:rsid w:val="00165ED0"/>
    <w:rsid w:val="00167F03"/>
    <w:rsid w:val="00174812"/>
    <w:rsid w:val="0017696A"/>
    <w:rsid w:val="00180C0C"/>
    <w:rsid w:val="00195F89"/>
    <w:rsid w:val="001B679E"/>
    <w:rsid w:val="001D003B"/>
    <w:rsid w:val="001D77CA"/>
    <w:rsid w:val="001E5B25"/>
    <w:rsid w:val="00206749"/>
    <w:rsid w:val="002110E9"/>
    <w:rsid w:val="00225B41"/>
    <w:rsid w:val="002322DF"/>
    <w:rsid w:val="00233AD1"/>
    <w:rsid w:val="002429B8"/>
    <w:rsid w:val="002446B2"/>
    <w:rsid w:val="002450F2"/>
    <w:rsid w:val="002459B7"/>
    <w:rsid w:val="00247458"/>
    <w:rsid w:val="00247C3B"/>
    <w:rsid w:val="00251EED"/>
    <w:rsid w:val="00252ECF"/>
    <w:rsid w:val="0026458F"/>
    <w:rsid w:val="002859F9"/>
    <w:rsid w:val="002875A5"/>
    <w:rsid w:val="002904DD"/>
    <w:rsid w:val="00292622"/>
    <w:rsid w:val="00295E8C"/>
    <w:rsid w:val="002977F0"/>
    <w:rsid w:val="002A25BD"/>
    <w:rsid w:val="002A5247"/>
    <w:rsid w:val="002A562C"/>
    <w:rsid w:val="002B4530"/>
    <w:rsid w:val="002B5225"/>
    <w:rsid w:val="002C5E6C"/>
    <w:rsid w:val="002C6B49"/>
    <w:rsid w:val="002D658C"/>
    <w:rsid w:val="002E270C"/>
    <w:rsid w:val="002E383D"/>
    <w:rsid w:val="002F1DD4"/>
    <w:rsid w:val="002F4342"/>
    <w:rsid w:val="00315D44"/>
    <w:rsid w:val="00316599"/>
    <w:rsid w:val="00335316"/>
    <w:rsid w:val="003436C0"/>
    <w:rsid w:val="003436DC"/>
    <w:rsid w:val="00350075"/>
    <w:rsid w:val="00365558"/>
    <w:rsid w:val="00383B21"/>
    <w:rsid w:val="00396ACD"/>
    <w:rsid w:val="003A2646"/>
    <w:rsid w:val="003A3355"/>
    <w:rsid w:val="003A3F5F"/>
    <w:rsid w:val="003B11F5"/>
    <w:rsid w:val="003C08D5"/>
    <w:rsid w:val="003C4304"/>
    <w:rsid w:val="003D243E"/>
    <w:rsid w:val="003E4FEE"/>
    <w:rsid w:val="003F4C21"/>
    <w:rsid w:val="003F7C6F"/>
    <w:rsid w:val="004003FB"/>
    <w:rsid w:val="00414E13"/>
    <w:rsid w:val="00421830"/>
    <w:rsid w:val="00422042"/>
    <w:rsid w:val="004230C1"/>
    <w:rsid w:val="00424035"/>
    <w:rsid w:val="004252C9"/>
    <w:rsid w:val="0043776B"/>
    <w:rsid w:val="00437BC5"/>
    <w:rsid w:val="00444B16"/>
    <w:rsid w:val="00450893"/>
    <w:rsid w:val="004533AA"/>
    <w:rsid w:val="004567A7"/>
    <w:rsid w:val="00464AD9"/>
    <w:rsid w:val="004705FF"/>
    <w:rsid w:val="0047119F"/>
    <w:rsid w:val="00472539"/>
    <w:rsid w:val="00473436"/>
    <w:rsid w:val="00477349"/>
    <w:rsid w:val="00491A0D"/>
    <w:rsid w:val="00492EC2"/>
    <w:rsid w:val="00497741"/>
    <w:rsid w:val="004A385A"/>
    <w:rsid w:val="004B01E9"/>
    <w:rsid w:val="004B774D"/>
    <w:rsid w:val="004C78EF"/>
    <w:rsid w:val="004D5EF4"/>
    <w:rsid w:val="004F2A3A"/>
    <w:rsid w:val="004F4A71"/>
    <w:rsid w:val="004F6703"/>
    <w:rsid w:val="005003F2"/>
    <w:rsid w:val="005030C5"/>
    <w:rsid w:val="00505295"/>
    <w:rsid w:val="00510083"/>
    <w:rsid w:val="0051688E"/>
    <w:rsid w:val="005169CC"/>
    <w:rsid w:val="0052259D"/>
    <w:rsid w:val="005272FB"/>
    <w:rsid w:val="00534F76"/>
    <w:rsid w:val="00540CE8"/>
    <w:rsid w:val="00541170"/>
    <w:rsid w:val="00545B95"/>
    <w:rsid w:val="005518FB"/>
    <w:rsid w:val="005528ED"/>
    <w:rsid w:val="0057516C"/>
    <w:rsid w:val="005829C0"/>
    <w:rsid w:val="0058515D"/>
    <w:rsid w:val="005934E7"/>
    <w:rsid w:val="005A65A1"/>
    <w:rsid w:val="005D55E8"/>
    <w:rsid w:val="005D6746"/>
    <w:rsid w:val="005E559F"/>
    <w:rsid w:val="005E597C"/>
    <w:rsid w:val="005F070C"/>
    <w:rsid w:val="005F7D8A"/>
    <w:rsid w:val="00602808"/>
    <w:rsid w:val="00602FF5"/>
    <w:rsid w:val="00614520"/>
    <w:rsid w:val="006256A9"/>
    <w:rsid w:val="006557D9"/>
    <w:rsid w:val="00670A6F"/>
    <w:rsid w:val="006724F4"/>
    <w:rsid w:val="006812AC"/>
    <w:rsid w:val="006872B4"/>
    <w:rsid w:val="00690C70"/>
    <w:rsid w:val="00694787"/>
    <w:rsid w:val="00696A8C"/>
    <w:rsid w:val="006A49A5"/>
    <w:rsid w:val="006B38BA"/>
    <w:rsid w:val="006C471F"/>
    <w:rsid w:val="006C51F7"/>
    <w:rsid w:val="006C60B0"/>
    <w:rsid w:val="006C633D"/>
    <w:rsid w:val="006D2E37"/>
    <w:rsid w:val="006E36A9"/>
    <w:rsid w:val="006E71A8"/>
    <w:rsid w:val="006F0896"/>
    <w:rsid w:val="006F6382"/>
    <w:rsid w:val="00700BEF"/>
    <w:rsid w:val="00701F91"/>
    <w:rsid w:val="00714F6C"/>
    <w:rsid w:val="0073004F"/>
    <w:rsid w:val="00731BBE"/>
    <w:rsid w:val="007569FB"/>
    <w:rsid w:val="00757617"/>
    <w:rsid w:val="00774F96"/>
    <w:rsid w:val="00782383"/>
    <w:rsid w:val="00782871"/>
    <w:rsid w:val="00792FA1"/>
    <w:rsid w:val="00796202"/>
    <w:rsid w:val="007B11EE"/>
    <w:rsid w:val="007C1307"/>
    <w:rsid w:val="007C495D"/>
    <w:rsid w:val="007F55E1"/>
    <w:rsid w:val="008059DB"/>
    <w:rsid w:val="008075C3"/>
    <w:rsid w:val="00810585"/>
    <w:rsid w:val="00824F2B"/>
    <w:rsid w:val="0085592A"/>
    <w:rsid w:val="00864280"/>
    <w:rsid w:val="00873ECD"/>
    <w:rsid w:val="008778AB"/>
    <w:rsid w:val="008806CA"/>
    <w:rsid w:val="00887AA8"/>
    <w:rsid w:val="00897B4E"/>
    <w:rsid w:val="008A4A1E"/>
    <w:rsid w:val="008A7D05"/>
    <w:rsid w:val="008B0592"/>
    <w:rsid w:val="008B0E54"/>
    <w:rsid w:val="008D6886"/>
    <w:rsid w:val="008E2644"/>
    <w:rsid w:val="008F6B51"/>
    <w:rsid w:val="009017D9"/>
    <w:rsid w:val="00904F41"/>
    <w:rsid w:val="00907694"/>
    <w:rsid w:val="00925E9A"/>
    <w:rsid w:val="00933416"/>
    <w:rsid w:val="00935108"/>
    <w:rsid w:val="009371A5"/>
    <w:rsid w:val="00942E19"/>
    <w:rsid w:val="00945B6E"/>
    <w:rsid w:val="00947E98"/>
    <w:rsid w:val="00950B3E"/>
    <w:rsid w:val="00957C6D"/>
    <w:rsid w:val="009623F8"/>
    <w:rsid w:val="00966CAC"/>
    <w:rsid w:val="00966FE0"/>
    <w:rsid w:val="00972603"/>
    <w:rsid w:val="009747EC"/>
    <w:rsid w:val="00992B17"/>
    <w:rsid w:val="009A20AE"/>
    <w:rsid w:val="009A2132"/>
    <w:rsid w:val="009C0D7F"/>
    <w:rsid w:val="009C4D2F"/>
    <w:rsid w:val="009C6C74"/>
    <w:rsid w:val="009D2451"/>
    <w:rsid w:val="009F0B52"/>
    <w:rsid w:val="009F294F"/>
    <w:rsid w:val="009F3A7D"/>
    <w:rsid w:val="009F45EE"/>
    <w:rsid w:val="00A042EF"/>
    <w:rsid w:val="00A11B8D"/>
    <w:rsid w:val="00A141B8"/>
    <w:rsid w:val="00A1702D"/>
    <w:rsid w:val="00A236CE"/>
    <w:rsid w:val="00A24336"/>
    <w:rsid w:val="00A641FB"/>
    <w:rsid w:val="00A663C5"/>
    <w:rsid w:val="00A70A3C"/>
    <w:rsid w:val="00A7505A"/>
    <w:rsid w:val="00A86992"/>
    <w:rsid w:val="00A90EBF"/>
    <w:rsid w:val="00A91275"/>
    <w:rsid w:val="00A93D32"/>
    <w:rsid w:val="00A94DFA"/>
    <w:rsid w:val="00A95A6C"/>
    <w:rsid w:val="00A97E74"/>
    <w:rsid w:val="00AA49BF"/>
    <w:rsid w:val="00AB294C"/>
    <w:rsid w:val="00AD0988"/>
    <w:rsid w:val="00AD33EF"/>
    <w:rsid w:val="00AE7672"/>
    <w:rsid w:val="00AE79C0"/>
    <w:rsid w:val="00AF4A1B"/>
    <w:rsid w:val="00B0196E"/>
    <w:rsid w:val="00B03CB0"/>
    <w:rsid w:val="00B10C75"/>
    <w:rsid w:val="00B13947"/>
    <w:rsid w:val="00B17009"/>
    <w:rsid w:val="00B22645"/>
    <w:rsid w:val="00B41ED8"/>
    <w:rsid w:val="00B467FC"/>
    <w:rsid w:val="00B54B1C"/>
    <w:rsid w:val="00B70D6D"/>
    <w:rsid w:val="00B7484C"/>
    <w:rsid w:val="00B769A6"/>
    <w:rsid w:val="00B77521"/>
    <w:rsid w:val="00B805FF"/>
    <w:rsid w:val="00B92582"/>
    <w:rsid w:val="00B92763"/>
    <w:rsid w:val="00B97624"/>
    <w:rsid w:val="00BA04DA"/>
    <w:rsid w:val="00BA0719"/>
    <w:rsid w:val="00BA220E"/>
    <w:rsid w:val="00BA6703"/>
    <w:rsid w:val="00BB1AFC"/>
    <w:rsid w:val="00BD6B01"/>
    <w:rsid w:val="00BE47DA"/>
    <w:rsid w:val="00C066C9"/>
    <w:rsid w:val="00C11262"/>
    <w:rsid w:val="00C15E8C"/>
    <w:rsid w:val="00C221C9"/>
    <w:rsid w:val="00C22934"/>
    <w:rsid w:val="00C27D00"/>
    <w:rsid w:val="00C3034E"/>
    <w:rsid w:val="00C30DA1"/>
    <w:rsid w:val="00C32B60"/>
    <w:rsid w:val="00C43537"/>
    <w:rsid w:val="00C500E5"/>
    <w:rsid w:val="00C53986"/>
    <w:rsid w:val="00C53B17"/>
    <w:rsid w:val="00C86CDF"/>
    <w:rsid w:val="00C87410"/>
    <w:rsid w:val="00C90E66"/>
    <w:rsid w:val="00C92D5B"/>
    <w:rsid w:val="00CA2CF7"/>
    <w:rsid w:val="00CB1979"/>
    <w:rsid w:val="00CB2973"/>
    <w:rsid w:val="00CB29F1"/>
    <w:rsid w:val="00CB597C"/>
    <w:rsid w:val="00CC6464"/>
    <w:rsid w:val="00CD4114"/>
    <w:rsid w:val="00CE05F4"/>
    <w:rsid w:val="00CE2171"/>
    <w:rsid w:val="00CE3C57"/>
    <w:rsid w:val="00CE3DF5"/>
    <w:rsid w:val="00D03AF0"/>
    <w:rsid w:val="00D04FFB"/>
    <w:rsid w:val="00D24508"/>
    <w:rsid w:val="00D3078D"/>
    <w:rsid w:val="00D50E3F"/>
    <w:rsid w:val="00D54186"/>
    <w:rsid w:val="00D576FF"/>
    <w:rsid w:val="00D611BA"/>
    <w:rsid w:val="00D72C20"/>
    <w:rsid w:val="00D9602D"/>
    <w:rsid w:val="00DA1482"/>
    <w:rsid w:val="00DA7424"/>
    <w:rsid w:val="00DB088C"/>
    <w:rsid w:val="00DC2EAB"/>
    <w:rsid w:val="00DD5429"/>
    <w:rsid w:val="00DE5EBB"/>
    <w:rsid w:val="00DE6E50"/>
    <w:rsid w:val="00DF07C4"/>
    <w:rsid w:val="00DF3338"/>
    <w:rsid w:val="00E369F9"/>
    <w:rsid w:val="00E36DCC"/>
    <w:rsid w:val="00E37A32"/>
    <w:rsid w:val="00E410CA"/>
    <w:rsid w:val="00E45691"/>
    <w:rsid w:val="00E6073B"/>
    <w:rsid w:val="00E7780B"/>
    <w:rsid w:val="00E81F3F"/>
    <w:rsid w:val="00E85E5E"/>
    <w:rsid w:val="00EB7143"/>
    <w:rsid w:val="00ED457E"/>
    <w:rsid w:val="00EF1964"/>
    <w:rsid w:val="00F045F8"/>
    <w:rsid w:val="00F12BE4"/>
    <w:rsid w:val="00F1325E"/>
    <w:rsid w:val="00F2583A"/>
    <w:rsid w:val="00F265FA"/>
    <w:rsid w:val="00F556AF"/>
    <w:rsid w:val="00F65E8B"/>
    <w:rsid w:val="00F669AD"/>
    <w:rsid w:val="00F70713"/>
    <w:rsid w:val="00F712F6"/>
    <w:rsid w:val="00F83B2F"/>
    <w:rsid w:val="00F840FB"/>
    <w:rsid w:val="00F853B7"/>
    <w:rsid w:val="00F91368"/>
    <w:rsid w:val="00FB32F2"/>
    <w:rsid w:val="00FC48A0"/>
    <w:rsid w:val="00FE1A43"/>
    <w:rsid w:val="00FE4CD1"/>
    <w:rsid w:val="00FE79FE"/>
    <w:rsid w:val="00FE7D8B"/>
    <w:rsid w:val="03632CA8"/>
    <w:rsid w:val="0AB6EE72"/>
    <w:rsid w:val="0AEDA521"/>
    <w:rsid w:val="0EC78851"/>
    <w:rsid w:val="19A3FA3E"/>
    <w:rsid w:val="1B619A39"/>
    <w:rsid w:val="21185E53"/>
    <w:rsid w:val="24A5975E"/>
    <w:rsid w:val="2800EC22"/>
    <w:rsid w:val="2916851C"/>
    <w:rsid w:val="2A2F743D"/>
    <w:rsid w:val="2E9DD4FF"/>
    <w:rsid w:val="2F2EEDE3"/>
    <w:rsid w:val="3AF36231"/>
    <w:rsid w:val="442EE9B3"/>
    <w:rsid w:val="461DB4D3"/>
    <w:rsid w:val="55B06DD5"/>
    <w:rsid w:val="568A249B"/>
    <w:rsid w:val="5A49E126"/>
    <w:rsid w:val="5C2E6418"/>
    <w:rsid w:val="5CC13D0D"/>
    <w:rsid w:val="61A97FEB"/>
    <w:rsid w:val="628AF4F9"/>
    <w:rsid w:val="70173E8C"/>
    <w:rsid w:val="74C122FD"/>
    <w:rsid w:val="7AECC9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017C6"/>
  <w15:chartTrackingRefBased/>
  <w15:docId w15:val="{8FDD75DB-88CA-4622-8B06-789468A1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C2E6418"/>
    <w:rPr>
      <w:color w:val="467886"/>
      <w:u w:val="single"/>
    </w:rPr>
  </w:style>
  <w:style w:type="paragraph" w:styleId="Header">
    <w:name w:val="header"/>
    <w:basedOn w:val="Normal"/>
    <w:link w:val="HeaderChar"/>
    <w:uiPriority w:val="99"/>
    <w:unhideWhenUsed/>
    <w:rsid w:val="00A14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1B8"/>
  </w:style>
  <w:style w:type="paragraph" w:styleId="Footer">
    <w:name w:val="footer"/>
    <w:basedOn w:val="Normal"/>
    <w:link w:val="FooterChar"/>
    <w:uiPriority w:val="99"/>
    <w:unhideWhenUsed/>
    <w:rsid w:val="00A14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1B8"/>
  </w:style>
  <w:style w:type="paragraph" w:styleId="Revision">
    <w:name w:val="Revision"/>
    <w:hidden/>
    <w:uiPriority w:val="99"/>
    <w:semiHidden/>
    <w:rsid w:val="00F265FA"/>
    <w:pPr>
      <w:spacing w:after="0" w:line="240" w:lineRule="auto"/>
    </w:pPr>
  </w:style>
  <w:style w:type="character" w:styleId="CommentReference">
    <w:name w:val="annotation reference"/>
    <w:basedOn w:val="DefaultParagraphFont"/>
    <w:uiPriority w:val="99"/>
    <w:semiHidden/>
    <w:unhideWhenUsed/>
    <w:rsid w:val="002C6B49"/>
    <w:rPr>
      <w:sz w:val="16"/>
      <w:szCs w:val="16"/>
    </w:rPr>
  </w:style>
  <w:style w:type="paragraph" w:styleId="CommentText">
    <w:name w:val="annotation text"/>
    <w:basedOn w:val="Normal"/>
    <w:link w:val="CommentTextChar"/>
    <w:uiPriority w:val="99"/>
    <w:unhideWhenUsed/>
    <w:rsid w:val="002C6B49"/>
    <w:pPr>
      <w:spacing w:line="240" w:lineRule="auto"/>
    </w:pPr>
    <w:rPr>
      <w:sz w:val="20"/>
      <w:szCs w:val="20"/>
    </w:rPr>
  </w:style>
  <w:style w:type="character" w:customStyle="1" w:styleId="CommentTextChar">
    <w:name w:val="Comment Text Char"/>
    <w:basedOn w:val="DefaultParagraphFont"/>
    <w:link w:val="CommentText"/>
    <w:uiPriority w:val="99"/>
    <w:rsid w:val="002C6B49"/>
    <w:rPr>
      <w:sz w:val="20"/>
      <w:szCs w:val="20"/>
    </w:rPr>
  </w:style>
  <w:style w:type="paragraph" w:styleId="CommentSubject">
    <w:name w:val="annotation subject"/>
    <w:basedOn w:val="CommentText"/>
    <w:next w:val="CommentText"/>
    <w:link w:val="CommentSubjectChar"/>
    <w:uiPriority w:val="99"/>
    <w:semiHidden/>
    <w:unhideWhenUsed/>
    <w:rsid w:val="002C6B49"/>
    <w:rPr>
      <w:b/>
      <w:bCs/>
    </w:rPr>
  </w:style>
  <w:style w:type="character" w:customStyle="1" w:styleId="CommentSubjectChar">
    <w:name w:val="Comment Subject Char"/>
    <w:basedOn w:val="CommentTextChar"/>
    <w:link w:val="CommentSubject"/>
    <w:uiPriority w:val="99"/>
    <w:semiHidden/>
    <w:rsid w:val="002C6B49"/>
    <w:rPr>
      <w:b/>
      <w:bCs/>
      <w:sz w:val="20"/>
      <w:szCs w:val="20"/>
    </w:rPr>
  </w:style>
  <w:style w:type="table" w:styleId="TableGrid">
    <w:name w:val="Table Grid"/>
    <w:basedOn w:val="TableNormal"/>
    <w:uiPriority w:val="39"/>
    <w:rsid w:val="00FB32F2"/>
    <w:pPr>
      <w:spacing w:after="0" w:line="240" w:lineRule="auto"/>
    </w:pPr>
    <w:rPr>
      <w:rFonts w:eastAsia="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2973"/>
    <w:rPr>
      <w:color w:val="666666"/>
    </w:rPr>
  </w:style>
  <w:style w:type="character" w:styleId="Mention">
    <w:name w:val="Mention"/>
    <w:basedOn w:val="DefaultParagraphFont"/>
    <w:uiPriority w:val="99"/>
    <w:unhideWhenUsed/>
    <w:rsid w:val="008075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interchange.puc.texas.gov/fil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08336F0DC24A3A844EB96236AB2247"/>
        <w:category>
          <w:name w:val="General"/>
          <w:gallery w:val="placeholder"/>
        </w:category>
        <w:types>
          <w:type w:val="bbPlcHdr"/>
        </w:types>
        <w:behaviors>
          <w:behavior w:val="content"/>
        </w:behaviors>
        <w:guid w:val="{AE41AFDF-520B-4AC5-B3AA-4691EA90EC76}"/>
      </w:docPartPr>
      <w:docPartBody>
        <w:p w:rsidR="00716BEE" w:rsidRDefault="00A82767" w:rsidP="00A82767">
          <w:pPr>
            <w:pStyle w:val="7208336F0DC24A3A844EB96236AB22472"/>
          </w:pPr>
          <w:r w:rsidRPr="00FB32F2">
            <w:rPr>
              <w:rFonts w:ascii="Aptos" w:hAnsi="Aptos" w:cs="Times New Roman"/>
              <w:color w:val="808080"/>
            </w:rPr>
            <w:t>Click or tap here to enter text.</w:t>
          </w:r>
        </w:p>
      </w:docPartBody>
    </w:docPart>
    <w:docPart>
      <w:docPartPr>
        <w:name w:val="D50EE64E36194F4B9397BF8AAB8BDDE3"/>
        <w:category>
          <w:name w:val="General"/>
          <w:gallery w:val="placeholder"/>
        </w:category>
        <w:types>
          <w:type w:val="bbPlcHdr"/>
        </w:types>
        <w:behaviors>
          <w:behavior w:val="content"/>
        </w:behaviors>
        <w:guid w:val="{70523FC2-6036-459E-B018-4DCD6658FDA1}"/>
      </w:docPartPr>
      <w:docPartBody>
        <w:p w:rsidR="00716BEE" w:rsidRDefault="00A82767" w:rsidP="00A82767">
          <w:pPr>
            <w:pStyle w:val="D50EE64E36194F4B9397BF8AAB8BDDE32"/>
          </w:pPr>
          <w:r w:rsidRPr="00FB32F2">
            <w:rPr>
              <w:rFonts w:ascii="Aptos" w:hAnsi="Aptos" w:cs="Times New Roman"/>
              <w:color w:val="808080"/>
            </w:rPr>
            <w:t>Click or tap here to enter text.</w:t>
          </w:r>
        </w:p>
      </w:docPartBody>
    </w:docPart>
    <w:docPart>
      <w:docPartPr>
        <w:name w:val="7F9766D082544EE68DD7B35903DD3D53"/>
        <w:category>
          <w:name w:val="General"/>
          <w:gallery w:val="placeholder"/>
        </w:category>
        <w:types>
          <w:type w:val="bbPlcHdr"/>
        </w:types>
        <w:behaviors>
          <w:behavior w:val="content"/>
        </w:behaviors>
        <w:guid w:val="{EE50AAF2-2324-43AD-B3D8-103E55A7E75F}"/>
      </w:docPartPr>
      <w:docPartBody>
        <w:p w:rsidR="00716BEE" w:rsidRDefault="00A82767" w:rsidP="00A82767">
          <w:pPr>
            <w:pStyle w:val="7F9766D082544EE68DD7B35903DD3D532"/>
          </w:pPr>
          <w:r w:rsidRPr="00FB32F2">
            <w:rPr>
              <w:rFonts w:ascii="Aptos" w:hAnsi="Aptos" w:cs="Times New Roman"/>
              <w:color w:val="808080"/>
            </w:rPr>
            <w:t>Click or tap here to enter text.</w:t>
          </w:r>
        </w:p>
      </w:docPartBody>
    </w:docPart>
    <w:docPart>
      <w:docPartPr>
        <w:name w:val="F2A882063F1E49F5A9B5B2BF83C9DD21"/>
        <w:category>
          <w:name w:val="General"/>
          <w:gallery w:val="placeholder"/>
        </w:category>
        <w:types>
          <w:type w:val="bbPlcHdr"/>
        </w:types>
        <w:behaviors>
          <w:behavior w:val="content"/>
        </w:behaviors>
        <w:guid w:val="{CCF04635-3C3A-4993-802D-4934512A01DE}"/>
      </w:docPartPr>
      <w:docPartBody>
        <w:p w:rsidR="00716BEE" w:rsidRDefault="00A82767" w:rsidP="00A82767">
          <w:pPr>
            <w:pStyle w:val="F2A882063F1E49F5A9B5B2BF83C9DD212"/>
          </w:pPr>
          <w:r w:rsidRPr="00FB32F2">
            <w:rPr>
              <w:rFonts w:ascii="Times New Roman" w:hAnsi="Times New Roman" w:cs="Times New Roman"/>
              <w:color w:val="808080"/>
            </w:rPr>
            <w:t>Click or tap here to enter text.</w:t>
          </w:r>
        </w:p>
      </w:docPartBody>
    </w:docPart>
    <w:docPart>
      <w:docPartPr>
        <w:name w:val="5B00003CC75541F889324D453386B24B"/>
        <w:category>
          <w:name w:val="General"/>
          <w:gallery w:val="placeholder"/>
        </w:category>
        <w:types>
          <w:type w:val="bbPlcHdr"/>
        </w:types>
        <w:behaviors>
          <w:behavior w:val="content"/>
        </w:behaviors>
        <w:guid w:val="{BD34A249-BF2D-420C-8689-3A1259240BFC}"/>
      </w:docPartPr>
      <w:docPartBody>
        <w:p w:rsidR="00716BEE" w:rsidRDefault="00716BEE" w:rsidP="00716BEE">
          <w:pPr>
            <w:pStyle w:val="5B00003CC75541F889324D453386B24B"/>
          </w:pPr>
          <w:r w:rsidRPr="00775686">
            <w:rPr>
              <w:rStyle w:val="PlaceholderText"/>
              <w:rFonts w:ascii="Times New Roman" w:hAnsi="Times New Roman" w:cs="Times New Roman"/>
            </w:rPr>
            <w:t>Click or tap here to enter text.</w:t>
          </w:r>
        </w:p>
      </w:docPartBody>
    </w:docPart>
    <w:docPart>
      <w:docPartPr>
        <w:name w:val="321B0F232E90459DBE665D6AE95B6754"/>
        <w:category>
          <w:name w:val="General"/>
          <w:gallery w:val="placeholder"/>
        </w:category>
        <w:types>
          <w:type w:val="bbPlcHdr"/>
        </w:types>
        <w:behaviors>
          <w:behavior w:val="content"/>
        </w:behaviors>
        <w:guid w:val="{F4B6C107-0A77-467E-AF50-B6D590302D3E}"/>
      </w:docPartPr>
      <w:docPartBody>
        <w:p w:rsidR="00716BEE" w:rsidRDefault="00A82767" w:rsidP="00A82767">
          <w:pPr>
            <w:pStyle w:val="321B0F232E90459DBE665D6AE95B67542"/>
          </w:pPr>
          <w:r w:rsidRPr="00FB32F2">
            <w:rPr>
              <w:rFonts w:ascii="Aptos" w:hAnsi="Aptos" w:cs="Arial"/>
              <w:color w:val="808080"/>
            </w:rPr>
            <w:t>Click or tap here to enter text.</w:t>
          </w:r>
        </w:p>
      </w:docPartBody>
    </w:docPart>
    <w:docPart>
      <w:docPartPr>
        <w:name w:val="06D77CE216204BF8B0E126150071B9A9"/>
        <w:category>
          <w:name w:val="General"/>
          <w:gallery w:val="placeholder"/>
        </w:category>
        <w:types>
          <w:type w:val="bbPlcHdr"/>
        </w:types>
        <w:behaviors>
          <w:behavior w:val="content"/>
        </w:behaviors>
        <w:guid w:val="{8DBC808A-DC3C-4E33-B20A-F3208CC7004C}"/>
      </w:docPartPr>
      <w:docPartBody>
        <w:p w:rsidR="00716BEE" w:rsidRDefault="00716BEE" w:rsidP="00716BEE">
          <w:pPr>
            <w:pStyle w:val="06D77CE216204BF8B0E126150071B9A9"/>
          </w:pPr>
          <w:r>
            <w:rPr>
              <w:rStyle w:val="PlaceholderText"/>
            </w:rPr>
            <w:t>Enter any content that you want to repeat, including other content controls. You can also insert this control around table rows in order to repeat parts of a table.</w:t>
          </w:r>
        </w:p>
      </w:docPartBody>
    </w:docPart>
    <w:docPart>
      <w:docPartPr>
        <w:name w:val="CF5F65285D3841ECB844FE69E04236F1"/>
        <w:category>
          <w:name w:val="General"/>
          <w:gallery w:val="placeholder"/>
        </w:category>
        <w:types>
          <w:type w:val="bbPlcHdr"/>
        </w:types>
        <w:behaviors>
          <w:behavior w:val="content"/>
        </w:behaviors>
        <w:guid w:val="{0408883B-F9BC-443D-97D6-58CEE9F16D78}"/>
      </w:docPartPr>
      <w:docPartBody>
        <w:p w:rsidR="00716BEE" w:rsidRDefault="00A82767" w:rsidP="00A82767">
          <w:pPr>
            <w:pStyle w:val="CF5F65285D3841ECB844FE69E04236F12"/>
          </w:pPr>
          <w:r w:rsidRPr="00FB32F2">
            <w:rPr>
              <w:rFonts w:ascii="Aptos" w:eastAsia="Yu Mincho" w:hAnsi="Aptos" w:cs="Arial"/>
              <w:color w:val="808080"/>
            </w:rPr>
            <w:t>Click or tap here to enter text.</w:t>
          </w:r>
        </w:p>
      </w:docPartBody>
    </w:docPart>
    <w:docPart>
      <w:docPartPr>
        <w:name w:val="17A4067214E54C31AF22A91109D9AB16"/>
        <w:category>
          <w:name w:val="General"/>
          <w:gallery w:val="placeholder"/>
        </w:category>
        <w:types>
          <w:type w:val="bbPlcHdr"/>
        </w:types>
        <w:behaviors>
          <w:behavior w:val="content"/>
        </w:behaviors>
        <w:guid w:val="{807983D2-0632-4E7D-8321-40C0635E5CB5}"/>
      </w:docPartPr>
      <w:docPartBody>
        <w:p w:rsidR="00716BEE" w:rsidRDefault="00716BEE" w:rsidP="00716BEE">
          <w:pPr>
            <w:pStyle w:val="17A4067214E54C31AF22A91109D9AB16"/>
          </w:pPr>
          <w:r>
            <w:rPr>
              <w:rStyle w:val="PlaceholderText"/>
            </w:rPr>
            <w:t>Enter any content that you want to repeat, including other content controls. You can also insert this control around table rows in order to repeat parts of a table.</w:t>
          </w:r>
        </w:p>
      </w:docPartBody>
    </w:docPart>
    <w:docPart>
      <w:docPartPr>
        <w:name w:val="3A29E01DDA374D4ABF82EB6D987F837B"/>
        <w:category>
          <w:name w:val="General"/>
          <w:gallery w:val="placeholder"/>
        </w:category>
        <w:types>
          <w:type w:val="bbPlcHdr"/>
        </w:types>
        <w:behaviors>
          <w:behavior w:val="content"/>
        </w:behaviors>
        <w:guid w:val="{E995D995-9D44-45F1-9F93-00952C1C443E}"/>
      </w:docPartPr>
      <w:docPartBody>
        <w:p w:rsidR="00716BEE" w:rsidRDefault="00A82767" w:rsidP="00A82767">
          <w:pPr>
            <w:pStyle w:val="3A29E01DDA374D4ABF82EB6D987F837B2"/>
          </w:pPr>
          <w:r w:rsidRPr="00FB32F2">
            <w:rPr>
              <w:rFonts w:ascii="Aptos" w:eastAsia="Yu Mincho" w:hAnsi="Aptos" w:cs="Arial"/>
              <w:color w:val="808080"/>
            </w:rPr>
            <w:t>Click or tap here to enter text.</w:t>
          </w:r>
        </w:p>
      </w:docPartBody>
    </w:docPart>
    <w:docPart>
      <w:docPartPr>
        <w:name w:val="2D603868ED0C4B56BC8BEC3600E7A1A5"/>
        <w:category>
          <w:name w:val="General"/>
          <w:gallery w:val="placeholder"/>
        </w:category>
        <w:types>
          <w:type w:val="bbPlcHdr"/>
        </w:types>
        <w:behaviors>
          <w:behavior w:val="content"/>
        </w:behaviors>
        <w:guid w:val="{68E3EF80-D70A-4E14-B74C-E22BDB4C09B7}"/>
      </w:docPartPr>
      <w:docPartBody>
        <w:p w:rsidR="00D133A4" w:rsidRDefault="004A6C01" w:rsidP="004A6C01">
          <w:pPr>
            <w:pStyle w:val="2D603868ED0C4B56BC8BEC3600E7A1A5"/>
          </w:pPr>
          <w:r>
            <w:rPr>
              <w:rStyle w:val="PlaceholderText"/>
            </w:rPr>
            <w:t>Enter any content that you want to repeat, including other content controls. You can also insert this control around table rows in order to repeat parts of a table.</w:t>
          </w:r>
        </w:p>
      </w:docPartBody>
    </w:docPart>
    <w:docPart>
      <w:docPartPr>
        <w:name w:val="D3B72E5D32A6477EAA9DFDE586BC8374"/>
        <w:category>
          <w:name w:val="General"/>
          <w:gallery w:val="placeholder"/>
        </w:category>
        <w:types>
          <w:type w:val="bbPlcHdr"/>
        </w:types>
        <w:behaviors>
          <w:behavior w:val="content"/>
        </w:behaviors>
        <w:guid w:val="{BA3A636C-A8A9-48E5-AD87-0879477A9106}"/>
      </w:docPartPr>
      <w:docPartBody>
        <w:p w:rsidR="00D133A4" w:rsidRDefault="004A6C01" w:rsidP="004A6C01">
          <w:pPr>
            <w:pStyle w:val="D3B72E5D32A6477EAA9DFDE586BC8374"/>
          </w:pPr>
          <w:r w:rsidRPr="00FB32F2">
            <w:rPr>
              <w:rFonts w:ascii="Aptos" w:eastAsia="Yu Mincho" w:hAnsi="Aptos" w:cs="Arial"/>
              <w:color w:val="808080"/>
            </w:rPr>
            <w:t>Click or tap here to enter text.</w:t>
          </w:r>
        </w:p>
      </w:docPartBody>
    </w:docPart>
    <w:docPart>
      <w:docPartPr>
        <w:name w:val="4FF30BCCCD9944248A9D48AB7ADC892B"/>
        <w:category>
          <w:name w:val="General"/>
          <w:gallery w:val="placeholder"/>
        </w:category>
        <w:types>
          <w:type w:val="bbPlcHdr"/>
        </w:types>
        <w:behaviors>
          <w:behavior w:val="content"/>
        </w:behaviors>
        <w:guid w:val="{40B999AE-4115-4FBF-9939-A98FEC91F5A0}"/>
      </w:docPartPr>
      <w:docPartBody>
        <w:p w:rsidR="00D133A4" w:rsidRDefault="004A6C01" w:rsidP="004A6C01">
          <w:pPr>
            <w:pStyle w:val="4FF30BCCCD9944248A9D48AB7ADC892B"/>
          </w:pPr>
          <w:r>
            <w:rPr>
              <w:rStyle w:val="PlaceholderText"/>
            </w:rPr>
            <w:t>Enter any content that you want to repeat, including other content controls. You can also insert this control around table rows in order to repeat parts of a table.</w:t>
          </w:r>
        </w:p>
      </w:docPartBody>
    </w:docPart>
    <w:docPart>
      <w:docPartPr>
        <w:name w:val="F3810E7170F749C49578C9728A5DD0E1"/>
        <w:category>
          <w:name w:val="General"/>
          <w:gallery w:val="placeholder"/>
        </w:category>
        <w:types>
          <w:type w:val="bbPlcHdr"/>
        </w:types>
        <w:behaviors>
          <w:behavior w:val="content"/>
        </w:behaviors>
        <w:guid w:val="{8D5C38F1-388B-4318-8823-0F03CA059CC3}"/>
      </w:docPartPr>
      <w:docPartBody>
        <w:p w:rsidR="00D133A4" w:rsidRDefault="004A6C01" w:rsidP="004A6C01">
          <w:pPr>
            <w:pStyle w:val="F3810E7170F749C49578C9728A5DD0E1"/>
          </w:pPr>
          <w:r w:rsidRPr="00FB32F2">
            <w:rPr>
              <w:rFonts w:ascii="Aptos" w:eastAsia="Yu Mincho" w:hAnsi="Aptos" w:cs="Arial"/>
              <w:color w:val="808080"/>
            </w:rPr>
            <w:t>Click or tap here to enter text.</w:t>
          </w:r>
        </w:p>
      </w:docPartBody>
    </w:docPart>
    <w:docPart>
      <w:docPartPr>
        <w:name w:val="55FBB5D5D07E4A3E9F9F12C0AF86D604"/>
        <w:category>
          <w:name w:val="General"/>
          <w:gallery w:val="placeholder"/>
        </w:category>
        <w:types>
          <w:type w:val="bbPlcHdr"/>
        </w:types>
        <w:behaviors>
          <w:behavior w:val="content"/>
        </w:behaviors>
        <w:guid w:val="{F916766F-0B78-4937-B494-276BBDF07DF1}"/>
      </w:docPartPr>
      <w:docPartBody>
        <w:p w:rsidR="00D133A4" w:rsidRDefault="004A6C01" w:rsidP="004A6C01">
          <w:pPr>
            <w:pStyle w:val="55FBB5D5D07E4A3E9F9F12C0AF86D604"/>
          </w:pPr>
          <w:r>
            <w:rPr>
              <w:rStyle w:val="PlaceholderText"/>
            </w:rPr>
            <w:t>Enter any content that you want to repeat, including other content controls. You can also insert this control around table rows in order to repeat parts of a table.</w:t>
          </w:r>
        </w:p>
      </w:docPartBody>
    </w:docPart>
    <w:docPart>
      <w:docPartPr>
        <w:name w:val="DE7B243383F04A0C92BF69DCAC5C0606"/>
        <w:category>
          <w:name w:val="General"/>
          <w:gallery w:val="placeholder"/>
        </w:category>
        <w:types>
          <w:type w:val="bbPlcHdr"/>
        </w:types>
        <w:behaviors>
          <w:behavior w:val="content"/>
        </w:behaviors>
        <w:guid w:val="{B173D8AE-013C-4591-A958-95F11E4EDBB9}"/>
      </w:docPartPr>
      <w:docPartBody>
        <w:p w:rsidR="00D133A4" w:rsidRDefault="004A6C01" w:rsidP="004A6C01">
          <w:pPr>
            <w:pStyle w:val="DE7B243383F04A0C92BF69DCAC5C0606"/>
          </w:pPr>
          <w:r w:rsidRPr="00FB32F2">
            <w:rPr>
              <w:rFonts w:ascii="Aptos" w:eastAsia="Yu Mincho" w:hAnsi="Aptos" w:cs="Arial"/>
              <w:color w:val="808080"/>
            </w:rPr>
            <w:t>Click or tap here to enter text.</w:t>
          </w:r>
        </w:p>
      </w:docPartBody>
    </w:docPart>
    <w:docPart>
      <w:docPartPr>
        <w:name w:val="B11A4815858142069A7B50DACA1C0CC2"/>
        <w:category>
          <w:name w:val="General"/>
          <w:gallery w:val="placeholder"/>
        </w:category>
        <w:types>
          <w:type w:val="bbPlcHdr"/>
        </w:types>
        <w:behaviors>
          <w:behavior w:val="content"/>
        </w:behaviors>
        <w:guid w:val="{287A0B70-A2D8-4398-8303-D04DCC2E39F9}"/>
      </w:docPartPr>
      <w:docPartBody>
        <w:p w:rsidR="00D133A4" w:rsidRDefault="004A6C01" w:rsidP="004A6C01">
          <w:pPr>
            <w:pStyle w:val="B11A4815858142069A7B50DACA1C0CC2"/>
          </w:pPr>
          <w:r>
            <w:rPr>
              <w:rStyle w:val="PlaceholderText"/>
            </w:rPr>
            <w:t>Enter any content that you want to repeat, including other content controls. You can also insert this control around table rows in order to repeat parts of a table.</w:t>
          </w:r>
        </w:p>
      </w:docPartBody>
    </w:docPart>
    <w:docPart>
      <w:docPartPr>
        <w:name w:val="CC4330B975F346A5AC55586C76706F76"/>
        <w:category>
          <w:name w:val="General"/>
          <w:gallery w:val="placeholder"/>
        </w:category>
        <w:types>
          <w:type w:val="bbPlcHdr"/>
        </w:types>
        <w:behaviors>
          <w:behavior w:val="content"/>
        </w:behaviors>
        <w:guid w:val="{67F96C4D-2534-46B1-9249-954C1FAC4867}"/>
      </w:docPartPr>
      <w:docPartBody>
        <w:p w:rsidR="00D133A4" w:rsidRDefault="004A6C01" w:rsidP="004A6C01">
          <w:pPr>
            <w:pStyle w:val="CC4330B975F346A5AC55586C76706F76"/>
          </w:pPr>
          <w:r w:rsidRPr="00FB32F2">
            <w:rPr>
              <w:rFonts w:ascii="Aptos" w:eastAsia="Yu Mincho" w:hAnsi="Aptos" w:cs="Arial"/>
              <w:color w:val="808080"/>
            </w:rPr>
            <w:t>Click or tap here to enter text.</w:t>
          </w:r>
        </w:p>
      </w:docPartBody>
    </w:docPart>
    <w:docPart>
      <w:docPartPr>
        <w:name w:val="1E60E08E6D354F11BFCC61CF7F0A3AEC"/>
        <w:category>
          <w:name w:val="General"/>
          <w:gallery w:val="placeholder"/>
        </w:category>
        <w:types>
          <w:type w:val="bbPlcHdr"/>
        </w:types>
        <w:behaviors>
          <w:behavior w:val="content"/>
        </w:behaviors>
        <w:guid w:val="{295FF3AD-59A2-4BC1-9B69-18FA20B48DC1}"/>
      </w:docPartPr>
      <w:docPartBody>
        <w:p w:rsidR="00E67308" w:rsidRDefault="00CE1B52" w:rsidP="00CE1B52">
          <w:pPr>
            <w:pStyle w:val="1E60E08E6D354F11BFCC61CF7F0A3AEC"/>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EE"/>
    <w:rsid w:val="0012524F"/>
    <w:rsid w:val="00167F03"/>
    <w:rsid w:val="001B78B8"/>
    <w:rsid w:val="00280E2E"/>
    <w:rsid w:val="002C5E6C"/>
    <w:rsid w:val="0033700E"/>
    <w:rsid w:val="00350075"/>
    <w:rsid w:val="003B11F5"/>
    <w:rsid w:val="00422042"/>
    <w:rsid w:val="004A6C01"/>
    <w:rsid w:val="005030C5"/>
    <w:rsid w:val="0051688E"/>
    <w:rsid w:val="00534F76"/>
    <w:rsid w:val="005E559F"/>
    <w:rsid w:val="006C60B0"/>
    <w:rsid w:val="00716BEE"/>
    <w:rsid w:val="007559CC"/>
    <w:rsid w:val="00774F70"/>
    <w:rsid w:val="00810585"/>
    <w:rsid w:val="009A63D4"/>
    <w:rsid w:val="009F294F"/>
    <w:rsid w:val="00A7505A"/>
    <w:rsid w:val="00A82767"/>
    <w:rsid w:val="00B54B1C"/>
    <w:rsid w:val="00BD75C3"/>
    <w:rsid w:val="00CE1B52"/>
    <w:rsid w:val="00D133A4"/>
    <w:rsid w:val="00E67308"/>
    <w:rsid w:val="00F01F52"/>
    <w:rsid w:val="00F226A4"/>
    <w:rsid w:val="00FA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9CC"/>
    <w:rPr>
      <w:color w:val="666666"/>
    </w:rPr>
  </w:style>
  <w:style w:type="paragraph" w:customStyle="1" w:styleId="5B00003CC75541F889324D453386B24B">
    <w:name w:val="5B00003CC75541F889324D453386B24B"/>
    <w:rsid w:val="00716BEE"/>
  </w:style>
  <w:style w:type="paragraph" w:customStyle="1" w:styleId="06D77CE216204BF8B0E126150071B9A9">
    <w:name w:val="06D77CE216204BF8B0E126150071B9A9"/>
    <w:rsid w:val="00716BEE"/>
  </w:style>
  <w:style w:type="paragraph" w:customStyle="1" w:styleId="17A4067214E54C31AF22A91109D9AB16">
    <w:name w:val="17A4067214E54C31AF22A91109D9AB16"/>
    <w:rsid w:val="00716BEE"/>
  </w:style>
  <w:style w:type="paragraph" w:customStyle="1" w:styleId="7208336F0DC24A3A844EB96236AB22472">
    <w:name w:val="7208336F0DC24A3A844EB96236AB22472"/>
    <w:rsid w:val="00A82767"/>
    <w:pPr>
      <w:spacing w:line="279" w:lineRule="auto"/>
    </w:pPr>
    <w:rPr>
      <w:kern w:val="0"/>
      <w:lang w:eastAsia="ja-JP"/>
      <w14:ligatures w14:val="none"/>
    </w:rPr>
  </w:style>
  <w:style w:type="paragraph" w:customStyle="1" w:styleId="D50EE64E36194F4B9397BF8AAB8BDDE32">
    <w:name w:val="D50EE64E36194F4B9397BF8AAB8BDDE32"/>
    <w:rsid w:val="00A82767"/>
    <w:pPr>
      <w:spacing w:line="279" w:lineRule="auto"/>
    </w:pPr>
    <w:rPr>
      <w:kern w:val="0"/>
      <w:lang w:eastAsia="ja-JP"/>
      <w14:ligatures w14:val="none"/>
    </w:rPr>
  </w:style>
  <w:style w:type="paragraph" w:customStyle="1" w:styleId="7F9766D082544EE68DD7B35903DD3D532">
    <w:name w:val="7F9766D082544EE68DD7B35903DD3D532"/>
    <w:rsid w:val="00A82767"/>
    <w:pPr>
      <w:spacing w:line="279" w:lineRule="auto"/>
    </w:pPr>
    <w:rPr>
      <w:kern w:val="0"/>
      <w:lang w:eastAsia="ja-JP"/>
      <w14:ligatures w14:val="none"/>
    </w:rPr>
  </w:style>
  <w:style w:type="paragraph" w:customStyle="1" w:styleId="F2A882063F1E49F5A9B5B2BF83C9DD212">
    <w:name w:val="F2A882063F1E49F5A9B5B2BF83C9DD212"/>
    <w:rsid w:val="00A82767"/>
    <w:pPr>
      <w:spacing w:line="279" w:lineRule="auto"/>
    </w:pPr>
    <w:rPr>
      <w:kern w:val="0"/>
      <w:lang w:eastAsia="ja-JP"/>
      <w14:ligatures w14:val="none"/>
    </w:rPr>
  </w:style>
  <w:style w:type="paragraph" w:customStyle="1" w:styleId="321B0F232E90459DBE665D6AE95B67542">
    <w:name w:val="321B0F232E90459DBE665D6AE95B67542"/>
    <w:rsid w:val="00A82767"/>
    <w:pPr>
      <w:spacing w:line="279" w:lineRule="auto"/>
    </w:pPr>
    <w:rPr>
      <w:kern w:val="0"/>
      <w:lang w:eastAsia="ja-JP"/>
      <w14:ligatures w14:val="none"/>
    </w:rPr>
  </w:style>
  <w:style w:type="paragraph" w:customStyle="1" w:styleId="CF5F65285D3841ECB844FE69E04236F12">
    <w:name w:val="CF5F65285D3841ECB844FE69E04236F12"/>
    <w:rsid w:val="00A82767"/>
    <w:pPr>
      <w:spacing w:line="279" w:lineRule="auto"/>
    </w:pPr>
    <w:rPr>
      <w:kern w:val="0"/>
      <w:lang w:eastAsia="ja-JP"/>
      <w14:ligatures w14:val="none"/>
    </w:rPr>
  </w:style>
  <w:style w:type="paragraph" w:customStyle="1" w:styleId="3A29E01DDA374D4ABF82EB6D987F837B2">
    <w:name w:val="3A29E01DDA374D4ABF82EB6D987F837B2"/>
    <w:rsid w:val="00A82767"/>
    <w:pPr>
      <w:spacing w:line="279" w:lineRule="auto"/>
    </w:pPr>
    <w:rPr>
      <w:kern w:val="0"/>
      <w:lang w:eastAsia="ja-JP"/>
      <w14:ligatures w14:val="none"/>
    </w:rPr>
  </w:style>
  <w:style w:type="paragraph" w:customStyle="1" w:styleId="2D603868ED0C4B56BC8BEC3600E7A1A5">
    <w:name w:val="2D603868ED0C4B56BC8BEC3600E7A1A5"/>
    <w:rsid w:val="004A6C01"/>
  </w:style>
  <w:style w:type="paragraph" w:customStyle="1" w:styleId="D3B72E5D32A6477EAA9DFDE586BC8374">
    <w:name w:val="D3B72E5D32A6477EAA9DFDE586BC8374"/>
    <w:rsid w:val="004A6C01"/>
  </w:style>
  <w:style w:type="paragraph" w:customStyle="1" w:styleId="4FF30BCCCD9944248A9D48AB7ADC892B">
    <w:name w:val="4FF30BCCCD9944248A9D48AB7ADC892B"/>
    <w:rsid w:val="004A6C01"/>
  </w:style>
  <w:style w:type="paragraph" w:customStyle="1" w:styleId="F3810E7170F749C49578C9728A5DD0E1">
    <w:name w:val="F3810E7170F749C49578C9728A5DD0E1"/>
    <w:rsid w:val="004A6C01"/>
  </w:style>
  <w:style w:type="paragraph" w:customStyle="1" w:styleId="55FBB5D5D07E4A3E9F9F12C0AF86D604">
    <w:name w:val="55FBB5D5D07E4A3E9F9F12C0AF86D604"/>
    <w:rsid w:val="004A6C01"/>
  </w:style>
  <w:style w:type="paragraph" w:customStyle="1" w:styleId="DE7B243383F04A0C92BF69DCAC5C0606">
    <w:name w:val="DE7B243383F04A0C92BF69DCAC5C0606"/>
    <w:rsid w:val="004A6C01"/>
  </w:style>
  <w:style w:type="paragraph" w:customStyle="1" w:styleId="B11A4815858142069A7B50DACA1C0CC2">
    <w:name w:val="B11A4815858142069A7B50DACA1C0CC2"/>
    <w:rsid w:val="004A6C01"/>
  </w:style>
  <w:style w:type="paragraph" w:customStyle="1" w:styleId="CC4330B975F346A5AC55586C76706F76">
    <w:name w:val="CC4330B975F346A5AC55586C76706F76"/>
    <w:rsid w:val="004A6C01"/>
  </w:style>
  <w:style w:type="paragraph" w:customStyle="1" w:styleId="7097E15A49DD4A3E919564878B027564">
    <w:name w:val="7097E15A49DD4A3E919564878B027564"/>
    <w:rsid w:val="0012524F"/>
  </w:style>
  <w:style w:type="paragraph" w:customStyle="1" w:styleId="6FDD457543F24C9DB151DF5D8D8778B1">
    <w:name w:val="6FDD457543F24C9DB151DF5D8D8778B1"/>
    <w:rsid w:val="0012524F"/>
  </w:style>
  <w:style w:type="paragraph" w:customStyle="1" w:styleId="D7AA076E92044CF0B8BF9146D65AF99A">
    <w:name w:val="D7AA076E92044CF0B8BF9146D65AF99A"/>
    <w:rsid w:val="00CE1B52"/>
  </w:style>
  <w:style w:type="paragraph" w:customStyle="1" w:styleId="9D7CA0DB31CF4C4CBDC312E353DAE6CD">
    <w:name w:val="9D7CA0DB31CF4C4CBDC312E353DAE6CD"/>
    <w:rsid w:val="00CE1B52"/>
  </w:style>
  <w:style w:type="paragraph" w:customStyle="1" w:styleId="1E60E08E6D354F11BFCC61CF7F0A3AEC">
    <w:name w:val="1E60E08E6D354F11BFCC61CF7F0A3AEC"/>
    <w:rsid w:val="00CE1B52"/>
  </w:style>
  <w:style w:type="paragraph" w:customStyle="1" w:styleId="C4113C7A04634842B234165A2F33239C">
    <w:name w:val="C4113C7A04634842B234165A2F33239C"/>
    <w:rsid w:val="007559CC"/>
  </w:style>
  <w:style w:type="paragraph" w:customStyle="1" w:styleId="E52F3155B0E64BC584978ADD2BC17544">
    <w:name w:val="E52F3155B0E64BC584978ADD2BC17544"/>
    <w:rsid w:val="00755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C158E-8C56-4414-8943-6C666A1E990C}">
  <ds:schemaRefs>
    <ds:schemaRef ds:uri="http://schemas.microsoft.com/sharepoint/v3/contenttype/forms"/>
  </ds:schemaRefs>
</ds:datastoreItem>
</file>

<file path=customXml/itemProps2.xml><?xml version="1.0" encoding="utf-8"?>
<ds:datastoreItem xmlns:ds="http://schemas.openxmlformats.org/officeDocument/2006/customXml" ds:itemID="{115571E6-0DA5-48E3-A44F-7F60A15BA8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F987B8-BD63-4955-B0C8-A13BEBC3B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f7157e-03dd-4df4-a10b-f59d8fe642d0}" enabled="0" method="" siteId="{f7f7157e-03dd-4df4-a10b-f59d8fe642d0}" removed="1"/>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Links>
    <vt:vector size="6" baseType="variant">
      <vt:variant>
        <vt:i4>7077947</vt:i4>
      </vt:variant>
      <vt:variant>
        <vt:i4>0</vt:i4>
      </vt:variant>
      <vt:variant>
        <vt:i4>0</vt:i4>
      </vt:variant>
      <vt:variant>
        <vt:i4>5</vt:i4>
      </vt:variant>
      <vt:variant>
        <vt:lpwstr>https://interchange.puc.texas.gov/filer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Sherryhan Ghanem</dc:creator>
  <cp:keywords/>
  <dc:description/>
  <cp:lastModifiedBy>Michele Richmond</cp:lastModifiedBy>
  <cp:revision>4</cp:revision>
  <dcterms:created xsi:type="dcterms:W3CDTF">2025-05-27T20:42:00Z</dcterms:created>
  <dcterms:modified xsi:type="dcterms:W3CDTF">2025-05-27T20:47:00Z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dfe1a8d7-e404-4561-a6ce-09441972395c_Enabled">
    <vt:lpwstr>true</vt:lpwstr>
  </property>
  <property fmtid="{D5CDD505-2E9C-101B-9397-08002B2CF9AE}" pid="4" name="MSIP_Label_dfe1a8d7-e404-4561-a6ce-09441972395c_SetDate">
    <vt:lpwstr>2025-05-20T15:39:32Z</vt:lpwstr>
  </property>
  <property fmtid="{D5CDD505-2E9C-101B-9397-08002B2CF9AE}" pid="5" name="MSIP_Label_dfe1a8d7-e404-4561-a6ce-09441972395c_Method">
    <vt:lpwstr>Standard</vt:lpwstr>
  </property>
  <property fmtid="{D5CDD505-2E9C-101B-9397-08002B2CF9AE}" pid="6" name="MSIP_Label_dfe1a8d7-e404-4561-a6ce-09441972395c_Name">
    <vt:lpwstr>Company Confidential Information</vt:lpwstr>
  </property>
  <property fmtid="{D5CDD505-2E9C-101B-9397-08002B2CF9AE}" pid="7" name="MSIP_Label_dfe1a8d7-e404-4561-a6ce-09441972395c_SiteId">
    <vt:lpwstr>d8fb9c07-c19e-4e8c-a1cb-717cd3cf8ffe</vt:lpwstr>
  </property>
  <property fmtid="{D5CDD505-2E9C-101B-9397-08002B2CF9AE}" pid="8" name="MSIP_Label_dfe1a8d7-e404-4561-a6ce-09441972395c_ActionId">
    <vt:lpwstr>52d5d7fc-e777-4b8e-a216-ea8397166ea8</vt:lpwstr>
  </property>
  <property fmtid="{D5CDD505-2E9C-101B-9397-08002B2CF9AE}" pid="9" name="MSIP_Label_dfe1a8d7-e404-4561-a6ce-09441972395c_ContentBits">
    <vt:lpwstr>0</vt:lpwstr>
  </property>
  <property fmtid="{D5CDD505-2E9C-101B-9397-08002B2CF9AE}" pid="10" name="MSIP_Label_dfe1a8d7-e404-4561-a6ce-09441972395c_Tag">
    <vt:lpwstr>10, 3, 0, 1</vt:lpwstr>
  </property>
</Properties>
</file>