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45DD" w14:textId="5134299A" w:rsidR="00FF5059" w:rsidRPr="00717DCD" w:rsidRDefault="001B5E4A" w:rsidP="00B22487">
      <w:pPr>
        <w:pStyle w:val="Title"/>
        <w:rPr>
          <w:b/>
          <w:szCs w:val="24"/>
        </w:rPr>
      </w:pPr>
      <w:r w:rsidRPr="00717DCD">
        <w:rPr>
          <w:b/>
          <w:szCs w:val="24"/>
        </w:rPr>
        <w:t xml:space="preserve">PUC PROJECT NO. </w:t>
      </w:r>
      <w:r w:rsidR="00BF1FEB">
        <w:rPr>
          <w:b/>
          <w:szCs w:val="24"/>
        </w:rPr>
        <w:t>58198</w:t>
      </w:r>
    </w:p>
    <w:p w14:paraId="31DDE53C" w14:textId="77777777" w:rsidR="00FF5059" w:rsidRPr="00717DCD" w:rsidRDefault="00FF5059" w:rsidP="00B22487">
      <w:pPr>
        <w:pStyle w:val="Title"/>
        <w:rPr>
          <w:b/>
          <w:szCs w:val="24"/>
        </w:rPr>
      </w:pPr>
    </w:p>
    <w:tbl>
      <w:tblPr>
        <w:tblW w:w="9375" w:type="dxa"/>
        <w:tblLook w:val="04A0" w:firstRow="1" w:lastRow="0" w:firstColumn="1" w:lastColumn="0" w:noHBand="0" w:noVBand="1"/>
      </w:tblPr>
      <w:tblGrid>
        <w:gridCol w:w="4247"/>
        <w:gridCol w:w="989"/>
        <w:gridCol w:w="4139"/>
      </w:tblGrid>
      <w:tr w:rsidR="00FF5059" w:rsidRPr="00D11A78" w14:paraId="672ADAD5" w14:textId="77777777" w:rsidTr="00DB5962">
        <w:trPr>
          <w:trHeight w:val="722"/>
        </w:trPr>
        <w:tc>
          <w:tcPr>
            <w:tcW w:w="4247" w:type="dxa"/>
          </w:tcPr>
          <w:p w14:paraId="28B0003F" w14:textId="50CCE438" w:rsidR="001B5E4A" w:rsidRPr="00717DCD" w:rsidRDefault="00F6720E" w:rsidP="00B22487">
            <w:pPr>
              <w:pStyle w:val="Title"/>
              <w:jc w:val="left"/>
              <w:rPr>
                <w:b/>
                <w:szCs w:val="24"/>
              </w:rPr>
            </w:pPr>
            <w:r>
              <w:rPr>
                <w:b/>
                <w:szCs w:val="24"/>
              </w:rPr>
              <w:t>RULEMAKING</w:t>
            </w:r>
            <w:r w:rsidR="00B021A0">
              <w:rPr>
                <w:b/>
                <w:szCs w:val="24"/>
              </w:rPr>
              <w:t xml:space="preserve"> </w:t>
            </w:r>
            <w:r w:rsidR="00F81221">
              <w:rPr>
                <w:b/>
                <w:szCs w:val="24"/>
              </w:rPr>
              <w:t xml:space="preserve">TO IMPLEMENT FIRMING RELIABILITY REQUIREMENTS FOR ELECTRIC GENERATING FACILITIES IN THE ERCOT REGION UNDER </w:t>
            </w:r>
            <w:r w:rsidR="00E346A6">
              <w:rPr>
                <w:b/>
                <w:szCs w:val="24"/>
              </w:rPr>
              <w:t>PURA §39.1592</w:t>
            </w:r>
          </w:p>
        </w:tc>
        <w:tc>
          <w:tcPr>
            <w:tcW w:w="989" w:type="dxa"/>
          </w:tcPr>
          <w:p w14:paraId="03063560" w14:textId="77777777" w:rsidR="00FF5059" w:rsidRPr="00717DCD" w:rsidRDefault="00FF5059" w:rsidP="00B22487">
            <w:pPr>
              <w:pStyle w:val="Title"/>
              <w:rPr>
                <w:b/>
                <w:szCs w:val="24"/>
              </w:rPr>
            </w:pPr>
            <w:r w:rsidRPr="00717DCD">
              <w:rPr>
                <w:b/>
                <w:szCs w:val="24"/>
              </w:rPr>
              <w:t>§</w:t>
            </w:r>
          </w:p>
          <w:p w14:paraId="31BB4791" w14:textId="77777777" w:rsidR="00FF5059" w:rsidRDefault="00FF5059" w:rsidP="00B22487">
            <w:pPr>
              <w:pStyle w:val="Title"/>
              <w:rPr>
                <w:b/>
                <w:szCs w:val="24"/>
              </w:rPr>
            </w:pPr>
            <w:r w:rsidRPr="00717DCD">
              <w:rPr>
                <w:b/>
                <w:szCs w:val="24"/>
              </w:rPr>
              <w:t>§</w:t>
            </w:r>
          </w:p>
          <w:p w14:paraId="65B85CD6" w14:textId="77777777" w:rsidR="00A102A0" w:rsidRDefault="00A102A0" w:rsidP="00B22487">
            <w:pPr>
              <w:pStyle w:val="Title"/>
              <w:rPr>
                <w:b/>
                <w:szCs w:val="24"/>
              </w:rPr>
            </w:pPr>
            <w:r w:rsidRPr="00717DCD">
              <w:rPr>
                <w:b/>
                <w:szCs w:val="24"/>
              </w:rPr>
              <w:t>§</w:t>
            </w:r>
          </w:p>
          <w:p w14:paraId="203A581A" w14:textId="6CCE73FA" w:rsidR="00A102A0" w:rsidRPr="00717DCD" w:rsidRDefault="00A102A0" w:rsidP="00B22487">
            <w:pPr>
              <w:pStyle w:val="Title"/>
              <w:rPr>
                <w:b/>
                <w:szCs w:val="24"/>
              </w:rPr>
            </w:pPr>
            <w:r w:rsidRPr="00717DCD">
              <w:rPr>
                <w:b/>
                <w:szCs w:val="24"/>
              </w:rPr>
              <w:t>§</w:t>
            </w:r>
          </w:p>
        </w:tc>
        <w:tc>
          <w:tcPr>
            <w:tcW w:w="4139" w:type="dxa"/>
          </w:tcPr>
          <w:p w14:paraId="7952A813" w14:textId="77777777" w:rsidR="00FF5059" w:rsidRPr="00717DCD" w:rsidRDefault="00FF5059" w:rsidP="00B22487">
            <w:pPr>
              <w:pStyle w:val="Title"/>
              <w:rPr>
                <w:b/>
                <w:szCs w:val="24"/>
              </w:rPr>
            </w:pPr>
            <w:r w:rsidRPr="00717DCD">
              <w:rPr>
                <w:b/>
                <w:szCs w:val="24"/>
              </w:rPr>
              <w:t>PUBLIC UTILITY COMMISSION</w:t>
            </w:r>
          </w:p>
          <w:p w14:paraId="7306CE72" w14:textId="2EB94318" w:rsidR="00FF5059" w:rsidRPr="00717DCD" w:rsidRDefault="00FF5059" w:rsidP="00B22487">
            <w:pPr>
              <w:pStyle w:val="Title"/>
              <w:rPr>
                <w:b/>
              </w:rPr>
            </w:pPr>
            <w:r w:rsidRPr="7468460D">
              <w:rPr>
                <w:b/>
              </w:rPr>
              <w:t>OF TEXAS</w:t>
            </w:r>
          </w:p>
        </w:tc>
      </w:tr>
    </w:tbl>
    <w:p w14:paraId="7219FB1D" w14:textId="77777777" w:rsidR="00CF7776" w:rsidRDefault="00CF7776" w:rsidP="00B22487">
      <w:pPr>
        <w:pStyle w:val="Caption"/>
        <w:ind w:right="-270"/>
        <w:jc w:val="both"/>
        <w:rPr>
          <w:szCs w:val="24"/>
        </w:rPr>
      </w:pPr>
    </w:p>
    <w:p w14:paraId="1DEA1680" w14:textId="77777777" w:rsidR="00A102A0" w:rsidRPr="00A102A0" w:rsidRDefault="00A102A0" w:rsidP="00471640">
      <w:pPr>
        <w:pStyle w:val="NoSpacing"/>
      </w:pPr>
    </w:p>
    <w:p w14:paraId="69C36A4A" w14:textId="497648AF" w:rsidR="00CF7776" w:rsidRPr="00717DCD" w:rsidRDefault="00552F98" w:rsidP="00884CD0">
      <w:pPr>
        <w:pStyle w:val="Caption"/>
        <w:ind w:right="-270"/>
        <w:rPr>
          <w:caps/>
          <w:szCs w:val="24"/>
          <w:u w:val="single"/>
        </w:rPr>
      </w:pPr>
      <w:r w:rsidRPr="00717DCD">
        <w:rPr>
          <w:caps/>
          <w:szCs w:val="24"/>
          <w:u w:val="single"/>
        </w:rPr>
        <w:t>TCPA’s</w:t>
      </w:r>
      <w:r w:rsidR="00CF7776" w:rsidRPr="00717DCD">
        <w:rPr>
          <w:caps/>
          <w:szCs w:val="24"/>
          <w:u w:val="single"/>
        </w:rPr>
        <w:t xml:space="preserve"> </w:t>
      </w:r>
      <w:r w:rsidR="004D3E50" w:rsidRPr="00717DCD">
        <w:rPr>
          <w:caps/>
          <w:szCs w:val="24"/>
          <w:u w:val="single"/>
        </w:rPr>
        <w:t xml:space="preserve">COMMENTS </w:t>
      </w:r>
      <w:r w:rsidR="009A6E92" w:rsidRPr="00717DCD">
        <w:rPr>
          <w:caps/>
          <w:szCs w:val="24"/>
          <w:u w:val="single"/>
        </w:rPr>
        <w:t xml:space="preserve">ON </w:t>
      </w:r>
      <w:r w:rsidR="00C41188">
        <w:rPr>
          <w:caps/>
          <w:szCs w:val="24"/>
          <w:u w:val="single"/>
        </w:rPr>
        <w:t xml:space="preserve">STAFF’s questions regarding </w:t>
      </w:r>
      <w:r w:rsidR="00E346A6">
        <w:rPr>
          <w:caps/>
          <w:szCs w:val="24"/>
          <w:u w:val="single"/>
        </w:rPr>
        <w:t>FIRMING REQUIREMENTS FOR ELECTRIC GENERATION FACILITIES IN ERCOT</w:t>
      </w:r>
    </w:p>
    <w:p w14:paraId="08D18250" w14:textId="50544C67" w:rsidR="00CF7776" w:rsidRPr="00717DCD" w:rsidRDefault="00CF7776" w:rsidP="00B22487">
      <w:pPr>
        <w:spacing w:after="0" w:line="480" w:lineRule="auto"/>
        <w:jc w:val="center"/>
        <w:rPr>
          <w:rFonts w:cs="Times New Roman"/>
          <w:szCs w:val="24"/>
        </w:rPr>
      </w:pPr>
    </w:p>
    <w:p w14:paraId="1F1BFF14" w14:textId="6934A862" w:rsidR="00627FDB" w:rsidRDefault="00552F98" w:rsidP="18346F71">
      <w:pPr>
        <w:spacing w:line="360" w:lineRule="auto"/>
        <w:ind w:firstLine="720"/>
        <w:rPr>
          <w:rFonts w:cs="Times New Roman"/>
        </w:rPr>
      </w:pPr>
      <w:bookmarkStart w:id="0" w:name="_Hlk194048434"/>
      <w:r w:rsidRPr="18346F71">
        <w:rPr>
          <w:rFonts w:cs="Times New Roman"/>
        </w:rPr>
        <w:t>Texas Competitive Power Advocates (“TCPA”) appreciates the opportunity to provide comment</w:t>
      </w:r>
      <w:r w:rsidR="00BC1A1E" w:rsidRPr="18346F71">
        <w:rPr>
          <w:rFonts w:cs="Times New Roman"/>
        </w:rPr>
        <w:t>s</w:t>
      </w:r>
      <w:r w:rsidRPr="18346F71">
        <w:rPr>
          <w:rFonts w:cs="Times New Roman"/>
        </w:rPr>
        <w:t xml:space="preserve"> </w:t>
      </w:r>
      <w:r w:rsidR="009A6E92" w:rsidRPr="18346F71">
        <w:rPr>
          <w:rFonts w:cs="Times New Roman"/>
        </w:rPr>
        <w:t xml:space="preserve">on the </w:t>
      </w:r>
      <w:r w:rsidR="000E3A63" w:rsidRPr="18346F71">
        <w:rPr>
          <w:rFonts w:cs="Times New Roman"/>
        </w:rPr>
        <w:t xml:space="preserve">questions posed by Commission Staff </w:t>
      </w:r>
      <w:bookmarkStart w:id="1" w:name="_Hlk172112680"/>
      <w:r w:rsidR="00E346A6" w:rsidRPr="18346F71">
        <w:rPr>
          <w:rFonts w:cs="Times New Roman"/>
        </w:rPr>
        <w:t xml:space="preserve">on June 6, 2025. </w:t>
      </w:r>
      <w:r w:rsidR="00482E39" w:rsidRPr="18346F71">
        <w:rPr>
          <w:rFonts w:cs="Times New Roman"/>
        </w:rPr>
        <w:t xml:space="preserve">TCPA represents thirteen companies in the ERCOT competitive market </w:t>
      </w:r>
      <w:r w:rsidR="000E44EE" w:rsidRPr="18346F71">
        <w:rPr>
          <w:rFonts w:cs="Times New Roman"/>
        </w:rPr>
        <w:t xml:space="preserve">that are independent generation resource owners, independent power marketers, </w:t>
      </w:r>
      <w:proofErr w:type="gramStart"/>
      <w:r w:rsidR="000E44EE" w:rsidRPr="18346F71">
        <w:rPr>
          <w:rFonts w:cs="Times New Roman"/>
        </w:rPr>
        <w:t>or</w:t>
      </w:r>
      <w:proofErr w:type="gramEnd"/>
      <w:r w:rsidR="000E44EE" w:rsidRPr="18346F71">
        <w:rPr>
          <w:rFonts w:cs="Times New Roman"/>
        </w:rPr>
        <w:t xml:space="preserve"> </w:t>
      </w:r>
      <w:r w:rsidR="005205BE" w:rsidRPr="18346F71">
        <w:rPr>
          <w:rFonts w:cs="Times New Roman"/>
        </w:rPr>
        <w:t xml:space="preserve">both. The generation assets in our </w:t>
      </w:r>
      <w:proofErr w:type="gramStart"/>
      <w:r w:rsidR="005205BE" w:rsidRPr="18346F71">
        <w:rPr>
          <w:rFonts w:cs="Times New Roman"/>
        </w:rPr>
        <w:t>companies’</w:t>
      </w:r>
      <w:proofErr w:type="gramEnd"/>
      <w:r w:rsidR="005205BE" w:rsidRPr="18346F71">
        <w:rPr>
          <w:rFonts w:cs="Times New Roman"/>
        </w:rPr>
        <w:t xml:space="preserve"> portfolios are </w:t>
      </w:r>
      <w:r w:rsidR="002F06E3" w:rsidRPr="18346F71">
        <w:rPr>
          <w:rFonts w:cs="Times New Roman"/>
        </w:rPr>
        <w:t>primarily thermal dispatchable generation comprised of natural gas, nuclear, coal</w:t>
      </w:r>
      <w:r w:rsidR="5C5CA2C2" w:rsidRPr="5C5CA2C2">
        <w:rPr>
          <w:rFonts w:cs="Times New Roman"/>
        </w:rPr>
        <w:t>,</w:t>
      </w:r>
      <w:r w:rsidR="002F06E3" w:rsidRPr="18346F71">
        <w:rPr>
          <w:rFonts w:cs="Times New Roman"/>
        </w:rPr>
        <w:t xml:space="preserve"> and some energy storage resources. </w:t>
      </w:r>
      <w:r w:rsidR="00C77E01" w:rsidRPr="18346F71">
        <w:rPr>
          <w:rFonts w:cs="Times New Roman"/>
        </w:rPr>
        <w:t xml:space="preserve">Our members own approximately 56,000 </w:t>
      </w:r>
      <w:r w:rsidR="5C5CA2C2" w:rsidRPr="5C5CA2C2">
        <w:rPr>
          <w:rFonts w:cs="Times New Roman"/>
        </w:rPr>
        <w:t>megawatts (</w:t>
      </w:r>
      <w:r w:rsidR="00C77E01" w:rsidRPr="18346F71">
        <w:rPr>
          <w:rFonts w:cs="Times New Roman"/>
        </w:rPr>
        <w:t>MW</w:t>
      </w:r>
      <w:r w:rsidR="5C5CA2C2" w:rsidRPr="5C5CA2C2">
        <w:rPr>
          <w:rFonts w:cs="Times New Roman"/>
        </w:rPr>
        <w:t>)</w:t>
      </w:r>
      <w:r w:rsidR="00C77E01" w:rsidRPr="18346F71">
        <w:rPr>
          <w:rFonts w:cs="Times New Roman"/>
        </w:rPr>
        <w:t xml:space="preserve"> of generation capacity in ERCOT and </w:t>
      </w:r>
      <w:r w:rsidR="5C5CA2C2" w:rsidRPr="5C5CA2C2">
        <w:rPr>
          <w:rFonts w:cs="Times New Roman"/>
        </w:rPr>
        <w:t>represent</w:t>
      </w:r>
      <w:r w:rsidR="00C77E01" w:rsidRPr="18346F71">
        <w:rPr>
          <w:rFonts w:cs="Times New Roman"/>
        </w:rPr>
        <w:t xml:space="preserve"> </w:t>
      </w:r>
      <w:r w:rsidR="00EC3ADC" w:rsidRPr="18346F71">
        <w:rPr>
          <w:rFonts w:cs="Times New Roman"/>
        </w:rPr>
        <w:t xml:space="preserve">approximately </w:t>
      </w:r>
      <w:r w:rsidR="5E33A819" w:rsidRPr="5E33A819">
        <w:rPr>
          <w:rFonts w:cs="Times New Roman"/>
        </w:rPr>
        <w:t>half of the</w:t>
      </w:r>
      <w:r w:rsidR="00EC3ADC" w:rsidRPr="18346F71">
        <w:rPr>
          <w:rFonts w:cs="Times New Roman"/>
        </w:rPr>
        <w:t xml:space="preserve"> </w:t>
      </w:r>
      <w:r w:rsidR="5C5CA2C2" w:rsidRPr="5C5CA2C2">
        <w:rPr>
          <w:rFonts w:cs="Times New Roman"/>
        </w:rPr>
        <w:t>MWs</w:t>
      </w:r>
      <w:r w:rsidR="00EC3ADC" w:rsidRPr="18346F71">
        <w:rPr>
          <w:rFonts w:cs="Times New Roman"/>
        </w:rPr>
        <w:t xml:space="preserve"> under development in the Texas Energy Fund </w:t>
      </w:r>
      <w:r w:rsidR="00EC3ADC" w:rsidRPr="24F71F9D">
        <w:rPr>
          <w:rFonts w:cs="Times New Roman"/>
        </w:rPr>
        <w:t>(</w:t>
      </w:r>
      <w:r w:rsidR="3F440C3B" w:rsidRPr="24F71F9D">
        <w:rPr>
          <w:rFonts w:cs="Times New Roman"/>
        </w:rPr>
        <w:t>“</w:t>
      </w:r>
      <w:r w:rsidR="00EC3ADC" w:rsidRPr="18346F71">
        <w:rPr>
          <w:rFonts w:cs="Times New Roman"/>
        </w:rPr>
        <w:t>TEF</w:t>
      </w:r>
      <w:r w:rsidR="170CD3F6" w:rsidRPr="5A19D4AF">
        <w:rPr>
          <w:rFonts w:cs="Times New Roman"/>
        </w:rPr>
        <w:t>”</w:t>
      </w:r>
      <w:r w:rsidR="00EC3ADC" w:rsidRPr="5A19D4AF">
        <w:rPr>
          <w:rFonts w:cs="Times New Roman"/>
        </w:rPr>
        <w:t>).</w:t>
      </w:r>
      <w:r w:rsidR="00EC3ADC" w:rsidRPr="18346F71">
        <w:rPr>
          <w:rFonts w:cs="Times New Roman"/>
        </w:rPr>
        <w:t xml:space="preserve"> </w:t>
      </w:r>
    </w:p>
    <w:p w14:paraId="2930000F" w14:textId="7E86E592" w:rsidR="00BD43BB" w:rsidRDefault="6E36F8FD" w:rsidP="61794B7D">
      <w:pPr>
        <w:spacing w:line="360" w:lineRule="auto"/>
        <w:ind w:firstLine="720"/>
      </w:pPr>
      <w:r w:rsidRPr="6E36F8FD">
        <w:rPr>
          <w:rFonts w:cs="Times New Roman"/>
        </w:rPr>
        <w:t xml:space="preserve">During the 2023 Legislative Session, the provisions enacted in HB 1500 that are the subject of this rulemaking were also contained in SB 7 and discussed in multiple public </w:t>
      </w:r>
      <w:r w:rsidRPr="6E36F8FD">
        <w:rPr>
          <w:rFonts w:cs="Times New Roman"/>
        </w:rPr>
        <w:t>meetings.</w:t>
      </w:r>
      <w:r w:rsidRPr="6E36F8FD">
        <w:rPr>
          <w:rFonts w:cs="Times New Roman"/>
        </w:rPr>
        <w:t xml:space="preserve"> </w:t>
      </w:r>
      <w:r w:rsidR="2DA30657" w:rsidRPr="2DA30657">
        <w:rPr>
          <w:rFonts w:cs="Times New Roman"/>
        </w:rPr>
        <w:t>In each</w:t>
      </w:r>
      <w:r w:rsidRPr="6E36F8FD">
        <w:rPr>
          <w:rFonts w:cs="Times New Roman"/>
        </w:rPr>
        <w:t xml:space="preserve"> discussion, whether in committee or on the floor of the House or Senate, </w:t>
      </w:r>
      <w:r w:rsidR="2DA30657" w:rsidRPr="2DA30657">
        <w:rPr>
          <w:rFonts w:cs="Times New Roman"/>
        </w:rPr>
        <w:t xml:space="preserve">policymakers </w:t>
      </w:r>
      <w:r w:rsidRPr="6E36F8FD">
        <w:rPr>
          <w:rFonts w:cs="Times New Roman"/>
        </w:rPr>
        <w:t xml:space="preserve">made it abundantly clear that the intent of the legislation was </w:t>
      </w:r>
      <w:r>
        <w:t xml:space="preserve">to require renewable resources to contribute to available capacity during times of low </w:t>
      </w:r>
      <w:proofErr w:type="gramStart"/>
      <w:r>
        <w:t>reserves</w:t>
      </w:r>
      <w:proofErr w:type="gramEnd"/>
      <w:r>
        <w:t xml:space="preserve"> and support dispatchable thermal resources that provide reliability and operational needs. The deliberately prospective nature of the statute, rather than retroactive,  provides clarity that existing generation resources will not be subject to these requirements</w:t>
      </w:r>
      <w:r w:rsidR="5E33A819">
        <w:t xml:space="preserve"> but can still contribute to the firming of new generation resources</w:t>
      </w:r>
      <w:r>
        <w:t xml:space="preserve">; and the delayed effective date of the statute until the standard generation interconnection agreement (“SGIA”) for a generation resource is executed on or after January 1, 2027, make it clear that resources already under development in this region were also not subject to these new requirements. </w:t>
      </w:r>
    </w:p>
    <w:p w14:paraId="73919FC1" w14:textId="77C3C47F" w:rsidR="00BD43BB" w:rsidRDefault="6E36F8FD" w:rsidP="142AE522">
      <w:pPr>
        <w:spacing w:line="360" w:lineRule="auto"/>
        <w:ind w:firstLine="720"/>
      </w:pPr>
      <w:r>
        <w:t xml:space="preserve">It is critical that implementation of this rule be viewed in the larger context of policy directives passed by the Legislature and signed into law by the Governor over the past three </w:t>
      </w:r>
      <w:r>
        <w:lastRenderedPageBreak/>
        <w:t>legislative sessions. First, SB 3 (87</w:t>
      </w:r>
      <w:r w:rsidRPr="6E36F8FD">
        <w:rPr>
          <w:vertAlign w:val="superscript"/>
        </w:rPr>
        <w:t>th</w:t>
      </w:r>
      <w:r>
        <w:t xml:space="preserve"> Regular Session) required the Public Utility Commission of Texas (“Commission”) and ERCOT to establish a reliability standard for the ERCOT region. Then, HB 1500 (88</w:t>
      </w:r>
      <w:r w:rsidRPr="6E36F8FD">
        <w:rPr>
          <w:vertAlign w:val="superscript"/>
        </w:rPr>
        <w:t>th</w:t>
      </w:r>
      <w:r>
        <w:t xml:space="preserve"> Regular Session) required the development of a dispatchable reliability reserve service (“DRRS”) with the</w:t>
      </w:r>
      <w:r w:rsidR="0024467D">
        <w:t xml:space="preserve"> </w:t>
      </w:r>
      <w:r>
        <w:t xml:space="preserve">eligibility criteria clearly indicating a desire </w:t>
      </w:r>
      <w:r>
        <w:t>to maintain and attract</w:t>
      </w:r>
      <w:r>
        <w:t xml:space="preserve"> dispatchable resources </w:t>
      </w:r>
      <w:r>
        <w:t>that are capable of</w:t>
      </w:r>
      <w:r>
        <w:t xml:space="preserve"> operat</w:t>
      </w:r>
      <w:r>
        <w:t>ing</w:t>
      </w:r>
      <w:r>
        <w:t xml:space="preserve"> for a minimum of four hours at a time </w:t>
      </w:r>
      <w:r>
        <w:t>or</w:t>
      </w:r>
      <w:r>
        <w:t xml:space="preserve"> longer if ERCOT deem</w:t>
      </w:r>
      <w:r>
        <w:t>s</w:t>
      </w:r>
      <w:r>
        <w:t xml:space="preserve"> </w:t>
      </w:r>
      <w:r>
        <w:t>it</w:t>
      </w:r>
      <w:r>
        <w:t xml:space="preserve"> necessary.  </w:t>
      </w:r>
      <w:r w:rsidR="5E33A819">
        <w:t>Finally</w:t>
      </w:r>
      <w:r w:rsidR="5E33A819">
        <w:t>, SB 2627’s (88</w:t>
      </w:r>
      <w:r w:rsidR="5E33A819" w:rsidRPr="5E33A819">
        <w:rPr>
          <w:vertAlign w:val="superscript"/>
        </w:rPr>
        <w:t>th</w:t>
      </w:r>
      <w:r w:rsidR="5E33A819">
        <w:t xml:space="preserve"> Regular Session) core provisions are subsidized loans and completion bonus grants for development of up to 10,000 MW of new dispatchable thermal generation, and HB 14 (89</w:t>
      </w:r>
      <w:r w:rsidR="5E33A819" w:rsidRPr="5E33A819">
        <w:rPr>
          <w:vertAlign w:val="superscript"/>
        </w:rPr>
        <w:t>th</w:t>
      </w:r>
      <w:r w:rsidR="5E33A819">
        <w:t xml:space="preserve"> Regular Session) established support for developing an advanced nuclear industry in Texas.</w:t>
      </w:r>
      <w:r>
        <w:t xml:space="preserve"> </w:t>
      </w:r>
    </w:p>
    <w:p w14:paraId="5B554F30" w14:textId="62048A4D" w:rsidR="00020671" w:rsidRDefault="6E36F8FD" w:rsidP="6E36F8FD">
      <w:pPr>
        <w:spacing w:line="360" w:lineRule="auto"/>
        <w:ind w:firstLine="720"/>
      </w:pPr>
      <w:r>
        <w:t xml:space="preserve">Taken collectively, the legislature and Governor Abbott </w:t>
      </w:r>
      <w:r>
        <w:t>are</w:t>
      </w:r>
      <w:r>
        <w:t xml:space="preserve"> sending a very strong message that </w:t>
      </w:r>
      <w:r>
        <w:t>dispatchable thermal generation resources are of critical importance for</w:t>
      </w:r>
      <w:r>
        <w:t xml:space="preserve"> Texas and providing a</w:t>
      </w:r>
      <w:r>
        <w:t>n</w:t>
      </w:r>
      <w:r>
        <w:t xml:space="preserve"> </w:t>
      </w:r>
      <w:r>
        <w:t>attractive</w:t>
      </w:r>
      <w:r>
        <w:t xml:space="preserve"> environment for investment in </w:t>
      </w:r>
      <w:r>
        <w:t xml:space="preserve">existing and </w:t>
      </w:r>
      <w:r>
        <w:t xml:space="preserve">new dispatchable generation, particularly gas and nuclear, is </w:t>
      </w:r>
      <w:r>
        <w:t>a high priority</w:t>
      </w:r>
      <w:r>
        <w:t xml:space="preserve">. Therefore, great care should be taken </w:t>
      </w:r>
      <w:r>
        <w:t>when developing this</w:t>
      </w:r>
      <w:r>
        <w:t xml:space="preserve"> rule to </w:t>
      </w:r>
      <w:r>
        <w:t xml:space="preserve">not </w:t>
      </w:r>
      <w:r>
        <w:t>penalize the very resources that state leadership is so clearly trying to attract and retain. Additionally, this rule should not create a</w:t>
      </w:r>
      <w:r>
        <w:t>ny</w:t>
      </w:r>
      <w:r>
        <w:t xml:space="preserve"> disincentive to </w:t>
      </w:r>
      <w:r>
        <w:t>uprate</w:t>
      </w:r>
      <w:r>
        <w:t xml:space="preserve">, repower, </w:t>
      </w:r>
      <w:r>
        <w:t xml:space="preserve">or </w:t>
      </w:r>
      <w:r>
        <w:t>replac</w:t>
      </w:r>
      <w:r>
        <w:t>e</w:t>
      </w:r>
      <w:r>
        <w:t xml:space="preserve"> existing resources. </w:t>
      </w:r>
      <w:r w:rsidR="5E33A819">
        <w:t xml:space="preserve">Given </w:t>
      </w:r>
      <w:r w:rsidR="5E33A819">
        <w:t>that more effective market design options have been shelved for now</w:t>
      </w:r>
      <w:r>
        <w:t xml:space="preserve"> </w:t>
      </w:r>
      <w:r>
        <w:t xml:space="preserve">and the </w:t>
      </w:r>
      <w:r w:rsidR="5E33A819">
        <w:t xml:space="preserve">resulting uncertainty regarding the remaining </w:t>
      </w:r>
      <w:r>
        <w:t xml:space="preserve">moving parts to </w:t>
      </w:r>
      <w:r w:rsidR="006C08EF">
        <w:t>market</w:t>
      </w:r>
      <w:r w:rsidR="004B3485">
        <w:t xml:space="preserve"> </w:t>
      </w:r>
      <w:r>
        <w:t>design</w:t>
      </w:r>
      <w:r w:rsidR="5E33A819">
        <w:t xml:space="preserve"> (including this rule)</w:t>
      </w:r>
      <w:r w:rsidR="5E33A819">
        <w:t>,</w:t>
      </w:r>
      <w:r>
        <w:t xml:space="preserve"> TCPA would respectfully request staff hold a workshop on this</w:t>
      </w:r>
      <w:r>
        <w:t xml:space="preserve"> topic</w:t>
      </w:r>
      <w:r>
        <w:t xml:space="preserve"> prior to filing a Proposal for Publication. </w:t>
      </w:r>
    </w:p>
    <w:bookmarkEnd w:id="0"/>
    <w:bookmarkEnd w:id="1"/>
    <w:p w14:paraId="0FCFCFF4" w14:textId="21A259D1" w:rsidR="004C244E" w:rsidRDefault="004C244E" w:rsidP="000E3A63">
      <w:pPr>
        <w:spacing w:line="480" w:lineRule="auto"/>
        <w:rPr>
          <w:rFonts w:cs="Times New Roman"/>
          <w:szCs w:val="24"/>
        </w:rPr>
      </w:pPr>
      <w:r>
        <w:rPr>
          <w:rFonts w:cs="Times New Roman"/>
          <w:szCs w:val="24"/>
        </w:rPr>
        <w:t xml:space="preserve"> </w:t>
      </w:r>
    </w:p>
    <w:p w14:paraId="49FB8D68" w14:textId="5CD88B2F" w:rsidR="00A73973" w:rsidRDefault="005B2BE2" w:rsidP="00A73973">
      <w:pPr>
        <w:keepNext/>
        <w:keepLines/>
        <w:spacing w:line="480" w:lineRule="auto"/>
        <w:ind w:firstLine="360"/>
        <w:jc w:val="center"/>
        <w:rPr>
          <w:rFonts w:cs="Times New Roman"/>
          <w:b/>
          <w:bCs/>
          <w:szCs w:val="24"/>
          <w:u w:val="single"/>
        </w:rPr>
      </w:pPr>
      <w:r>
        <w:rPr>
          <w:rFonts w:cs="Times New Roman"/>
          <w:b/>
          <w:bCs/>
          <w:szCs w:val="24"/>
          <w:u w:val="single"/>
        </w:rPr>
        <w:t>RESPONSE TO STAFF QUESTIONS</w:t>
      </w:r>
    </w:p>
    <w:p w14:paraId="0DF546C7" w14:textId="4959F758" w:rsidR="00A73973" w:rsidRPr="00A73973" w:rsidRDefault="00A73973" w:rsidP="00484235">
      <w:pPr>
        <w:keepNext/>
        <w:keepLines/>
        <w:spacing w:line="360" w:lineRule="auto"/>
        <w:ind w:firstLine="360"/>
        <w:rPr>
          <w:rFonts w:cs="Times New Roman"/>
        </w:rPr>
      </w:pPr>
      <w:r w:rsidRPr="5E33A819">
        <w:rPr>
          <w:rFonts w:cs="Times New Roman"/>
        </w:rPr>
        <w:t xml:space="preserve">TCPA’s comments </w:t>
      </w:r>
      <w:proofErr w:type="gramStart"/>
      <w:r w:rsidR="00226E38" w:rsidRPr="5E33A819">
        <w:rPr>
          <w:rFonts w:cs="Times New Roman"/>
        </w:rPr>
        <w:t>to</w:t>
      </w:r>
      <w:proofErr w:type="gramEnd"/>
      <w:r w:rsidR="00226E38" w:rsidRPr="5E33A819">
        <w:rPr>
          <w:rFonts w:cs="Times New Roman"/>
        </w:rPr>
        <w:t xml:space="preserve"> </w:t>
      </w:r>
      <w:r w:rsidR="00C46616" w:rsidRPr="5E33A819">
        <w:rPr>
          <w:rFonts w:cs="Times New Roman"/>
        </w:rPr>
        <w:t xml:space="preserve">each question and its subparts are contained following each </w:t>
      </w:r>
      <w:r w:rsidR="003835E1" w:rsidRPr="5E33A819">
        <w:rPr>
          <w:rFonts w:cs="Times New Roman"/>
        </w:rPr>
        <w:t xml:space="preserve">complete question. Any issues not specifically addressed in these comments </w:t>
      </w:r>
      <w:r w:rsidR="00DD0FFB" w:rsidRPr="5E33A819">
        <w:rPr>
          <w:rFonts w:cs="Times New Roman"/>
        </w:rPr>
        <w:t>is</w:t>
      </w:r>
      <w:r w:rsidR="00147ECA" w:rsidRPr="5E33A819">
        <w:rPr>
          <w:rFonts w:cs="Times New Roman"/>
        </w:rPr>
        <w:t xml:space="preserve"> not indicat</w:t>
      </w:r>
      <w:r w:rsidR="00DD0FFB" w:rsidRPr="5E33A819">
        <w:rPr>
          <w:rFonts w:cs="Times New Roman"/>
        </w:rPr>
        <w:t>ive</w:t>
      </w:r>
      <w:r w:rsidR="00147ECA" w:rsidRPr="5E33A819">
        <w:rPr>
          <w:rFonts w:cs="Times New Roman"/>
        </w:rPr>
        <w:t xml:space="preserve"> </w:t>
      </w:r>
      <w:r w:rsidR="00DD0FFB" w:rsidRPr="5E33A819">
        <w:rPr>
          <w:rFonts w:cs="Times New Roman"/>
        </w:rPr>
        <w:t>that TCPA has no opinion</w:t>
      </w:r>
      <w:r w:rsidR="00147ECA" w:rsidRPr="5E33A819">
        <w:rPr>
          <w:rFonts w:cs="Times New Roman"/>
        </w:rPr>
        <w:t xml:space="preserve"> but merely </w:t>
      </w:r>
      <w:r w:rsidR="00DD0FFB" w:rsidRPr="5E33A819">
        <w:rPr>
          <w:rFonts w:cs="Times New Roman"/>
        </w:rPr>
        <w:t xml:space="preserve">that there is </w:t>
      </w:r>
      <w:r w:rsidR="00147ECA" w:rsidRPr="5E33A819">
        <w:rPr>
          <w:rFonts w:cs="Times New Roman"/>
        </w:rPr>
        <w:t>a need for greater discussion, preferably in a Commission</w:t>
      </w:r>
      <w:r w:rsidR="5E33A819" w:rsidRPr="5E33A819">
        <w:rPr>
          <w:rFonts w:cs="Times New Roman"/>
        </w:rPr>
        <w:t xml:space="preserve"> or Staff</w:t>
      </w:r>
      <w:r w:rsidR="00147ECA" w:rsidRPr="5E33A819">
        <w:rPr>
          <w:rFonts w:cs="Times New Roman"/>
        </w:rPr>
        <w:t>-led stakeholder workshop, and TCPA reserves the right to supplement these comments at that time</w:t>
      </w:r>
      <w:r w:rsidRPr="5E33A819">
        <w:rPr>
          <w:rFonts w:cs="Times New Roman"/>
        </w:rPr>
        <w:t>.</w:t>
      </w:r>
    </w:p>
    <w:p w14:paraId="7DFBAB80" w14:textId="42EC78E4" w:rsidR="00226E38" w:rsidRPr="00E10A2C" w:rsidRDefault="00226E38" w:rsidP="00994266">
      <w:pPr>
        <w:pStyle w:val="ListParagraph"/>
        <w:widowControl w:val="0"/>
        <w:numPr>
          <w:ilvl w:val="0"/>
          <w:numId w:val="2"/>
        </w:numPr>
        <w:tabs>
          <w:tab w:val="left" w:pos="1079"/>
        </w:tabs>
        <w:autoSpaceDE w:val="0"/>
        <w:autoSpaceDN w:val="0"/>
        <w:spacing w:before="217" w:after="0" w:line="259" w:lineRule="auto"/>
        <w:ind w:left="1079" w:right="354"/>
        <w:contextualSpacing w:val="0"/>
        <w:rPr>
          <w:i/>
          <w:iCs/>
        </w:rPr>
      </w:pPr>
      <w:r w:rsidRPr="00E10A2C">
        <w:rPr>
          <w:i/>
          <w:iCs/>
        </w:rPr>
        <w:t xml:space="preserve">PURA § 39.1592(b) requires owners or operators of electric generating facilities to demonstrate the ability “to operate or be available to operate when called on for dispatch at or above the seasonal average generation capability during the times of highest risk, as determined by the commission, due to low operation reserves, as </w:t>
      </w:r>
      <w:r w:rsidRPr="00E10A2C">
        <w:rPr>
          <w:i/>
          <w:iCs/>
        </w:rPr>
        <w:lastRenderedPageBreak/>
        <w:t>determined by the commission.”</w:t>
      </w:r>
    </w:p>
    <w:p w14:paraId="52F2E8D8" w14:textId="77777777" w:rsidR="00E10A2C" w:rsidRPr="00E10A2C" w:rsidRDefault="00E10A2C" w:rsidP="00994266">
      <w:pPr>
        <w:pStyle w:val="ListParagraph"/>
        <w:widowControl w:val="0"/>
        <w:numPr>
          <w:ilvl w:val="1"/>
          <w:numId w:val="2"/>
        </w:numPr>
        <w:tabs>
          <w:tab w:val="left" w:pos="1800"/>
        </w:tabs>
        <w:autoSpaceDE w:val="0"/>
        <w:autoSpaceDN w:val="0"/>
        <w:spacing w:after="0" w:line="259" w:lineRule="auto"/>
        <w:ind w:right="357"/>
        <w:contextualSpacing w:val="0"/>
        <w:rPr>
          <w:i/>
          <w:iCs/>
        </w:rPr>
      </w:pPr>
      <w:r w:rsidRPr="00E10A2C">
        <w:rPr>
          <w:i/>
          <w:iCs/>
        </w:rPr>
        <w:t xml:space="preserve">How should the Commission calculate the seasonal average generation </w:t>
      </w:r>
      <w:r w:rsidRPr="00E10A2C">
        <w:rPr>
          <w:i/>
          <w:iCs/>
          <w:spacing w:val="-2"/>
        </w:rPr>
        <w:t>capability?</w:t>
      </w:r>
    </w:p>
    <w:p w14:paraId="3AEF3C8B" w14:textId="3CC28C35" w:rsidR="00226E38" w:rsidRPr="00E10A2C" w:rsidRDefault="00226E38" w:rsidP="00994266">
      <w:pPr>
        <w:pStyle w:val="ListParagraph"/>
        <w:widowControl w:val="0"/>
        <w:numPr>
          <w:ilvl w:val="1"/>
          <w:numId w:val="2"/>
        </w:numPr>
        <w:tabs>
          <w:tab w:val="left" w:pos="1800"/>
        </w:tabs>
        <w:autoSpaceDE w:val="0"/>
        <w:autoSpaceDN w:val="0"/>
        <w:spacing w:after="0" w:line="259" w:lineRule="auto"/>
        <w:ind w:right="357"/>
        <w:contextualSpacing w:val="0"/>
        <w:rPr>
          <w:i/>
          <w:iCs/>
        </w:rPr>
      </w:pPr>
      <w:r w:rsidRPr="00E10A2C">
        <w:rPr>
          <w:i/>
          <w:iCs/>
        </w:rPr>
        <w:t xml:space="preserve">What metric should be used to determine the </w:t>
      </w:r>
      <w:proofErr w:type="gramStart"/>
      <w:r w:rsidRPr="00E10A2C">
        <w:rPr>
          <w:i/>
          <w:iCs/>
        </w:rPr>
        <w:t>times of highest</w:t>
      </w:r>
      <w:proofErr w:type="gramEnd"/>
      <w:r w:rsidRPr="00E10A2C">
        <w:rPr>
          <w:i/>
          <w:iCs/>
        </w:rPr>
        <w:t xml:space="preserve"> risk due to low operation reserves?</w:t>
      </w:r>
    </w:p>
    <w:p w14:paraId="06F281D5" w14:textId="77777777" w:rsidR="00226E38" w:rsidRPr="00E10A2C" w:rsidRDefault="00226E38" w:rsidP="00994266">
      <w:pPr>
        <w:pStyle w:val="ListParagraph"/>
        <w:widowControl w:val="0"/>
        <w:numPr>
          <w:ilvl w:val="1"/>
          <w:numId w:val="2"/>
        </w:numPr>
        <w:tabs>
          <w:tab w:val="left" w:pos="1800"/>
        </w:tabs>
        <w:autoSpaceDE w:val="0"/>
        <w:autoSpaceDN w:val="0"/>
        <w:spacing w:after="0" w:line="259" w:lineRule="auto"/>
        <w:ind w:right="354"/>
        <w:contextualSpacing w:val="0"/>
        <w:rPr>
          <w:i/>
          <w:iCs/>
        </w:rPr>
      </w:pPr>
      <w:r w:rsidRPr="00E10A2C">
        <w:rPr>
          <w:i/>
          <w:iCs/>
        </w:rPr>
        <w:t>How many hours should be included to capture the times of highest risk? Should it include a certain number of hours in each season or specific hours each day?</w:t>
      </w:r>
    </w:p>
    <w:p w14:paraId="206B79FC" w14:textId="77777777" w:rsidR="00226E38" w:rsidRPr="00E10A2C" w:rsidRDefault="00226E38" w:rsidP="00994266">
      <w:pPr>
        <w:pStyle w:val="ListParagraph"/>
        <w:widowControl w:val="0"/>
        <w:numPr>
          <w:ilvl w:val="1"/>
          <w:numId w:val="2"/>
        </w:numPr>
        <w:tabs>
          <w:tab w:val="left" w:pos="1799"/>
        </w:tabs>
        <w:autoSpaceDE w:val="0"/>
        <w:autoSpaceDN w:val="0"/>
        <w:spacing w:after="0" w:line="259" w:lineRule="auto"/>
        <w:ind w:left="1799" w:right="359"/>
        <w:contextualSpacing w:val="0"/>
        <w:rPr>
          <w:i/>
          <w:iCs/>
        </w:rPr>
      </w:pPr>
      <w:r w:rsidRPr="00E10A2C">
        <w:rPr>
          <w:i/>
          <w:iCs/>
        </w:rPr>
        <w:t>How should availability during the hours of highest risk be calculated for an electric generating facility? For example, what resource statuses should be considered when evaluating real-time availability for these hours?</w:t>
      </w:r>
    </w:p>
    <w:p w14:paraId="56337576" w14:textId="77777777" w:rsidR="00226E38" w:rsidRPr="00E10A2C" w:rsidRDefault="00226E38" w:rsidP="00994266">
      <w:pPr>
        <w:pStyle w:val="ListParagraph"/>
        <w:widowControl w:val="0"/>
        <w:numPr>
          <w:ilvl w:val="1"/>
          <w:numId w:val="2"/>
        </w:numPr>
        <w:tabs>
          <w:tab w:val="left" w:pos="1799"/>
        </w:tabs>
        <w:autoSpaceDE w:val="0"/>
        <w:autoSpaceDN w:val="0"/>
        <w:spacing w:after="0" w:line="259" w:lineRule="auto"/>
        <w:ind w:left="1799" w:right="354"/>
        <w:contextualSpacing w:val="0"/>
        <w:rPr>
          <w:i/>
          <w:iCs/>
        </w:rPr>
      </w:pPr>
      <w:r w:rsidRPr="00E10A2C">
        <w:rPr>
          <w:i/>
          <w:iCs/>
        </w:rPr>
        <w:t>Should</w:t>
      </w:r>
      <w:r w:rsidRPr="00E10A2C">
        <w:rPr>
          <w:i/>
          <w:iCs/>
          <w:spacing w:val="-13"/>
        </w:rPr>
        <w:t xml:space="preserve"> </w:t>
      </w:r>
      <w:r w:rsidRPr="00E10A2C">
        <w:rPr>
          <w:i/>
          <w:iCs/>
        </w:rPr>
        <w:t>the</w:t>
      </w:r>
      <w:r w:rsidRPr="00E10A2C">
        <w:rPr>
          <w:i/>
          <w:iCs/>
          <w:spacing w:val="-14"/>
        </w:rPr>
        <w:t xml:space="preserve"> </w:t>
      </w:r>
      <w:r w:rsidRPr="00E10A2C">
        <w:rPr>
          <w:i/>
          <w:iCs/>
        </w:rPr>
        <w:t>Commission</w:t>
      </w:r>
      <w:r w:rsidRPr="00E10A2C">
        <w:rPr>
          <w:i/>
          <w:iCs/>
          <w:spacing w:val="-13"/>
        </w:rPr>
        <w:t xml:space="preserve"> </w:t>
      </w:r>
      <w:r w:rsidRPr="00E10A2C">
        <w:rPr>
          <w:i/>
          <w:iCs/>
        </w:rPr>
        <w:t>rely</w:t>
      </w:r>
      <w:r w:rsidRPr="00E10A2C">
        <w:rPr>
          <w:i/>
          <w:iCs/>
          <w:spacing w:val="-13"/>
        </w:rPr>
        <w:t xml:space="preserve"> </w:t>
      </w:r>
      <w:r w:rsidRPr="00E10A2C">
        <w:rPr>
          <w:i/>
          <w:iCs/>
        </w:rPr>
        <w:t>on</w:t>
      </w:r>
      <w:r w:rsidRPr="00E10A2C">
        <w:rPr>
          <w:i/>
          <w:iCs/>
          <w:spacing w:val="-13"/>
        </w:rPr>
        <w:t xml:space="preserve"> </w:t>
      </w:r>
      <w:r w:rsidRPr="00E10A2C">
        <w:rPr>
          <w:i/>
          <w:iCs/>
        </w:rPr>
        <w:t>historic</w:t>
      </w:r>
      <w:r w:rsidRPr="00E10A2C">
        <w:rPr>
          <w:i/>
          <w:iCs/>
          <w:spacing w:val="-14"/>
        </w:rPr>
        <w:t xml:space="preserve"> </w:t>
      </w:r>
      <w:r w:rsidRPr="00E10A2C">
        <w:rPr>
          <w:i/>
          <w:iCs/>
        </w:rPr>
        <w:t>data</w:t>
      </w:r>
      <w:r w:rsidRPr="00E10A2C">
        <w:rPr>
          <w:i/>
          <w:iCs/>
          <w:spacing w:val="-14"/>
        </w:rPr>
        <w:t xml:space="preserve"> </w:t>
      </w:r>
      <w:r w:rsidRPr="00E10A2C">
        <w:rPr>
          <w:i/>
          <w:iCs/>
        </w:rPr>
        <w:t>to</w:t>
      </w:r>
      <w:r w:rsidRPr="00E10A2C">
        <w:rPr>
          <w:i/>
          <w:iCs/>
          <w:spacing w:val="-13"/>
        </w:rPr>
        <w:t xml:space="preserve"> </w:t>
      </w:r>
      <w:r w:rsidRPr="00E10A2C">
        <w:rPr>
          <w:i/>
          <w:iCs/>
        </w:rPr>
        <w:t>determine</w:t>
      </w:r>
      <w:r w:rsidRPr="00E10A2C">
        <w:rPr>
          <w:i/>
          <w:iCs/>
          <w:spacing w:val="-14"/>
        </w:rPr>
        <w:t xml:space="preserve"> </w:t>
      </w:r>
      <w:r w:rsidRPr="00E10A2C">
        <w:rPr>
          <w:i/>
          <w:iCs/>
        </w:rPr>
        <w:t>an</w:t>
      </w:r>
      <w:r w:rsidRPr="00E10A2C">
        <w:rPr>
          <w:i/>
          <w:iCs/>
          <w:spacing w:val="-13"/>
        </w:rPr>
        <w:t xml:space="preserve"> </w:t>
      </w:r>
      <w:r w:rsidRPr="00E10A2C">
        <w:rPr>
          <w:i/>
          <w:iCs/>
        </w:rPr>
        <w:t>electric</w:t>
      </w:r>
      <w:r w:rsidRPr="00E10A2C">
        <w:rPr>
          <w:i/>
          <w:iCs/>
          <w:spacing w:val="-14"/>
        </w:rPr>
        <w:t xml:space="preserve"> </w:t>
      </w:r>
      <w:r w:rsidRPr="00E10A2C">
        <w:rPr>
          <w:i/>
          <w:iCs/>
        </w:rPr>
        <w:t>generating facility’s seasonal average generation capability and availability during the hours of highest risk?</w:t>
      </w:r>
    </w:p>
    <w:p w14:paraId="0F2E238F" w14:textId="77777777" w:rsidR="00226E38" w:rsidRPr="00E10A2C" w:rsidRDefault="00226E38" w:rsidP="00994266">
      <w:pPr>
        <w:pStyle w:val="ListParagraph"/>
        <w:widowControl w:val="0"/>
        <w:numPr>
          <w:ilvl w:val="2"/>
          <w:numId w:val="2"/>
        </w:numPr>
        <w:tabs>
          <w:tab w:val="left" w:pos="2697"/>
          <w:tab w:val="left" w:pos="2699"/>
        </w:tabs>
        <w:autoSpaceDE w:val="0"/>
        <w:autoSpaceDN w:val="0"/>
        <w:spacing w:after="0" w:line="259" w:lineRule="auto"/>
        <w:ind w:left="2699" w:right="357"/>
        <w:contextualSpacing w:val="0"/>
        <w:rPr>
          <w:i/>
          <w:iCs/>
        </w:rPr>
      </w:pPr>
      <w:r w:rsidRPr="00E10A2C">
        <w:rPr>
          <w:i/>
          <w:iCs/>
        </w:rPr>
        <w:t>If</w:t>
      </w:r>
      <w:r w:rsidRPr="00E10A2C">
        <w:rPr>
          <w:i/>
          <w:iCs/>
          <w:spacing w:val="-14"/>
        </w:rPr>
        <w:t xml:space="preserve"> </w:t>
      </w:r>
      <w:r w:rsidRPr="00E10A2C">
        <w:rPr>
          <w:i/>
          <w:iCs/>
        </w:rPr>
        <w:t>so,</w:t>
      </w:r>
      <w:r w:rsidRPr="00E10A2C">
        <w:rPr>
          <w:i/>
          <w:iCs/>
          <w:spacing w:val="-13"/>
        </w:rPr>
        <w:t xml:space="preserve"> </w:t>
      </w:r>
      <w:r w:rsidRPr="00E10A2C">
        <w:rPr>
          <w:i/>
          <w:iCs/>
        </w:rPr>
        <w:t>how</w:t>
      </w:r>
      <w:r w:rsidRPr="00E10A2C">
        <w:rPr>
          <w:i/>
          <w:iCs/>
          <w:spacing w:val="-14"/>
        </w:rPr>
        <w:t xml:space="preserve"> </w:t>
      </w:r>
      <w:r w:rsidRPr="00E10A2C">
        <w:rPr>
          <w:i/>
          <w:iCs/>
        </w:rPr>
        <w:t>many</w:t>
      </w:r>
      <w:r w:rsidRPr="00E10A2C">
        <w:rPr>
          <w:i/>
          <w:iCs/>
          <w:spacing w:val="-13"/>
        </w:rPr>
        <w:t xml:space="preserve"> </w:t>
      </w:r>
      <w:r w:rsidRPr="00E10A2C">
        <w:rPr>
          <w:i/>
          <w:iCs/>
        </w:rPr>
        <w:t>years</w:t>
      </w:r>
      <w:r w:rsidRPr="00E10A2C">
        <w:rPr>
          <w:i/>
          <w:iCs/>
          <w:spacing w:val="-13"/>
        </w:rPr>
        <w:t xml:space="preserve"> </w:t>
      </w:r>
      <w:r w:rsidRPr="00E10A2C">
        <w:rPr>
          <w:i/>
          <w:iCs/>
        </w:rPr>
        <w:t>of</w:t>
      </w:r>
      <w:r w:rsidRPr="00E10A2C">
        <w:rPr>
          <w:i/>
          <w:iCs/>
          <w:spacing w:val="-11"/>
        </w:rPr>
        <w:t xml:space="preserve"> </w:t>
      </w:r>
      <w:r w:rsidRPr="00E10A2C">
        <w:rPr>
          <w:i/>
          <w:iCs/>
        </w:rPr>
        <w:t>historic</w:t>
      </w:r>
      <w:r w:rsidRPr="00E10A2C">
        <w:rPr>
          <w:i/>
          <w:iCs/>
          <w:spacing w:val="-14"/>
        </w:rPr>
        <w:t xml:space="preserve"> </w:t>
      </w:r>
      <w:r w:rsidRPr="00E10A2C">
        <w:rPr>
          <w:i/>
          <w:iCs/>
        </w:rPr>
        <w:t>availability/performance</w:t>
      </w:r>
      <w:r w:rsidRPr="00E10A2C">
        <w:rPr>
          <w:i/>
          <w:iCs/>
          <w:spacing w:val="-14"/>
        </w:rPr>
        <w:t xml:space="preserve"> </w:t>
      </w:r>
      <w:r w:rsidRPr="00E10A2C">
        <w:rPr>
          <w:i/>
          <w:iCs/>
        </w:rPr>
        <w:t>data</w:t>
      </w:r>
      <w:r w:rsidRPr="00E10A2C">
        <w:rPr>
          <w:i/>
          <w:iCs/>
          <w:spacing w:val="-14"/>
        </w:rPr>
        <w:t xml:space="preserve"> </w:t>
      </w:r>
      <w:r w:rsidRPr="00E10A2C">
        <w:rPr>
          <w:i/>
          <w:iCs/>
        </w:rPr>
        <w:t>should be utilized to determine an electric generating facility’s seasonal average generation capability and an electric generating facility’s availability during the hours of highest reliability risk?</w:t>
      </w:r>
    </w:p>
    <w:p w14:paraId="7816E9CE" w14:textId="77777777" w:rsidR="00226E38" w:rsidRPr="00E10A2C" w:rsidRDefault="00226E38" w:rsidP="00994266">
      <w:pPr>
        <w:pStyle w:val="ListParagraph"/>
        <w:widowControl w:val="0"/>
        <w:numPr>
          <w:ilvl w:val="1"/>
          <w:numId w:val="2"/>
        </w:numPr>
        <w:tabs>
          <w:tab w:val="left" w:pos="1797"/>
          <w:tab w:val="left" w:pos="1799"/>
        </w:tabs>
        <w:autoSpaceDE w:val="0"/>
        <w:autoSpaceDN w:val="0"/>
        <w:spacing w:after="0" w:line="259" w:lineRule="auto"/>
        <w:ind w:left="1799" w:right="354"/>
        <w:contextualSpacing w:val="0"/>
        <w:rPr>
          <w:i/>
          <w:iCs/>
        </w:rPr>
      </w:pPr>
      <w:r w:rsidRPr="00E10A2C">
        <w:rPr>
          <w:i/>
          <w:iCs/>
        </w:rPr>
        <w:t>Should capacity from electric generating facilities to which PURA § 39.1592 does</w:t>
      </w:r>
      <w:r w:rsidRPr="00E10A2C">
        <w:rPr>
          <w:i/>
          <w:iCs/>
          <w:spacing w:val="-1"/>
        </w:rPr>
        <w:t xml:space="preserve"> </w:t>
      </w:r>
      <w:r w:rsidRPr="00E10A2C">
        <w:rPr>
          <w:i/>
          <w:iCs/>
        </w:rPr>
        <w:t>not</w:t>
      </w:r>
      <w:r w:rsidRPr="00E10A2C">
        <w:rPr>
          <w:i/>
          <w:iCs/>
          <w:spacing w:val="-1"/>
        </w:rPr>
        <w:t xml:space="preserve"> </w:t>
      </w:r>
      <w:r w:rsidRPr="00E10A2C">
        <w:rPr>
          <w:i/>
          <w:iCs/>
        </w:rPr>
        <w:t>apply</w:t>
      </w:r>
      <w:r w:rsidRPr="00E10A2C">
        <w:rPr>
          <w:i/>
          <w:iCs/>
          <w:spacing w:val="-1"/>
        </w:rPr>
        <w:t xml:space="preserve"> </w:t>
      </w:r>
      <w:r w:rsidRPr="00E10A2C">
        <w:rPr>
          <w:i/>
          <w:iCs/>
        </w:rPr>
        <w:t>(i.e.,</w:t>
      </w:r>
      <w:r w:rsidRPr="00E10A2C">
        <w:rPr>
          <w:i/>
          <w:iCs/>
          <w:spacing w:val="-1"/>
        </w:rPr>
        <w:t xml:space="preserve"> </w:t>
      </w:r>
      <w:r w:rsidRPr="00E10A2C">
        <w:rPr>
          <w:i/>
          <w:iCs/>
        </w:rPr>
        <w:t>those</w:t>
      </w:r>
      <w:r w:rsidRPr="00E10A2C">
        <w:rPr>
          <w:i/>
          <w:iCs/>
          <w:spacing w:val="-2"/>
        </w:rPr>
        <w:t xml:space="preserve"> </w:t>
      </w:r>
      <w:r w:rsidRPr="00E10A2C">
        <w:rPr>
          <w:i/>
          <w:iCs/>
        </w:rPr>
        <w:t>with</w:t>
      </w:r>
      <w:r w:rsidRPr="00E10A2C">
        <w:rPr>
          <w:i/>
          <w:iCs/>
          <w:spacing w:val="-1"/>
        </w:rPr>
        <w:t xml:space="preserve"> </w:t>
      </w:r>
      <w:r w:rsidRPr="00E10A2C">
        <w:rPr>
          <w:i/>
          <w:iCs/>
        </w:rPr>
        <w:t>a</w:t>
      </w:r>
      <w:r w:rsidRPr="00E10A2C">
        <w:rPr>
          <w:i/>
          <w:iCs/>
          <w:spacing w:val="-2"/>
        </w:rPr>
        <w:t xml:space="preserve"> </w:t>
      </w:r>
      <w:r w:rsidRPr="00E10A2C">
        <w:rPr>
          <w:i/>
          <w:iCs/>
        </w:rPr>
        <w:t>SGIA</w:t>
      </w:r>
      <w:r w:rsidRPr="00E10A2C">
        <w:rPr>
          <w:i/>
          <w:iCs/>
          <w:spacing w:val="-2"/>
        </w:rPr>
        <w:t xml:space="preserve"> </w:t>
      </w:r>
      <w:r w:rsidRPr="00E10A2C">
        <w:rPr>
          <w:i/>
          <w:iCs/>
        </w:rPr>
        <w:t>executed before</w:t>
      </w:r>
      <w:r w:rsidRPr="00E10A2C">
        <w:rPr>
          <w:i/>
          <w:iCs/>
          <w:spacing w:val="-2"/>
        </w:rPr>
        <w:t xml:space="preserve"> </w:t>
      </w:r>
      <w:r w:rsidRPr="00E10A2C">
        <w:rPr>
          <w:i/>
          <w:iCs/>
        </w:rPr>
        <w:t>January</w:t>
      </w:r>
      <w:r w:rsidRPr="00E10A2C">
        <w:rPr>
          <w:i/>
          <w:iCs/>
          <w:spacing w:val="-1"/>
        </w:rPr>
        <w:t xml:space="preserve"> </w:t>
      </w:r>
      <w:r w:rsidRPr="00E10A2C">
        <w:rPr>
          <w:i/>
          <w:iCs/>
        </w:rPr>
        <w:t>1,</w:t>
      </w:r>
      <w:r w:rsidRPr="00E10A2C">
        <w:rPr>
          <w:i/>
          <w:iCs/>
          <w:spacing w:val="-1"/>
        </w:rPr>
        <w:t xml:space="preserve"> </w:t>
      </w:r>
      <w:r w:rsidRPr="00E10A2C">
        <w:rPr>
          <w:i/>
          <w:iCs/>
        </w:rPr>
        <w:t>2027,</w:t>
      </w:r>
      <w:r w:rsidRPr="00E10A2C">
        <w:rPr>
          <w:i/>
          <w:iCs/>
          <w:spacing w:val="-1"/>
        </w:rPr>
        <w:t xml:space="preserve"> </w:t>
      </w:r>
      <w:r w:rsidRPr="00E10A2C">
        <w:rPr>
          <w:i/>
          <w:iCs/>
        </w:rPr>
        <w:t xml:space="preserve">those that have not been in operation for one year, or self-generators) be eligible to satisfy the reliability requirements of others? If so, how should the quantity of eligible megawatts (MW) from those electric generating facilities be </w:t>
      </w:r>
      <w:r w:rsidRPr="00E10A2C">
        <w:rPr>
          <w:i/>
          <w:iCs/>
          <w:spacing w:val="-2"/>
        </w:rPr>
        <w:t>determined?</w:t>
      </w:r>
    </w:p>
    <w:p w14:paraId="6B049EFC" w14:textId="77777777" w:rsidR="00666221" w:rsidRDefault="00666221" w:rsidP="00440056">
      <w:pPr>
        <w:keepNext/>
        <w:keepLines/>
        <w:spacing w:line="240" w:lineRule="auto"/>
        <w:rPr>
          <w:b/>
          <w:bCs/>
          <w:i/>
          <w:iCs/>
        </w:rPr>
      </w:pPr>
    </w:p>
    <w:p w14:paraId="114F2CCF" w14:textId="045AA284" w:rsidR="004D3DF4" w:rsidRDefault="6E36F8FD" w:rsidP="70CB9704">
      <w:pPr>
        <w:spacing w:line="360" w:lineRule="auto"/>
        <w:rPr>
          <w:highlight w:val="yellow"/>
        </w:rPr>
      </w:pPr>
      <w:r w:rsidRPr="6E36F8FD">
        <w:rPr>
          <w:rFonts w:eastAsia="Times New Roman"/>
          <w:b/>
          <w:bCs/>
        </w:rPr>
        <w:t xml:space="preserve">TCPA RESPONSE: </w:t>
      </w:r>
      <w:r w:rsidRPr="6E36F8FD">
        <w:rPr>
          <w:rFonts w:eastAsia="Times New Roman"/>
        </w:rPr>
        <w:t xml:space="preserve">There are several ways in which to </w:t>
      </w:r>
      <w:r w:rsidRPr="6E36F8FD">
        <w:rPr>
          <w:rFonts w:eastAsia="Times New Roman"/>
        </w:rPr>
        <w:t>define</w:t>
      </w:r>
      <w:r w:rsidRPr="6E36F8FD">
        <w:rPr>
          <w:rFonts w:eastAsia="Times New Roman"/>
        </w:rPr>
        <w:t xml:space="preserve"> the seasonal average generation capability</w:t>
      </w:r>
      <w:r w:rsidRPr="6E36F8FD">
        <w:rPr>
          <w:rFonts w:eastAsia="Times New Roman"/>
        </w:rPr>
        <w:t xml:space="preserve">, which establishes a benchmark to compare </w:t>
      </w:r>
      <w:r w:rsidR="2DA30657" w:rsidRPr="2DA30657">
        <w:rPr>
          <w:rFonts w:eastAsia="Times New Roman"/>
        </w:rPr>
        <w:t xml:space="preserve">against </w:t>
      </w:r>
      <w:r w:rsidRPr="6E36F8FD">
        <w:rPr>
          <w:rFonts w:eastAsia="Times New Roman"/>
        </w:rPr>
        <w:t>actual availability of the resources subject to this rule. A benchmark should be reasonable and not out of reach for each resource type during each season. Therefore, the seasonal average generation capability should generally reflect the amount of available capacity</w:t>
      </w:r>
      <w:r w:rsidRPr="6E36F8FD">
        <w:rPr>
          <w:rFonts w:eastAsia="Times New Roman"/>
        </w:rPr>
        <w:t xml:space="preserve"> ERCOT expect</w:t>
      </w:r>
      <w:r w:rsidRPr="6E36F8FD">
        <w:rPr>
          <w:rFonts w:eastAsia="Times New Roman"/>
        </w:rPr>
        <w:t>s</w:t>
      </w:r>
      <w:r w:rsidRPr="6E36F8FD">
        <w:rPr>
          <w:rFonts w:eastAsia="Times New Roman"/>
        </w:rPr>
        <w:t xml:space="preserve"> to </w:t>
      </w:r>
      <w:r w:rsidRPr="6E36F8FD">
        <w:rPr>
          <w:rFonts w:eastAsia="Times New Roman"/>
        </w:rPr>
        <w:t xml:space="preserve">have </w:t>
      </w:r>
      <w:r w:rsidR="616ACB57" w:rsidRPr="616ACB57">
        <w:rPr>
          <w:rFonts w:eastAsia="Times New Roman"/>
        </w:rPr>
        <w:t xml:space="preserve">as part of </w:t>
      </w:r>
      <w:r w:rsidRPr="6E36F8FD">
        <w:rPr>
          <w:rFonts w:eastAsia="Times New Roman"/>
        </w:rPr>
        <w:t>resource adequacy assessments</w:t>
      </w:r>
      <w:r w:rsidRPr="6E36F8FD">
        <w:rPr>
          <w:rFonts w:eastAsia="Times New Roman"/>
        </w:rPr>
        <w:t xml:space="preserve"> </w:t>
      </w:r>
      <w:r w:rsidR="616ACB57" w:rsidRPr="00F75F94">
        <w:rPr>
          <w:rFonts w:eastAsia="Times New Roman"/>
        </w:rPr>
        <w:t>for</w:t>
      </w:r>
      <w:r w:rsidRPr="6E36F8FD">
        <w:rPr>
          <w:rFonts w:eastAsia="Times New Roman"/>
        </w:rPr>
        <w:t xml:space="preserve"> the </w:t>
      </w:r>
      <w:proofErr w:type="gramStart"/>
      <w:r w:rsidRPr="6E36F8FD">
        <w:rPr>
          <w:rFonts w:eastAsia="Times New Roman"/>
        </w:rPr>
        <w:t>season</w:t>
      </w:r>
      <w:r w:rsidRPr="6E36F8FD">
        <w:rPr>
          <w:rFonts w:eastAsia="Times New Roman"/>
        </w:rPr>
        <w:t>s</w:t>
      </w:r>
      <w:r w:rsidR="5E33A819" w:rsidRPr="5E33A819">
        <w:rPr>
          <w:rFonts w:eastAsia="Times New Roman"/>
        </w:rPr>
        <w:t>, but</w:t>
      </w:r>
      <w:proofErr w:type="gramEnd"/>
      <w:r w:rsidR="5E33A819" w:rsidRPr="5E33A819">
        <w:rPr>
          <w:rFonts w:eastAsia="Times New Roman"/>
        </w:rPr>
        <w:t xml:space="preserve"> recognize that ERCOT’s resource adequacy assessments do not always assume the highest risk conditions in which resource output may be limited by the laws of physics</w:t>
      </w:r>
      <w:r w:rsidR="5E33A819" w:rsidRPr="5E33A819">
        <w:rPr>
          <w:rFonts w:eastAsia="Times New Roman"/>
        </w:rPr>
        <w:t>.</w:t>
      </w:r>
      <w:r w:rsidRPr="6E36F8FD">
        <w:rPr>
          <w:rFonts w:eastAsia="Times New Roman"/>
        </w:rPr>
        <w:t xml:space="preserve"> Ultimately, the firming requirement is intended to </w:t>
      </w:r>
      <w:r w:rsidR="5E33A819" w:rsidRPr="5E33A819">
        <w:rPr>
          <w:rFonts w:eastAsia="Times New Roman"/>
        </w:rPr>
        <w:t>support greater</w:t>
      </w:r>
      <w:r w:rsidRPr="6E36F8FD">
        <w:rPr>
          <w:rFonts w:eastAsia="Times New Roman"/>
        </w:rPr>
        <w:t xml:space="preserve"> reliability</w:t>
      </w:r>
      <w:r w:rsidRPr="6E36F8FD">
        <w:rPr>
          <w:rFonts w:eastAsia="Times New Roman"/>
        </w:rPr>
        <w:t xml:space="preserve"> associated with the changing resource mix on the ERCOT system.  </w:t>
      </w:r>
      <w:r w:rsidRPr="6E36F8FD">
        <w:rPr>
          <w:rFonts w:eastAsia="Times New Roman"/>
        </w:rPr>
        <w:t>T</w:t>
      </w:r>
      <w:r w:rsidRPr="6E36F8FD">
        <w:rPr>
          <w:rFonts w:eastAsia="Times New Roman"/>
        </w:rPr>
        <w:t xml:space="preserve">he </w:t>
      </w:r>
      <w:r w:rsidRPr="6E36F8FD">
        <w:rPr>
          <w:rFonts w:eastAsia="Times New Roman"/>
        </w:rPr>
        <w:t xml:space="preserve">Effective Load Carrying Capability </w:t>
      </w:r>
      <w:r w:rsidR="5E33A819" w:rsidRPr="5E33A819">
        <w:rPr>
          <w:rFonts w:eastAsia="Times New Roman"/>
        </w:rPr>
        <w:t>(“</w:t>
      </w:r>
      <w:r w:rsidRPr="6E36F8FD">
        <w:rPr>
          <w:rFonts w:eastAsia="Times New Roman"/>
        </w:rPr>
        <w:t>ELCC</w:t>
      </w:r>
      <w:r w:rsidR="5E33A819" w:rsidRPr="5E33A819">
        <w:rPr>
          <w:rFonts w:eastAsia="Times New Roman"/>
        </w:rPr>
        <w:t>”), historical performance, and/</w:t>
      </w:r>
      <w:r w:rsidR="5E33A819" w:rsidRPr="5E33A819">
        <w:rPr>
          <w:rFonts w:eastAsia="Times New Roman"/>
        </w:rPr>
        <w:t xml:space="preserve">or </w:t>
      </w:r>
      <w:r w:rsidR="5E33A819" w:rsidRPr="5E33A819">
        <w:rPr>
          <w:rFonts w:eastAsia="Times New Roman"/>
        </w:rPr>
        <w:t>an adjusted</w:t>
      </w:r>
      <w:r w:rsidRPr="6E36F8FD">
        <w:rPr>
          <w:rFonts w:eastAsia="Times New Roman"/>
        </w:rPr>
        <w:t xml:space="preserve"> net maximum sustainable seasonal rating could serve as </w:t>
      </w:r>
      <w:r w:rsidR="5E33A819" w:rsidRPr="5E33A819">
        <w:rPr>
          <w:rFonts w:eastAsia="Times New Roman"/>
        </w:rPr>
        <w:t xml:space="preserve">(or </w:t>
      </w:r>
      <w:r w:rsidR="6ABB5E72" w:rsidRPr="6ABB5E72">
        <w:rPr>
          <w:rFonts w:eastAsia="Times New Roman"/>
        </w:rPr>
        <w:t xml:space="preserve">be used </w:t>
      </w:r>
      <w:r w:rsidR="2DA30657" w:rsidRPr="00C26A46">
        <w:rPr>
          <w:rFonts w:eastAsia="Times New Roman"/>
        </w:rPr>
        <w:t>in the calculation of</w:t>
      </w:r>
      <w:r w:rsidR="5E33A819" w:rsidRPr="5E33A819">
        <w:rPr>
          <w:rFonts w:eastAsia="Times New Roman"/>
        </w:rPr>
        <w:t xml:space="preserve">) </w:t>
      </w:r>
      <w:r w:rsidRPr="6E36F8FD">
        <w:rPr>
          <w:rFonts w:eastAsia="Times New Roman"/>
        </w:rPr>
        <w:t xml:space="preserve">a reasonable benchmark. </w:t>
      </w:r>
    </w:p>
    <w:p w14:paraId="30BC0158" w14:textId="1C345B55" w:rsidR="004D3DF4" w:rsidRDefault="6E36F8FD" w:rsidP="68D7BD95">
      <w:pPr>
        <w:spacing w:line="360" w:lineRule="auto"/>
        <w:ind w:firstLine="720"/>
      </w:pPr>
      <w:r>
        <w:t xml:space="preserve">The benchmark should also </w:t>
      </w:r>
      <w:r>
        <w:t>incorporate</w:t>
      </w:r>
      <w:r>
        <w:t xml:space="preserve"> reasonable run expectations based on temperature variations. For example, </w:t>
      </w:r>
      <w:r>
        <w:t xml:space="preserve">some adjustment may be required to the seasonal average generation </w:t>
      </w:r>
      <w:r>
        <w:lastRenderedPageBreak/>
        <w:t>capability to properly reflect the lower maximum attainable output from thermal generation resources during hot temperatures</w:t>
      </w:r>
      <w:r>
        <w:t xml:space="preserve">. </w:t>
      </w:r>
    </w:p>
    <w:p w14:paraId="3A113A43" w14:textId="166B0418" w:rsidR="00EC22F7" w:rsidRDefault="6E36F8FD" w:rsidP="0C977C1A">
      <w:pPr>
        <w:spacing w:line="360" w:lineRule="auto"/>
        <w:ind w:firstLine="720"/>
      </w:pPr>
      <w:r>
        <w:t>There are some aspects of benchmarking that need additional clarification. For example, does the baseline include morning and evening ramping hours</w:t>
      </w:r>
      <w:r w:rsidR="616ACB57">
        <w:t>,</w:t>
      </w:r>
      <w:r>
        <w:t xml:space="preserve"> or does it exclude those hours</w:t>
      </w:r>
      <w:r>
        <w:t xml:space="preserve"> based on statute</w:t>
      </w:r>
      <w:r>
        <w:t xml:space="preserve">? </w:t>
      </w:r>
      <w:r w:rsidR="5E33A819">
        <w:t xml:space="preserve">PURA </w:t>
      </w:r>
      <w:r w:rsidR="5E33A819" w:rsidRPr="5E33A819">
        <w:rPr>
          <w:rFonts w:eastAsia="Times New Roman" w:cs="Times New Roman"/>
          <w:szCs w:val="24"/>
        </w:rPr>
        <w:t xml:space="preserve">§ </w:t>
      </w:r>
      <w:r w:rsidR="5E33A819">
        <w:t xml:space="preserve">39.1592(d)(3) could be read either way. </w:t>
      </w:r>
      <w:r>
        <w:t>If the baseline excludes those hours</w:t>
      </w:r>
      <w:r w:rsidR="5E33A819">
        <w:t xml:space="preserve"> (or any other hours “outside” the “morning and evening ramping periods”)</w:t>
      </w:r>
      <w:r w:rsidR="5E33A819">
        <w:t>,</w:t>
      </w:r>
      <w:r>
        <w:t xml:space="preserve"> then all </w:t>
      </w:r>
      <w:r w:rsidR="5E33A819">
        <w:t>resource</w:t>
      </w:r>
      <w:r w:rsidR="5E33A819">
        <w:t>s’</w:t>
      </w:r>
      <w:r w:rsidR="5E33A819">
        <w:t xml:space="preserve"> </w:t>
      </w:r>
      <w:r w:rsidR="5E33A819">
        <w:t>(and/or load)</w:t>
      </w:r>
      <w:r>
        <w:t xml:space="preserve"> </w:t>
      </w:r>
      <w:r>
        <w:t xml:space="preserve">ramping hours should be excluded from their baseline to avoid discriminatory practices against resources not subject to ramping associated with the sunrise or sunset or any specified time of day. </w:t>
      </w:r>
    </w:p>
    <w:p w14:paraId="136DE3FC" w14:textId="3A3E6FFB" w:rsidR="009C5E07" w:rsidRDefault="6E36F8FD" w:rsidP="2DA30657">
      <w:pPr>
        <w:spacing w:line="360" w:lineRule="auto"/>
        <w:ind w:firstLine="720"/>
        <w:rPr>
          <w:rFonts w:eastAsia="Times New Roman" w:cs="Times New Roman"/>
        </w:rPr>
      </w:pPr>
      <w:r>
        <w:t xml:space="preserve">While TCPA has not formulated </w:t>
      </w:r>
      <w:r>
        <w:t>a recommendation on the</w:t>
      </w:r>
      <w:r>
        <w:t xml:space="preserve"> number of hours that should be evaluated in each season, it might be instructive to review some of the </w:t>
      </w:r>
      <w:r w:rsidR="5E33A819">
        <w:t>S</w:t>
      </w:r>
      <w:r>
        <w:t xml:space="preserve">taff analysis done </w:t>
      </w:r>
      <w:r>
        <w:t>during the</w:t>
      </w:r>
      <w:r>
        <w:t xml:space="preserve"> design </w:t>
      </w:r>
      <w:r>
        <w:t xml:space="preserve">of </w:t>
      </w:r>
      <w:r>
        <w:t xml:space="preserve">a </w:t>
      </w:r>
      <w:proofErr w:type="gramStart"/>
      <w:r>
        <w:t>statutorily-compliant</w:t>
      </w:r>
      <w:proofErr w:type="gramEnd"/>
      <w:r>
        <w:t xml:space="preserve"> performance credit mechanism (“PCM”) </w:t>
      </w:r>
      <w:r>
        <w:t>since defining high risk hours</w:t>
      </w:r>
      <w:r>
        <w:t xml:space="preserve"> </w:t>
      </w:r>
      <w:r>
        <w:t>were</w:t>
      </w:r>
      <w:r>
        <w:t xml:space="preserve"> a component </w:t>
      </w:r>
      <w:r>
        <w:t>of</w:t>
      </w:r>
      <w:r>
        <w:t xml:space="preserve"> that program. </w:t>
      </w:r>
      <w:r>
        <w:t xml:space="preserve">The staff recommendation for PCM hours within a season was fifteen high-risk hours. </w:t>
      </w:r>
      <w:r>
        <w:t>The requirement for DRRS includes an ability to run for four or more hours</w:t>
      </w:r>
      <w:r w:rsidR="00C700BA">
        <w:t>.</w:t>
      </w:r>
      <w:r>
        <w:t xml:space="preserve">  </w:t>
      </w:r>
      <w:r w:rsidR="5E33A819">
        <w:t xml:space="preserve">While the Commission is not required to mirror either of those provisions exactly for firming, </w:t>
      </w:r>
      <w:r w:rsidR="5E33A819">
        <w:t>TCPA</w:t>
      </w:r>
      <w:r w:rsidR="5E33A819">
        <w:t>’s review of those parameters leads us to</w:t>
      </w:r>
      <w:r>
        <w:t xml:space="preserve"> recommend evaluating a longer time frame than just one interval or one hour and would suggest analysis that evaluates different timeframes </w:t>
      </w:r>
      <w:r w:rsidR="5E33A819">
        <w:t>including at least a</w:t>
      </w:r>
      <w:r>
        <w:t xml:space="preserve"> four-hour period (not four hours per year, but rather measuring high-risk hours in blocks of at least four hours).</w:t>
      </w:r>
      <w:r w:rsidR="00C700BA">
        <w:t xml:space="preserve"> </w:t>
      </w:r>
    </w:p>
    <w:p w14:paraId="1945532F" w14:textId="5E3EFD48" w:rsidR="009C5E07" w:rsidRDefault="009C5E07" w:rsidP="2DA30657">
      <w:pPr>
        <w:spacing w:line="360" w:lineRule="auto"/>
        <w:ind w:firstLine="720"/>
        <w:rPr>
          <w:rFonts w:eastAsia="Times New Roman" w:cs="Times New Roman"/>
        </w:rPr>
      </w:pPr>
      <w:r>
        <w:t xml:space="preserve">It is  unclear how historic data would be used </w:t>
      </w:r>
      <w:r w:rsidR="00921A1D">
        <w:t xml:space="preserve">to determine the seasonal average generating capability for a </w:t>
      </w:r>
      <w:r w:rsidR="00921A1D">
        <w:t xml:space="preserve">new </w:t>
      </w:r>
      <w:r w:rsidR="00921A1D">
        <w:t xml:space="preserve">resource in operation for a </w:t>
      </w:r>
      <w:r w:rsidR="00921A1D">
        <w:t>year,</w:t>
      </w:r>
      <w:r w:rsidR="00921A1D">
        <w:t xml:space="preserve"> which is when the firming requirement </w:t>
      </w:r>
      <w:r w:rsidR="003A1301">
        <w:t xml:space="preserve">is triggered in the </w:t>
      </w:r>
      <w:r w:rsidDel="003A1301">
        <w:t>statute</w:t>
      </w:r>
      <w:r w:rsidDel="003A1301">
        <w:t xml:space="preserve"> unless a target ELCC is used based on resource type (at least unless/until a longer track record could be established)</w:t>
      </w:r>
      <w:r w:rsidR="003A1301">
        <w:t>.</w:t>
      </w:r>
      <w:r w:rsidR="006F7397">
        <w:rPr>
          <w:rStyle w:val="FootnoteReference"/>
        </w:rPr>
        <w:footnoteReference w:id="2"/>
      </w:r>
      <w:r w:rsidR="003A1301">
        <w:t xml:space="preserve"> </w:t>
      </w:r>
      <w:r w:rsidR="616ACB57" w:rsidRPr="116A6F18">
        <w:rPr>
          <w:rFonts w:eastAsia="Times New Roman" w:cs="Times New Roman"/>
        </w:rPr>
        <w:t xml:space="preserve">The goal of establishing a standard is that it is an objective benchmark applied to all resources of a particular type. Utilizing historical data from a poorly performing resource would result in a lower bar for that resource to meet. </w:t>
      </w:r>
      <w:r w:rsidR="00DB1DEA">
        <w:t xml:space="preserve">A rolling </w:t>
      </w:r>
      <w:r w:rsidR="5E33A819">
        <w:t>five</w:t>
      </w:r>
      <w:r w:rsidR="00DB1DEA">
        <w:t xml:space="preserve">-year average could be used once a resource has had more operating </w:t>
      </w:r>
      <w:r w:rsidR="00DB1DEA">
        <w:t>history (i.e., such as the calculation of a resource specific ELCC),</w:t>
      </w:r>
      <w:r w:rsidR="00DB1DEA">
        <w:t xml:space="preserve"> but it appears the initial </w:t>
      </w:r>
      <w:r w:rsidR="00B818E3">
        <w:t>capability would need to be set based on the previous year’s seasonal average for that resource</w:t>
      </w:r>
      <w:r w:rsidR="00B818E3">
        <w:t xml:space="preserve"> or a target ELCC based on resource type</w:t>
      </w:r>
      <w:r w:rsidR="00B818E3">
        <w:t>.</w:t>
      </w:r>
      <w:r w:rsidR="008D138C">
        <w:t xml:space="preserve"> </w:t>
      </w:r>
      <w:r w:rsidR="616ACB57" w:rsidRPr="116A6F18">
        <w:rPr>
          <w:rFonts w:eastAsia="Times New Roman" w:cs="Times New Roman"/>
        </w:rPr>
        <w:t xml:space="preserve">If the Commission decides to base the benchmark on historical data, </w:t>
      </w:r>
      <w:r w:rsidR="008D138C">
        <w:t xml:space="preserve">TCPA </w:t>
      </w:r>
      <w:r w:rsidR="5E33A819">
        <w:t xml:space="preserve">notes </w:t>
      </w:r>
      <w:r w:rsidR="00BC38A3">
        <w:t xml:space="preserve">that </w:t>
      </w:r>
      <w:r w:rsidR="00BC38A3">
        <w:t xml:space="preserve">the </w:t>
      </w:r>
      <w:r w:rsidR="00BC38A3">
        <w:lastRenderedPageBreak/>
        <w:t xml:space="preserve">statute requires that </w:t>
      </w:r>
      <w:r w:rsidR="00BC38A3">
        <w:t>other resources within the portfolio of the subject resource</w:t>
      </w:r>
      <w:r w:rsidR="00BC38A3">
        <w:t xml:space="preserve"> owner</w:t>
      </w:r>
      <w:r w:rsidR="00BC38A3">
        <w:t xml:space="preserve"> </w:t>
      </w:r>
      <w:r w:rsidR="00BC38A3">
        <w:t xml:space="preserve">must </w:t>
      </w:r>
      <w:r w:rsidR="00BC38A3">
        <w:t xml:space="preserve">be eligible to satisfy the requirement since the </w:t>
      </w:r>
      <w:r w:rsidR="005B7622">
        <w:t xml:space="preserve">goal is to ensure the </w:t>
      </w:r>
      <w:r w:rsidR="61198248">
        <w:t>MWs</w:t>
      </w:r>
      <w:r w:rsidR="005B7622">
        <w:t xml:space="preserve"> are available without respect to which resource in an owner’s portfolio provides them</w:t>
      </w:r>
      <w:r w:rsidR="005B7622">
        <w:t xml:space="preserve"> (similarly, the statute also allows for contracting with third party resources for firming capacity to be available)</w:t>
      </w:r>
      <w:r w:rsidR="005B7622">
        <w:t xml:space="preserve">. </w:t>
      </w:r>
    </w:p>
    <w:p w14:paraId="6E081AA2" w14:textId="1E7FB808" w:rsidR="009C5E07" w:rsidRDefault="005B7622" w:rsidP="6F60286E">
      <w:pPr>
        <w:spacing w:line="360" w:lineRule="auto"/>
        <w:ind w:firstLine="720"/>
        <w:rPr>
          <w:rFonts w:eastAsia="Times New Roman" w:cs="Times New Roman"/>
        </w:rPr>
      </w:pPr>
      <w:r>
        <w:t>The s</w:t>
      </w:r>
      <w:r w:rsidR="5E33A819">
        <w:t xml:space="preserve">tatute requires that generation resources subject to firming requirements be allowed </w:t>
      </w:r>
      <w:r>
        <w:t xml:space="preserve">to </w:t>
      </w:r>
      <w:r>
        <w:t xml:space="preserve">rely on other resources to meet the requirements, so it would also make sense to </w:t>
      </w:r>
      <w:r>
        <w:t xml:space="preserve">use the methodology established for </w:t>
      </w:r>
      <w:r w:rsidR="00CA0185">
        <w:t xml:space="preserve">seasonal average generating capability </w:t>
      </w:r>
      <w:r w:rsidR="00CA0185">
        <w:t>to determine performance from generation resources that are not subject to the firming requirements</w:t>
      </w:r>
      <w:r w:rsidR="00BF3EAF">
        <w:t>.</w:t>
      </w:r>
      <w:r w:rsidR="00CA0185">
        <w:t xml:space="preserve"> </w:t>
      </w:r>
      <w:r w:rsidR="007B7DB0">
        <w:t>This</w:t>
      </w:r>
      <w:r w:rsidR="00CA0185">
        <w:t xml:space="preserve"> would </w:t>
      </w:r>
      <w:r w:rsidR="00CD1038">
        <w:t xml:space="preserve">then </w:t>
      </w:r>
      <w:r w:rsidR="00CA0185">
        <w:t>allow</w:t>
      </w:r>
      <w:r w:rsidR="00CA0185">
        <w:t xml:space="preserve"> those resources performing</w:t>
      </w:r>
      <w:r w:rsidR="00CA0185">
        <w:t xml:space="preserve"> above that average</w:t>
      </w:r>
      <w:r w:rsidR="00CD1038">
        <w:t xml:space="preserve"> </w:t>
      </w:r>
      <w:r w:rsidR="00246275">
        <w:t xml:space="preserve">to offset those that are </w:t>
      </w:r>
      <w:r w:rsidR="00CD1038">
        <w:t>with</w:t>
      </w:r>
      <w:r w:rsidR="00CD1038">
        <w:t>in the portfolio</w:t>
      </w:r>
      <w:r w:rsidR="00CD1038">
        <w:t xml:space="preserve"> or </w:t>
      </w:r>
      <w:r w:rsidR="00234DB9">
        <w:t>to</w:t>
      </w:r>
      <w:r w:rsidR="00CD1038">
        <w:t xml:space="preserve"> contract with </w:t>
      </w:r>
      <w:r w:rsidR="00CD1038">
        <w:t>other resources</w:t>
      </w:r>
      <w:r w:rsidR="00246275">
        <w:t xml:space="preserve">. </w:t>
      </w:r>
      <w:r w:rsidR="5E33A819">
        <w:t>U</w:t>
      </w:r>
      <w:r w:rsidR="5E33A819" w:rsidRPr="116A6F18">
        <w:rPr>
          <w:rFonts w:eastAsia="Times New Roman" w:cs="Times New Roman"/>
        </w:rPr>
        <w:t>tilizing</w:t>
      </w:r>
      <w:r w:rsidR="616ACB57" w:rsidRPr="116A6F18">
        <w:rPr>
          <w:rFonts w:eastAsia="Times New Roman" w:cs="Times New Roman"/>
        </w:rPr>
        <w:t xml:space="preserve"> the ELCC methodology to establish the seasonal average generating capability </w:t>
      </w:r>
      <w:r w:rsidR="5E33A819">
        <w:t>could</w:t>
      </w:r>
      <w:r w:rsidR="616ACB57">
        <w:t xml:space="preserve"> </w:t>
      </w:r>
      <w:r w:rsidR="616ACB57" w:rsidRPr="116A6F18">
        <w:rPr>
          <w:rFonts w:eastAsia="Times New Roman" w:cs="Times New Roman"/>
        </w:rPr>
        <w:t xml:space="preserve">address </w:t>
      </w:r>
      <w:r w:rsidR="5E33A819">
        <w:t>some</w:t>
      </w:r>
      <w:r w:rsidR="616ACB57">
        <w:t xml:space="preserve"> </w:t>
      </w:r>
      <w:r w:rsidR="616ACB57" w:rsidRPr="116A6F18">
        <w:rPr>
          <w:rFonts w:eastAsia="Times New Roman" w:cs="Times New Roman"/>
        </w:rPr>
        <w:t>of the concerns with using historical data to establish the benchmark.</w:t>
      </w:r>
    </w:p>
    <w:p w14:paraId="0B6D6C38" w14:textId="5AE37A26" w:rsidR="616ACB57" w:rsidRDefault="616ACB57" w:rsidP="616ACB57">
      <w:pPr>
        <w:spacing w:line="360" w:lineRule="auto"/>
        <w:ind w:firstLine="720"/>
        <w:rPr>
          <w:rFonts w:eastAsia="Times New Roman" w:cs="Times New Roman"/>
        </w:rPr>
      </w:pPr>
      <w:r w:rsidRPr="2DA30657">
        <w:rPr>
          <w:rFonts w:eastAsia="Times New Roman" w:cs="Times New Roman"/>
        </w:rPr>
        <w:t xml:space="preserve">For resource statuses used to evaluate availability, we recommend that the rule describe codes that show a resource is </w:t>
      </w:r>
      <w:r w:rsidR="5E33A819" w:rsidRPr="2DA30657">
        <w:rPr>
          <w:rFonts w:eastAsia="Times New Roman" w:cs="Times New Roman"/>
        </w:rPr>
        <w:t>not “OUT” (unless OUT for planned</w:t>
      </w:r>
      <w:r w:rsidRPr="2DA30657">
        <w:rPr>
          <w:rFonts w:eastAsia="Times New Roman" w:cs="Times New Roman"/>
        </w:rPr>
        <w:t xml:space="preserve"> or </w:t>
      </w:r>
      <w:r w:rsidR="5E33A819" w:rsidRPr="2DA30657">
        <w:rPr>
          <w:rFonts w:eastAsia="Times New Roman" w:cs="Times New Roman"/>
        </w:rPr>
        <w:t>maintenance outages)</w:t>
      </w:r>
      <w:r w:rsidRPr="2DA30657">
        <w:rPr>
          <w:rFonts w:eastAsia="Times New Roman" w:cs="Times New Roman"/>
        </w:rPr>
        <w:t xml:space="preserve"> versus listing specific statuses since status codes change over time.  Protocol </w:t>
      </w:r>
      <w:r w:rsidR="2DA30657" w:rsidRPr="2DA30657">
        <w:rPr>
          <w:rFonts w:eastAsia="Times New Roman" w:cs="Times New Roman"/>
        </w:rPr>
        <w:t>Section</w:t>
      </w:r>
      <w:r w:rsidRPr="2DA30657">
        <w:rPr>
          <w:rFonts w:eastAsia="Times New Roman" w:cs="Times New Roman"/>
        </w:rPr>
        <w:t xml:space="preserve"> 3.9.1 lists status codes and generally any code that shows a resource is available to provide energy</w:t>
      </w:r>
      <w:r w:rsidR="5E33A819" w:rsidRPr="2DA30657">
        <w:rPr>
          <w:rFonts w:eastAsia="Times New Roman" w:cs="Times New Roman"/>
        </w:rPr>
        <w:t xml:space="preserve">, ancillary services, or available for commitment (or out for planned or maintenance outages) should qualify.  This approach would align most closely with </w:t>
      </w:r>
      <w:proofErr w:type="gramStart"/>
      <w:r w:rsidR="5E33A819" w:rsidRPr="2DA30657">
        <w:rPr>
          <w:rFonts w:eastAsia="Times New Roman" w:cs="Times New Roman"/>
        </w:rPr>
        <w:t>the statutory</w:t>
      </w:r>
      <w:proofErr w:type="gramEnd"/>
      <w:r w:rsidR="5E33A819" w:rsidRPr="2DA30657">
        <w:rPr>
          <w:rFonts w:eastAsia="Times New Roman" w:cs="Times New Roman"/>
        </w:rPr>
        <w:t xml:space="preserve"> language.</w:t>
      </w:r>
    </w:p>
    <w:p w14:paraId="5E653D7F" w14:textId="77777777" w:rsidR="005F25E0" w:rsidRDefault="005F25E0" w:rsidP="004D3DF4"/>
    <w:p w14:paraId="361D5464" w14:textId="77777777" w:rsidR="005F25E0" w:rsidRPr="00C61B51" w:rsidRDefault="005F25E0" w:rsidP="00994266">
      <w:pPr>
        <w:pStyle w:val="ListParagraph"/>
        <w:widowControl w:val="0"/>
        <w:numPr>
          <w:ilvl w:val="0"/>
          <w:numId w:val="2"/>
        </w:numPr>
        <w:tabs>
          <w:tab w:val="left" w:pos="1079"/>
        </w:tabs>
        <w:autoSpaceDE w:val="0"/>
        <w:autoSpaceDN w:val="0"/>
        <w:spacing w:after="0" w:line="259" w:lineRule="auto"/>
        <w:ind w:right="354"/>
        <w:contextualSpacing w:val="0"/>
        <w:rPr>
          <w:i/>
          <w:iCs/>
        </w:rPr>
      </w:pPr>
      <w:r w:rsidRPr="00C61B51">
        <w:rPr>
          <w:i/>
          <w:iCs/>
        </w:rPr>
        <w:t>PURA</w:t>
      </w:r>
      <w:r w:rsidRPr="00C61B51">
        <w:rPr>
          <w:i/>
          <w:iCs/>
          <w:spacing w:val="-12"/>
        </w:rPr>
        <w:t xml:space="preserve"> </w:t>
      </w:r>
      <w:r w:rsidRPr="00C61B51">
        <w:rPr>
          <w:i/>
          <w:iCs/>
        </w:rPr>
        <w:t>§</w:t>
      </w:r>
      <w:r w:rsidRPr="00C61B51">
        <w:rPr>
          <w:i/>
          <w:iCs/>
          <w:spacing w:val="-12"/>
        </w:rPr>
        <w:t xml:space="preserve"> </w:t>
      </w:r>
      <w:r w:rsidRPr="00C61B51">
        <w:rPr>
          <w:i/>
          <w:iCs/>
        </w:rPr>
        <w:t>39.1592(c)</w:t>
      </w:r>
      <w:r w:rsidRPr="00C61B51">
        <w:rPr>
          <w:i/>
          <w:iCs/>
          <w:spacing w:val="-12"/>
        </w:rPr>
        <w:t xml:space="preserve"> </w:t>
      </w:r>
      <w:r w:rsidRPr="00C61B51">
        <w:rPr>
          <w:i/>
          <w:iCs/>
        </w:rPr>
        <w:t>requires</w:t>
      </w:r>
      <w:r w:rsidRPr="00C61B51">
        <w:rPr>
          <w:i/>
          <w:iCs/>
          <w:spacing w:val="-11"/>
        </w:rPr>
        <w:t xml:space="preserve"> </w:t>
      </w:r>
      <w:r w:rsidRPr="00C61B51">
        <w:rPr>
          <w:i/>
          <w:iCs/>
        </w:rPr>
        <w:t>the</w:t>
      </w:r>
      <w:r w:rsidRPr="00C61B51">
        <w:rPr>
          <w:i/>
          <w:iCs/>
          <w:spacing w:val="-13"/>
        </w:rPr>
        <w:t xml:space="preserve"> </w:t>
      </w:r>
      <w:r w:rsidRPr="00C61B51">
        <w:rPr>
          <w:i/>
          <w:iCs/>
        </w:rPr>
        <w:t>Commission</w:t>
      </w:r>
      <w:r w:rsidRPr="00C61B51">
        <w:rPr>
          <w:i/>
          <w:iCs/>
          <w:spacing w:val="-14"/>
        </w:rPr>
        <w:t xml:space="preserve"> </w:t>
      </w:r>
      <w:r w:rsidRPr="00C61B51">
        <w:rPr>
          <w:i/>
          <w:iCs/>
        </w:rPr>
        <w:t>to</w:t>
      </w:r>
      <w:r w:rsidRPr="00C61B51">
        <w:rPr>
          <w:i/>
          <w:iCs/>
          <w:spacing w:val="-14"/>
        </w:rPr>
        <w:t xml:space="preserve"> </w:t>
      </w:r>
      <w:r w:rsidRPr="00C61B51">
        <w:rPr>
          <w:i/>
          <w:iCs/>
        </w:rPr>
        <w:t>establish</w:t>
      </w:r>
      <w:r w:rsidRPr="00C61B51">
        <w:rPr>
          <w:i/>
          <w:iCs/>
          <w:spacing w:val="-12"/>
        </w:rPr>
        <w:t xml:space="preserve"> </w:t>
      </w:r>
      <w:r w:rsidRPr="00C61B51">
        <w:rPr>
          <w:i/>
          <w:iCs/>
        </w:rPr>
        <w:t>financial</w:t>
      </w:r>
      <w:r w:rsidRPr="00C61B51">
        <w:rPr>
          <w:i/>
          <w:iCs/>
          <w:spacing w:val="-11"/>
        </w:rPr>
        <w:t xml:space="preserve"> </w:t>
      </w:r>
      <w:r w:rsidRPr="00C61B51">
        <w:rPr>
          <w:i/>
          <w:iCs/>
        </w:rPr>
        <w:t>penalties</w:t>
      </w:r>
      <w:r w:rsidRPr="00C61B51">
        <w:rPr>
          <w:i/>
          <w:iCs/>
          <w:spacing w:val="-11"/>
        </w:rPr>
        <w:t xml:space="preserve"> </w:t>
      </w:r>
      <w:r w:rsidRPr="00C61B51">
        <w:rPr>
          <w:i/>
          <w:iCs/>
        </w:rPr>
        <w:t>for</w:t>
      </w:r>
      <w:r w:rsidRPr="00C61B51">
        <w:rPr>
          <w:i/>
          <w:iCs/>
          <w:spacing w:val="-12"/>
        </w:rPr>
        <w:t xml:space="preserve"> </w:t>
      </w:r>
      <w:r w:rsidRPr="00C61B51">
        <w:rPr>
          <w:i/>
          <w:iCs/>
        </w:rPr>
        <w:t>failing to comply with the performance requirements in PURA § 39.1592(b) and provide financial incentives for exceeding those performance requirements.</w:t>
      </w:r>
    </w:p>
    <w:p w14:paraId="1E3B4903" w14:textId="77777777" w:rsidR="005F25E0" w:rsidRPr="00C61B51" w:rsidRDefault="005F25E0" w:rsidP="00994266">
      <w:pPr>
        <w:pStyle w:val="ListParagraph"/>
        <w:widowControl w:val="0"/>
        <w:numPr>
          <w:ilvl w:val="1"/>
          <w:numId w:val="3"/>
        </w:numPr>
        <w:tabs>
          <w:tab w:val="left" w:pos="1799"/>
        </w:tabs>
        <w:autoSpaceDE w:val="0"/>
        <w:autoSpaceDN w:val="0"/>
        <w:spacing w:after="0" w:line="261" w:lineRule="auto"/>
        <w:ind w:left="1799" w:right="355"/>
        <w:contextualSpacing w:val="0"/>
        <w:rPr>
          <w:i/>
          <w:iCs/>
        </w:rPr>
      </w:pPr>
      <w:r w:rsidRPr="00C61B51">
        <w:rPr>
          <w:i/>
          <w:iCs/>
        </w:rPr>
        <w:t>What is the appropriate penalty for electric generating facilities that fail to comply with these performance requirements?</w:t>
      </w:r>
    </w:p>
    <w:p w14:paraId="636CB2E8" w14:textId="77777777" w:rsidR="005F25E0" w:rsidRPr="00C61B51" w:rsidRDefault="005F25E0" w:rsidP="00994266">
      <w:pPr>
        <w:pStyle w:val="ListParagraph"/>
        <w:widowControl w:val="0"/>
        <w:numPr>
          <w:ilvl w:val="1"/>
          <w:numId w:val="3"/>
        </w:numPr>
        <w:tabs>
          <w:tab w:val="left" w:pos="1799"/>
        </w:tabs>
        <w:autoSpaceDE w:val="0"/>
        <w:autoSpaceDN w:val="0"/>
        <w:spacing w:after="0" w:line="272" w:lineRule="exact"/>
        <w:ind w:left="1799"/>
        <w:contextualSpacing w:val="0"/>
        <w:rPr>
          <w:i/>
          <w:iCs/>
        </w:rPr>
      </w:pPr>
      <w:r w:rsidRPr="00C61B51">
        <w:rPr>
          <w:i/>
          <w:iCs/>
        </w:rPr>
        <w:t>By</w:t>
      </w:r>
      <w:r w:rsidRPr="00C61B51">
        <w:rPr>
          <w:i/>
          <w:iCs/>
          <w:spacing w:val="-2"/>
        </w:rPr>
        <w:t xml:space="preserve"> </w:t>
      </w:r>
      <w:r w:rsidRPr="00C61B51">
        <w:rPr>
          <w:i/>
          <w:iCs/>
        </w:rPr>
        <w:t>what</w:t>
      </w:r>
      <w:r w:rsidRPr="00C61B51">
        <w:rPr>
          <w:i/>
          <w:iCs/>
          <w:spacing w:val="-1"/>
        </w:rPr>
        <w:t xml:space="preserve"> </w:t>
      </w:r>
      <w:r w:rsidRPr="00C61B51">
        <w:rPr>
          <w:i/>
          <w:iCs/>
        </w:rPr>
        <w:t>method</w:t>
      </w:r>
      <w:r w:rsidRPr="00C61B51">
        <w:rPr>
          <w:i/>
          <w:iCs/>
          <w:spacing w:val="-1"/>
        </w:rPr>
        <w:t xml:space="preserve"> </w:t>
      </w:r>
      <w:r w:rsidRPr="00C61B51">
        <w:rPr>
          <w:i/>
          <w:iCs/>
        </w:rPr>
        <w:t>should</w:t>
      </w:r>
      <w:r w:rsidRPr="00C61B51">
        <w:rPr>
          <w:i/>
          <w:iCs/>
          <w:spacing w:val="-2"/>
        </w:rPr>
        <w:t xml:space="preserve"> </w:t>
      </w:r>
      <w:r w:rsidRPr="00C61B51">
        <w:rPr>
          <w:i/>
          <w:iCs/>
        </w:rPr>
        <w:t>ERCOT</w:t>
      </w:r>
      <w:r w:rsidRPr="00C61B51">
        <w:rPr>
          <w:i/>
          <w:iCs/>
          <w:spacing w:val="-2"/>
        </w:rPr>
        <w:t xml:space="preserve"> </w:t>
      </w:r>
      <w:r w:rsidRPr="00C61B51">
        <w:rPr>
          <w:i/>
          <w:iCs/>
        </w:rPr>
        <w:t>impose</w:t>
      </w:r>
      <w:r w:rsidRPr="00C61B51">
        <w:rPr>
          <w:i/>
          <w:iCs/>
          <w:spacing w:val="-2"/>
        </w:rPr>
        <w:t xml:space="preserve"> </w:t>
      </w:r>
      <w:r w:rsidRPr="00C61B51">
        <w:rPr>
          <w:i/>
          <w:iCs/>
        </w:rPr>
        <w:t>those</w:t>
      </w:r>
      <w:r w:rsidRPr="00C61B51">
        <w:rPr>
          <w:i/>
          <w:iCs/>
          <w:spacing w:val="-2"/>
        </w:rPr>
        <w:t xml:space="preserve"> penalties?</w:t>
      </w:r>
    </w:p>
    <w:p w14:paraId="5C185EAC" w14:textId="77777777" w:rsidR="005F25E0" w:rsidRPr="00C61B51" w:rsidRDefault="005F25E0" w:rsidP="00994266">
      <w:pPr>
        <w:pStyle w:val="ListParagraph"/>
        <w:widowControl w:val="0"/>
        <w:numPr>
          <w:ilvl w:val="1"/>
          <w:numId w:val="3"/>
        </w:numPr>
        <w:tabs>
          <w:tab w:val="left" w:pos="1799"/>
        </w:tabs>
        <w:autoSpaceDE w:val="0"/>
        <w:autoSpaceDN w:val="0"/>
        <w:spacing w:before="14" w:after="0" w:line="259" w:lineRule="auto"/>
        <w:ind w:left="1799" w:right="357"/>
        <w:contextualSpacing w:val="0"/>
        <w:rPr>
          <w:i/>
          <w:iCs/>
        </w:rPr>
      </w:pPr>
      <w:r w:rsidRPr="00C61B51">
        <w:rPr>
          <w:i/>
          <w:iCs/>
        </w:rPr>
        <w:t>How should the collected penalty funds be allocated amongst electric generating facilities that exceed the performance requirements? Should any of the penalty funds collected be returned to load? If so, how should these funds be allocated to load?</w:t>
      </w:r>
    </w:p>
    <w:p w14:paraId="2DF4D802" w14:textId="77777777" w:rsidR="005F25E0" w:rsidRDefault="005F25E0" w:rsidP="00994266">
      <w:pPr>
        <w:pStyle w:val="ListParagraph"/>
        <w:widowControl w:val="0"/>
        <w:numPr>
          <w:ilvl w:val="1"/>
          <w:numId w:val="3"/>
        </w:numPr>
        <w:tabs>
          <w:tab w:val="left" w:pos="1799"/>
        </w:tabs>
        <w:autoSpaceDE w:val="0"/>
        <w:autoSpaceDN w:val="0"/>
        <w:spacing w:after="0" w:line="259" w:lineRule="auto"/>
        <w:ind w:left="1799" w:right="359"/>
        <w:contextualSpacing w:val="0"/>
        <w:rPr>
          <w:i/>
          <w:iCs/>
        </w:rPr>
      </w:pPr>
      <w:r w:rsidRPr="00C61B51">
        <w:rPr>
          <w:i/>
          <w:iCs/>
        </w:rPr>
        <w:t>What should the incentives be based on for those electric generating facilities that exceed the performance requirements?</w:t>
      </w:r>
    </w:p>
    <w:p w14:paraId="3ADB85EA" w14:textId="77777777" w:rsidR="00C61B51" w:rsidRDefault="00C61B51" w:rsidP="00C61B51">
      <w:pPr>
        <w:widowControl w:val="0"/>
        <w:tabs>
          <w:tab w:val="left" w:pos="1799"/>
        </w:tabs>
        <w:autoSpaceDE w:val="0"/>
        <w:autoSpaceDN w:val="0"/>
        <w:spacing w:after="0" w:line="259" w:lineRule="auto"/>
        <w:ind w:right="359"/>
      </w:pPr>
    </w:p>
    <w:p w14:paraId="68147509" w14:textId="568A9138" w:rsidR="004D5E37" w:rsidRDefault="00C61B51" w:rsidP="003403B6">
      <w:pPr>
        <w:spacing w:line="360" w:lineRule="auto"/>
      </w:pPr>
      <w:r>
        <w:rPr>
          <w:b/>
          <w:bCs/>
        </w:rPr>
        <w:t xml:space="preserve">TCPA RESPONSE: </w:t>
      </w:r>
      <w:r w:rsidR="003245E3">
        <w:t>It is important to remember that n</w:t>
      </w:r>
      <w:r w:rsidR="00553297">
        <w:t xml:space="preserve">on-performance penalties already exist for resources and loads that commit MWs in the DAM or for ancillary or reliability services like </w:t>
      </w:r>
      <w:r w:rsidR="003245E3">
        <w:t xml:space="preserve">firm </w:t>
      </w:r>
      <w:r w:rsidR="003245E3">
        <w:lastRenderedPageBreak/>
        <w:t>fuel supply service (</w:t>
      </w:r>
      <w:r w:rsidR="35070C5A">
        <w:t>“</w:t>
      </w:r>
      <w:r w:rsidR="00553297">
        <w:t>FFSS</w:t>
      </w:r>
      <w:r w:rsidR="259C81B2">
        <w:t>”</w:t>
      </w:r>
      <w:r w:rsidR="567A7FFB">
        <w:t>)</w:t>
      </w:r>
      <w:r w:rsidR="7737FDCB">
        <w:t>,</w:t>
      </w:r>
      <w:r w:rsidR="00553297">
        <w:t xml:space="preserve"> DRRS, or Black </w:t>
      </w:r>
      <w:r w:rsidR="02224FDE" w:rsidDel="00C61B51">
        <w:t>Start</w:t>
      </w:r>
      <w:r w:rsidR="557E9AB8">
        <w:t>,</w:t>
      </w:r>
      <w:r w:rsidR="00553297">
        <w:t xml:space="preserve"> and all should be exempted from these penalties. The statute already correctly provides an exemption for these services</w:t>
      </w:r>
      <w:r w:rsidR="00553297">
        <w:t>,</w:t>
      </w:r>
      <w:r w:rsidR="00636F10">
        <w:rPr>
          <w:rStyle w:val="FootnoteReference"/>
        </w:rPr>
        <w:footnoteReference w:id="3"/>
      </w:r>
      <w:r w:rsidR="00553297">
        <w:t xml:space="preserve"> recognizing that subjecting these resources to such a penalty under this rule would be tantamount to a double penalty and would provide a significant disincentive to resources providing th</w:t>
      </w:r>
      <w:r w:rsidR="00BA7EA2">
        <w:t>ose</w:t>
      </w:r>
      <w:r w:rsidR="00553297">
        <w:t xml:space="preserve"> services. </w:t>
      </w:r>
      <w:r w:rsidR="616ACB57" w:rsidRPr="616ACB57">
        <w:rPr>
          <w:rFonts w:eastAsia="Times New Roman" w:cs="Times New Roman"/>
          <w:szCs w:val="24"/>
        </w:rPr>
        <w:t>Additionally, the energy market already provides a strong underlying performance incentive for all resources. Therefore, performance bonuses/penalties do not necessarily need to be large because they are additive to existing market incentives</w:t>
      </w:r>
      <w:r w:rsidR="5E33A819" w:rsidRPr="5E33A819">
        <w:rPr>
          <w:rFonts w:eastAsia="Times New Roman" w:cs="Times New Roman"/>
          <w:szCs w:val="24"/>
        </w:rPr>
        <w:t xml:space="preserve"> – and penalties that are too large could create perverse incentives that result in market distortions.</w:t>
      </w:r>
      <w:r w:rsidR="00553297">
        <w:t xml:space="preserve">  </w:t>
      </w:r>
    </w:p>
    <w:p w14:paraId="449B01A6" w14:textId="2BFCE95E" w:rsidR="00387F57" w:rsidRDefault="004D5E37" w:rsidP="00D01F28">
      <w:pPr>
        <w:spacing w:line="360" w:lineRule="auto"/>
        <w:ind w:firstLine="720"/>
      </w:pPr>
      <w:r>
        <w:t xml:space="preserve">Penalties </w:t>
      </w:r>
      <w:r w:rsidR="000A759E">
        <w:t xml:space="preserve">imposed </w:t>
      </w:r>
      <w:r w:rsidR="00F53685">
        <w:t xml:space="preserve">under this rule could </w:t>
      </w:r>
      <w:r w:rsidR="005A6C76">
        <w:t xml:space="preserve">be </w:t>
      </w:r>
      <w:r w:rsidR="00F53685">
        <w:t xml:space="preserve">treated like an imbalance settlement, </w:t>
      </w:r>
      <w:proofErr w:type="gramStart"/>
      <w:r w:rsidR="00F53685">
        <w:t>similar to</w:t>
      </w:r>
      <w:proofErr w:type="gramEnd"/>
      <w:r w:rsidR="00F53685">
        <w:t xml:space="preserve"> </w:t>
      </w:r>
      <w:proofErr w:type="gramStart"/>
      <w:r w:rsidR="00F53685">
        <w:t>that</w:t>
      </w:r>
      <w:proofErr w:type="gramEnd"/>
      <w:r w:rsidR="00F53685">
        <w:t xml:space="preserve"> done in other markets</w:t>
      </w:r>
      <w:r w:rsidR="5E33A819">
        <w:t>, though the Commission should exercise caution to not create perverse incentives from penalties that might encourage distortive behavior in the DAM or real-time market</w:t>
      </w:r>
      <w:r w:rsidR="5E33A819">
        <w:t>.</w:t>
      </w:r>
      <w:r w:rsidR="00F53685">
        <w:t xml:space="preserve"> </w:t>
      </w:r>
      <w:r w:rsidR="004F21CB">
        <w:t xml:space="preserve">The Commission could put rules in place with a directive that ERCOT protocols be amended </w:t>
      </w:r>
      <w:r w:rsidR="008337A5">
        <w:t xml:space="preserve">to implement Commission rules </w:t>
      </w:r>
      <w:r w:rsidR="00BE7D3E">
        <w:t xml:space="preserve">and then firming penalties could be issued directly by ERCOT. </w:t>
      </w:r>
      <w:r w:rsidR="009C335A">
        <w:t xml:space="preserve">Performance could be assessed </w:t>
      </w:r>
      <w:r w:rsidR="00315BE8">
        <w:t>either seasonally or annually and should be settled following either that season or year</w:t>
      </w:r>
      <w:r w:rsidR="00A675A5">
        <w:t xml:space="preserve">. </w:t>
      </w:r>
    </w:p>
    <w:p w14:paraId="3F46DDA8" w14:textId="37110A51" w:rsidR="616ACB57" w:rsidRDefault="007E5346" w:rsidP="616ACB57">
      <w:pPr>
        <w:spacing w:line="360" w:lineRule="auto"/>
        <w:ind w:firstLine="720"/>
        <w:rPr>
          <w:rFonts w:eastAsia="Times New Roman" w:cs="Times New Roman"/>
        </w:rPr>
      </w:pPr>
      <w:r>
        <w:t xml:space="preserve">Resources that are under-performing are being firmed for grid reliability by other resources that are meeting or exceeding their performance </w:t>
      </w:r>
      <w:r w:rsidR="005E42FA">
        <w:t xml:space="preserve">expectations. </w:t>
      </w:r>
      <w:r w:rsidR="5E33A819">
        <w:t xml:space="preserve">There is nothing in </w:t>
      </w:r>
      <w:proofErr w:type="gramStart"/>
      <w:r w:rsidR="5E33A819">
        <w:t>statute</w:t>
      </w:r>
      <w:proofErr w:type="gramEnd"/>
      <w:r w:rsidR="5E33A819">
        <w:t xml:space="preserve"> requiring penalties to be allocated to loads (only to over-performing generators). </w:t>
      </w:r>
      <w:r w:rsidR="005E42FA">
        <w:t>Therefore,</w:t>
      </w:r>
      <w:r w:rsidR="001F1237">
        <w:t xml:space="preserve"> the penalties should be used as an incentive</w:t>
      </w:r>
      <w:r w:rsidR="003403B6">
        <w:t xml:space="preserve"> </w:t>
      </w:r>
      <w:r w:rsidR="024DCC3A">
        <w:t>pay</w:t>
      </w:r>
      <w:r w:rsidR="6324E021">
        <w:t>ment</w:t>
      </w:r>
      <w:r w:rsidR="001F1237">
        <w:t xml:space="preserve"> to support those resources that are providing the firming by exceeding </w:t>
      </w:r>
      <w:r w:rsidR="003403B6">
        <w:t xml:space="preserve">the performance requirements. </w:t>
      </w:r>
      <w:r w:rsidR="616ACB57" w:rsidRPr="21C1323F">
        <w:rPr>
          <w:rFonts w:eastAsia="Times New Roman" w:cs="Times New Roman"/>
        </w:rPr>
        <w:t>This is also consistent with how performance penalties work in other markets like PJM and ISO-NE.</w:t>
      </w:r>
      <w:r w:rsidR="5E33A819" w:rsidRPr="21C1323F">
        <w:rPr>
          <w:rFonts w:eastAsia="Times New Roman" w:cs="Times New Roman"/>
        </w:rPr>
        <w:t xml:space="preserve"> In addition, for loads</w:t>
      </w:r>
      <w:r w:rsidR="616ACB57" w:rsidRPr="21C1323F">
        <w:rPr>
          <w:rFonts w:eastAsia="Times New Roman" w:cs="Times New Roman"/>
        </w:rPr>
        <w:t xml:space="preserve"> with </w:t>
      </w:r>
      <w:r w:rsidR="5E33A819" w:rsidRPr="21C1323F">
        <w:rPr>
          <w:rFonts w:eastAsia="Times New Roman" w:cs="Times New Roman"/>
        </w:rPr>
        <w:t>bilateral</w:t>
      </w:r>
      <w:r w:rsidR="616ACB57" w:rsidRPr="21C1323F">
        <w:rPr>
          <w:rFonts w:eastAsia="Times New Roman" w:cs="Times New Roman"/>
        </w:rPr>
        <w:t xml:space="preserve"> contracts </w:t>
      </w:r>
      <w:r w:rsidR="5E33A819" w:rsidRPr="21C1323F">
        <w:rPr>
          <w:rFonts w:eastAsia="Times New Roman" w:cs="Times New Roman"/>
        </w:rPr>
        <w:t>with generation, the bilateral contracts could</w:t>
      </w:r>
      <w:r w:rsidR="616ACB57" w:rsidRPr="21C1323F">
        <w:rPr>
          <w:rFonts w:eastAsia="Times New Roman" w:cs="Times New Roman"/>
        </w:rPr>
        <w:t xml:space="preserve"> specify </w:t>
      </w:r>
      <w:r w:rsidR="5E33A819" w:rsidRPr="21C1323F">
        <w:rPr>
          <w:rFonts w:eastAsia="Times New Roman" w:cs="Times New Roman"/>
        </w:rPr>
        <w:t xml:space="preserve">whether (and if so, </w:t>
      </w:r>
      <w:r w:rsidR="616ACB57" w:rsidRPr="21C1323F">
        <w:rPr>
          <w:rFonts w:eastAsia="Times New Roman" w:cs="Times New Roman"/>
        </w:rPr>
        <w:t>how</w:t>
      </w:r>
      <w:r w:rsidR="5E33A819" w:rsidRPr="21C1323F">
        <w:rPr>
          <w:rFonts w:eastAsia="Times New Roman" w:cs="Times New Roman"/>
        </w:rPr>
        <w:t>)</w:t>
      </w:r>
      <w:r w:rsidR="616ACB57" w:rsidRPr="21C1323F">
        <w:rPr>
          <w:rFonts w:eastAsia="Times New Roman" w:cs="Times New Roman"/>
        </w:rPr>
        <w:t xml:space="preserve"> any performance payment to generation is shared with load. </w:t>
      </w:r>
    </w:p>
    <w:p w14:paraId="00115B15" w14:textId="77777777" w:rsidR="00574A43" w:rsidRDefault="00574A43" w:rsidP="003403B6">
      <w:pPr>
        <w:spacing w:line="360" w:lineRule="auto"/>
      </w:pPr>
    </w:p>
    <w:p w14:paraId="1BF71BA3" w14:textId="55FE8D3E" w:rsidR="00574A43" w:rsidRPr="0006356D" w:rsidRDefault="00574A43" w:rsidP="00994266">
      <w:pPr>
        <w:pStyle w:val="ListParagraph"/>
        <w:widowControl w:val="0"/>
        <w:numPr>
          <w:ilvl w:val="0"/>
          <w:numId w:val="2"/>
        </w:numPr>
        <w:tabs>
          <w:tab w:val="left" w:pos="1079"/>
        </w:tabs>
        <w:autoSpaceDE w:val="0"/>
        <w:autoSpaceDN w:val="0"/>
        <w:spacing w:after="0" w:line="259" w:lineRule="auto"/>
        <w:ind w:right="361"/>
        <w:rPr>
          <w:i/>
          <w:iCs/>
        </w:rPr>
      </w:pPr>
      <w:r w:rsidRPr="0006356D">
        <w:rPr>
          <w:i/>
          <w:iCs/>
        </w:rPr>
        <w:t xml:space="preserve">PURA § 39.1592(d) limits when a penalty may be assessed to electric generating </w:t>
      </w:r>
      <w:r w:rsidRPr="0006356D">
        <w:rPr>
          <w:i/>
          <w:iCs/>
          <w:spacing w:val="-2"/>
        </w:rPr>
        <w:t>resources.</w:t>
      </w:r>
    </w:p>
    <w:p w14:paraId="71EC056B" w14:textId="23C88D6F" w:rsidR="00574A43" w:rsidRPr="0006356D" w:rsidRDefault="00574A43" w:rsidP="00994266">
      <w:pPr>
        <w:pStyle w:val="ListParagraph"/>
        <w:widowControl w:val="0"/>
        <w:numPr>
          <w:ilvl w:val="1"/>
          <w:numId w:val="2"/>
        </w:numPr>
        <w:tabs>
          <w:tab w:val="left" w:pos="1799"/>
        </w:tabs>
        <w:autoSpaceDE w:val="0"/>
        <w:autoSpaceDN w:val="0"/>
        <w:spacing w:after="0" w:line="259" w:lineRule="auto"/>
        <w:ind w:right="357"/>
        <w:rPr>
          <w:i/>
          <w:iCs/>
        </w:rPr>
      </w:pPr>
      <w:r w:rsidRPr="0006356D">
        <w:rPr>
          <w:i/>
          <w:iCs/>
        </w:rPr>
        <w:t>PURA</w:t>
      </w:r>
      <w:r w:rsidRPr="0006356D">
        <w:rPr>
          <w:i/>
          <w:iCs/>
          <w:spacing w:val="-4"/>
        </w:rPr>
        <w:t xml:space="preserve"> </w:t>
      </w:r>
      <w:r w:rsidRPr="0006356D">
        <w:rPr>
          <w:i/>
          <w:iCs/>
        </w:rPr>
        <w:t>§</w:t>
      </w:r>
      <w:r w:rsidRPr="0006356D">
        <w:rPr>
          <w:i/>
          <w:iCs/>
          <w:spacing w:val="-3"/>
        </w:rPr>
        <w:t xml:space="preserve"> </w:t>
      </w:r>
      <w:r w:rsidRPr="0006356D">
        <w:rPr>
          <w:i/>
          <w:iCs/>
        </w:rPr>
        <w:t>39.1592(d)(1)</w:t>
      </w:r>
      <w:r w:rsidRPr="0006356D">
        <w:rPr>
          <w:i/>
          <w:iCs/>
          <w:spacing w:val="-4"/>
        </w:rPr>
        <w:t xml:space="preserve"> </w:t>
      </w:r>
      <w:r w:rsidRPr="0006356D">
        <w:rPr>
          <w:i/>
          <w:iCs/>
        </w:rPr>
        <w:t>exempts</w:t>
      </w:r>
      <w:r w:rsidRPr="0006356D">
        <w:rPr>
          <w:i/>
          <w:iCs/>
          <w:spacing w:val="-3"/>
        </w:rPr>
        <w:t xml:space="preserve"> </w:t>
      </w:r>
      <w:r w:rsidRPr="0006356D">
        <w:rPr>
          <w:i/>
          <w:iCs/>
        </w:rPr>
        <w:t>resources</w:t>
      </w:r>
      <w:r w:rsidRPr="0006356D">
        <w:rPr>
          <w:i/>
          <w:iCs/>
          <w:spacing w:val="-1"/>
        </w:rPr>
        <w:t xml:space="preserve"> </w:t>
      </w:r>
      <w:r w:rsidRPr="0006356D">
        <w:rPr>
          <w:i/>
          <w:iCs/>
        </w:rPr>
        <w:t>from</w:t>
      </w:r>
      <w:r w:rsidRPr="0006356D">
        <w:rPr>
          <w:i/>
          <w:iCs/>
          <w:spacing w:val="-3"/>
        </w:rPr>
        <w:t xml:space="preserve"> </w:t>
      </w:r>
      <w:r w:rsidRPr="0006356D">
        <w:rPr>
          <w:i/>
          <w:iCs/>
        </w:rPr>
        <w:t>being</w:t>
      </w:r>
      <w:r w:rsidRPr="0006356D">
        <w:rPr>
          <w:i/>
          <w:iCs/>
          <w:spacing w:val="-3"/>
        </w:rPr>
        <w:t xml:space="preserve"> </w:t>
      </w:r>
      <w:proofErr w:type="gramStart"/>
      <w:r w:rsidRPr="0006356D">
        <w:rPr>
          <w:i/>
          <w:iCs/>
        </w:rPr>
        <w:t>assessed</w:t>
      </w:r>
      <w:proofErr w:type="gramEnd"/>
      <w:r w:rsidRPr="0006356D">
        <w:rPr>
          <w:i/>
          <w:iCs/>
          <w:spacing w:val="-1"/>
        </w:rPr>
        <w:t xml:space="preserve"> </w:t>
      </w:r>
      <w:r w:rsidRPr="0006356D">
        <w:rPr>
          <w:i/>
          <w:iCs/>
        </w:rPr>
        <w:t>a</w:t>
      </w:r>
      <w:r w:rsidRPr="0006356D">
        <w:rPr>
          <w:i/>
          <w:iCs/>
          <w:spacing w:val="-4"/>
        </w:rPr>
        <w:t xml:space="preserve"> </w:t>
      </w:r>
      <w:r w:rsidRPr="0006356D">
        <w:rPr>
          <w:i/>
          <w:iCs/>
        </w:rPr>
        <w:t>penalty</w:t>
      </w:r>
      <w:r w:rsidRPr="0006356D">
        <w:rPr>
          <w:i/>
          <w:iCs/>
          <w:spacing w:val="-3"/>
        </w:rPr>
        <w:t xml:space="preserve"> </w:t>
      </w:r>
      <w:r w:rsidRPr="0006356D">
        <w:rPr>
          <w:i/>
          <w:iCs/>
        </w:rPr>
        <w:t xml:space="preserve">when they are unavailable due to planned maintenance outages or transmission </w:t>
      </w:r>
      <w:r w:rsidRPr="0006356D">
        <w:rPr>
          <w:i/>
          <w:iCs/>
          <w:spacing w:val="-2"/>
        </w:rPr>
        <w:t>outages.</w:t>
      </w:r>
    </w:p>
    <w:p w14:paraId="0698C579" w14:textId="77777777" w:rsidR="00574A43" w:rsidRPr="0006356D" w:rsidRDefault="00574A43" w:rsidP="00994266">
      <w:pPr>
        <w:pStyle w:val="ListParagraph"/>
        <w:widowControl w:val="0"/>
        <w:numPr>
          <w:ilvl w:val="2"/>
          <w:numId w:val="2"/>
        </w:numPr>
        <w:tabs>
          <w:tab w:val="left" w:pos="2697"/>
          <w:tab w:val="left" w:pos="2699"/>
        </w:tabs>
        <w:autoSpaceDE w:val="0"/>
        <w:autoSpaceDN w:val="0"/>
        <w:spacing w:after="0" w:line="259" w:lineRule="auto"/>
        <w:ind w:left="2699" w:right="357"/>
        <w:contextualSpacing w:val="0"/>
        <w:rPr>
          <w:i/>
          <w:iCs/>
        </w:rPr>
      </w:pPr>
      <w:r w:rsidRPr="0006356D">
        <w:rPr>
          <w:i/>
          <w:iCs/>
        </w:rPr>
        <w:t>Is</w:t>
      </w:r>
      <w:r w:rsidRPr="0006356D">
        <w:rPr>
          <w:i/>
          <w:iCs/>
          <w:spacing w:val="-15"/>
        </w:rPr>
        <w:t xml:space="preserve"> </w:t>
      </w:r>
      <w:r w:rsidRPr="0006356D">
        <w:rPr>
          <w:i/>
          <w:iCs/>
        </w:rPr>
        <w:t>the</w:t>
      </w:r>
      <w:r w:rsidRPr="0006356D">
        <w:rPr>
          <w:i/>
          <w:iCs/>
          <w:spacing w:val="-15"/>
        </w:rPr>
        <w:t xml:space="preserve"> </w:t>
      </w:r>
      <w:r w:rsidRPr="0006356D">
        <w:rPr>
          <w:i/>
          <w:iCs/>
        </w:rPr>
        <w:t>current</w:t>
      </w:r>
      <w:r w:rsidRPr="0006356D">
        <w:rPr>
          <w:i/>
          <w:iCs/>
          <w:spacing w:val="-15"/>
        </w:rPr>
        <w:t xml:space="preserve"> </w:t>
      </w:r>
      <w:r w:rsidRPr="0006356D">
        <w:rPr>
          <w:i/>
          <w:iCs/>
        </w:rPr>
        <w:t>planned</w:t>
      </w:r>
      <w:r w:rsidRPr="0006356D">
        <w:rPr>
          <w:i/>
          <w:iCs/>
          <w:spacing w:val="-15"/>
        </w:rPr>
        <w:t xml:space="preserve"> </w:t>
      </w:r>
      <w:r w:rsidRPr="0006356D">
        <w:rPr>
          <w:i/>
          <w:iCs/>
        </w:rPr>
        <w:t>outage</w:t>
      </w:r>
      <w:r w:rsidRPr="0006356D">
        <w:rPr>
          <w:i/>
          <w:iCs/>
          <w:spacing w:val="-15"/>
        </w:rPr>
        <w:t xml:space="preserve"> </w:t>
      </w:r>
      <w:r w:rsidRPr="0006356D">
        <w:rPr>
          <w:i/>
          <w:iCs/>
        </w:rPr>
        <w:t>approval</w:t>
      </w:r>
      <w:r w:rsidRPr="0006356D">
        <w:rPr>
          <w:i/>
          <w:iCs/>
          <w:spacing w:val="-15"/>
        </w:rPr>
        <w:t xml:space="preserve"> </w:t>
      </w:r>
      <w:r w:rsidRPr="0006356D">
        <w:rPr>
          <w:i/>
          <w:iCs/>
        </w:rPr>
        <w:t>process</w:t>
      </w:r>
      <w:r w:rsidRPr="0006356D">
        <w:rPr>
          <w:i/>
          <w:iCs/>
          <w:spacing w:val="-15"/>
        </w:rPr>
        <w:t xml:space="preserve"> </w:t>
      </w:r>
      <w:r w:rsidRPr="0006356D">
        <w:rPr>
          <w:i/>
          <w:iCs/>
        </w:rPr>
        <w:t>sufficient</w:t>
      </w:r>
      <w:r w:rsidRPr="0006356D">
        <w:rPr>
          <w:i/>
          <w:iCs/>
          <w:spacing w:val="-15"/>
        </w:rPr>
        <w:t xml:space="preserve"> </w:t>
      </w:r>
      <w:r w:rsidRPr="0006356D">
        <w:rPr>
          <w:i/>
          <w:iCs/>
        </w:rPr>
        <w:t>to</w:t>
      </w:r>
      <w:r w:rsidRPr="0006356D">
        <w:rPr>
          <w:i/>
          <w:iCs/>
          <w:spacing w:val="-15"/>
        </w:rPr>
        <w:t xml:space="preserve"> </w:t>
      </w:r>
      <w:r w:rsidRPr="0006356D">
        <w:rPr>
          <w:i/>
          <w:iCs/>
        </w:rPr>
        <w:t>ensure</w:t>
      </w:r>
      <w:r w:rsidRPr="0006356D">
        <w:rPr>
          <w:i/>
          <w:iCs/>
          <w:spacing w:val="-15"/>
        </w:rPr>
        <w:t xml:space="preserve"> </w:t>
      </w:r>
      <w:r w:rsidRPr="0006356D">
        <w:rPr>
          <w:i/>
          <w:iCs/>
        </w:rPr>
        <w:lastRenderedPageBreak/>
        <w:t>that generators on a planned maintenance outage are not penalized, or would the approval process need to be modified prior to these reliability requirements becoming effective?</w:t>
      </w:r>
    </w:p>
    <w:p w14:paraId="7A610CDB" w14:textId="77777777" w:rsidR="00574A43" w:rsidRPr="0006356D" w:rsidRDefault="00574A43" w:rsidP="00994266">
      <w:pPr>
        <w:pStyle w:val="ListParagraph"/>
        <w:widowControl w:val="0"/>
        <w:numPr>
          <w:ilvl w:val="2"/>
          <w:numId w:val="2"/>
        </w:numPr>
        <w:tabs>
          <w:tab w:val="left" w:pos="2698"/>
          <w:tab w:val="left" w:pos="2700"/>
        </w:tabs>
        <w:autoSpaceDE w:val="0"/>
        <w:autoSpaceDN w:val="0"/>
        <w:spacing w:before="75" w:after="0" w:line="259" w:lineRule="auto"/>
        <w:ind w:right="357" w:hanging="555"/>
        <w:contextualSpacing w:val="0"/>
        <w:rPr>
          <w:i/>
          <w:iCs/>
        </w:rPr>
      </w:pPr>
      <w:r w:rsidRPr="0006356D">
        <w:rPr>
          <w:i/>
          <w:iCs/>
        </w:rPr>
        <w:t>How should this exemption account for planned de-ratings for the electric generating facilities?</w:t>
      </w:r>
    </w:p>
    <w:p w14:paraId="78372E35" w14:textId="2BBD5D1B" w:rsidR="00574A43" w:rsidRPr="0006356D" w:rsidRDefault="00574A43" w:rsidP="00994266">
      <w:pPr>
        <w:pStyle w:val="ListParagraph"/>
        <w:widowControl w:val="0"/>
        <w:numPr>
          <w:ilvl w:val="1"/>
          <w:numId w:val="2"/>
        </w:numPr>
        <w:tabs>
          <w:tab w:val="left" w:pos="1800"/>
        </w:tabs>
        <w:autoSpaceDE w:val="0"/>
        <w:autoSpaceDN w:val="0"/>
        <w:spacing w:after="0" w:line="259" w:lineRule="auto"/>
        <w:ind w:right="355"/>
        <w:rPr>
          <w:i/>
          <w:iCs/>
        </w:rPr>
      </w:pPr>
      <w:r w:rsidRPr="0006356D">
        <w:rPr>
          <w:i/>
          <w:iCs/>
        </w:rPr>
        <w:t>PURA</w:t>
      </w:r>
      <w:r w:rsidRPr="0006356D">
        <w:rPr>
          <w:i/>
          <w:iCs/>
          <w:spacing w:val="-15"/>
        </w:rPr>
        <w:t xml:space="preserve"> </w:t>
      </w:r>
      <w:r w:rsidRPr="0006356D">
        <w:rPr>
          <w:i/>
          <w:iCs/>
        </w:rPr>
        <w:t>§</w:t>
      </w:r>
      <w:r w:rsidRPr="0006356D">
        <w:rPr>
          <w:i/>
          <w:iCs/>
          <w:spacing w:val="-15"/>
        </w:rPr>
        <w:t xml:space="preserve"> </w:t>
      </w:r>
      <w:r w:rsidRPr="0006356D">
        <w:rPr>
          <w:i/>
          <w:iCs/>
        </w:rPr>
        <w:t>39.1592(d)(2)</w:t>
      </w:r>
      <w:r w:rsidRPr="0006356D">
        <w:rPr>
          <w:i/>
          <w:iCs/>
          <w:spacing w:val="-15"/>
        </w:rPr>
        <w:t xml:space="preserve"> </w:t>
      </w:r>
      <w:r w:rsidRPr="0006356D">
        <w:rPr>
          <w:i/>
          <w:iCs/>
        </w:rPr>
        <w:t>provides</w:t>
      </w:r>
      <w:r w:rsidRPr="0006356D">
        <w:rPr>
          <w:i/>
          <w:iCs/>
          <w:spacing w:val="-15"/>
        </w:rPr>
        <w:t xml:space="preserve"> </w:t>
      </w:r>
      <w:r w:rsidRPr="0006356D">
        <w:rPr>
          <w:i/>
          <w:iCs/>
        </w:rPr>
        <w:t>an</w:t>
      </w:r>
      <w:r w:rsidRPr="0006356D">
        <w:rPr>
          <w:i/>
          <w:iCs/>
          <w:spacing w:val="-15"/>
        </w:rPr>
        <w:t xml:space="preserve"> </w:t>
      </w:r>
      <w:r w:rsidRPr="0006356D">
        <w:rPr>
          <w:i/>
          <w:iCs/>
        </w:rPr>
        <w:t>exemption</w:t>
      </w:r>
      <w:r w:rsidRPr="0006356D">
        <w:rPr>
          <w:i/>
          <w:iCs/>
          <w:spacing w:val="-15"/>
        </w:rPr>
        <w:t xml:space="preserve"> </w:t>
      </w:r>
      <w:r w:rsidRPr="0006356D">
        <w:rPr>
          <w:i/>
          <w:iCs/>
        </w:rPr>
        <w:t>for</w:t>
      </w:r>
      <w:r w:rsidRPr="0006356D">
        <w:rPr>
          <w:i/>
          <w:iCs/>
          <w:spacing w:val="-14"/>
        </w:rPr>
        <w:t xml:space="preserve"> </w:t>
      </w:r>
      <w:r w:rsidRPr="0006356D">
        <w:rPr>
          <w:i/>
          <w:iCs/>
        </w:rPr>
        <w:t>an</w:t>
      </w:r>
      <w:r w:rsidRPr="0006356D">
        <w:rPr>
          <w:i/>
          <w:iCs/>
          <w:spacing w:val="-15"/>
        </w:rPr>
        <w:t xml:space="preserve"> </w:t>
      </w:r>
      <w:r w:rsidRPr="0006356D">
        <w:rPr>
          <w:i/>
          <w:iCs/>
        </w:rPr>
        <w:t>electric</w:t>
      </w:r>
      <w:r w:rsidRPr="0006356D">
        <w:rPr>
          <w:i/>
          <w:iCs/>
          <w:spacing w:val="-15"/>
        </w:rPr>
        <w:t xml:space="preserve"> </w:t>
      </w:r>
      <w:r w:rsidRPr="0006356D">
        <w:rPr>
          <w:i/>
          <w:iCs/>
        </w:rPr>
        <w:t>generating</w:t>
      </w:r>
      <w:r w:rsidRPr="0006356D">
        <w:rPr>
          <w:i/>
          <w:iCs/>
          <w:spacing w:val="-13"/>
        </w:rPr>
        <w:t xml:space="preserve"> </w:t>
      </w:r>
      <w:r w:rsidRPr="0006356D">
        <w:rPr>
          <w:i/>
          <w:iCs/>
        </w:rPr>
        <w:t>facility that is already subject to performance</w:t>
      </w:r>
      <w:r w:rsidRPr="0006356D">
        <w:rPr>
          <w:i/>
          <w:iCs/>
          <w:spacing w:val="-1"/>
        </w:rPr>
        <w:t xml:space="preserve"> </w:t>
      </w:r>
      <w:r w:rsidRPr="0006356D">
        <w:rPr>
          <w:i/>
          <w:iCs/>
        </w:rPr>
        <w:t>obligations during the</w:t>
      </w:r>
      <w:r w:rsidRPr="0006356D">
        <w:rPr>
          <w:i/>
          <w:iCs/>
          <w:spacing w:val="-1"/>
        </w:rPr>
        <w:t xml:space="preserve"> </w:t>
      </w:r>
      <w:r w:rsidRPr="0006356D">
        <w:rPr>
          <w:i/>
          <w:iCs/>
        </w:rPr>
        <w:t>highest reliability risk hours under the Day-Ahead Market (DAM) rules or other ancillary or reliability services.</w:t>
      </w:r>
    </w:p>
    <w:p w14:paraId="77F4A2CF" w14:textId="77777777" w:rsidR="00574A43" w:rsidRPr="0006356D" w:rsidRDefault="00574A43" w:rsidP="00994266">
      <w:pPr>
        <w:pStyle w:val="ListParagraph"/>
        <w:widowControl w:val="0"/>
        <w:numPr>
          <w:ilvl w:val="2"/>
          <w:numId w:val="2"/>
        </w:numPr>
        <w:tabs>
          <w:tab w:val="left" w:pos="2698"/>
          <w:tab w:val="left" w:pos="2700"/>
        </w:tabs>
        <w:autoSpaceDE w:val="0"/>
        <w:autoSpaceDN w:val="0"/>
        <w:spacing w:after="0" w:line="259" w:lineRule="auto"/>
        <w:ind w:right="357"/>
        <w:contextualSpacing w:val="0"/>
        <w:rPr>
          <w:i/>
          <w:iCs/>
        </w:rPr>
      </w:pPr>
      <w:r w:rsidRPr="0006356D">
        <w:rPr>
          <w:i/>
          <w:iCs/>
        </w:rPr>
        <w:t xml:space="preserve">If the Commission were to establish an explicit list of ancillary and reliability services that have performance obligations during the highest </w:t>
      </w:r>
      <w:proofErr w:type="gramStart"/>
      <w:r w:rsidRPr="0006356D">
        <w:rPr>
          <w:i/>
          <w:iCs/>
        </w:rPr>
        <w:t>reliability risk</w:t>
      </w:r>
      <w:proofErr w:type="gramEnd"/>
      <w:r w:rsidRPr="0006356D">
        <w:rPr>
          <w:i/>
          <w:iCs/>
        </w:rPr>
        <w:t xml:space="preserve"> hours as described in PURA § 39.1592(d)(2), which services should be included?</w:t>
      </w:r>
    </w:p>
    <w:p w14:paraId="7F16CD44" w14:textId="77777777" w:rsidR="00574A43" w:rsidRPr="0006356D" w:rsidRDefault="00574A43" w:rsidP="00994266">
      <w:pPr>
        <w:pStyle w:val="ListParagraph"/>
        <w:widowControl w:val="0"/>
        <w:numPr>
          <w:ilvl w:val="2"/>
          <w:numId w:val="2"/>
        </w:numPr>
        <w:tabs>
          <w:tab w:val="left" w:pos="2698"/>
          <w:tab w:val="left" w:pos="2700"/>
        </w:tabs>
        <w:autoSpaceDE w:val="0"/>
        <w:autoSpaceDN w:val="0"/>
        <w:spacing w:after="0" w:line="259" w:lineRule="auto"/>
        <w:ind w:right="355" w:hanging="555"/>
        <w:contextualSpacing w:val="0"/>
        <w:rPr>
          <w:i/>
          <w:iCs/>
        </w:rPr>
      </w:pPr>
      <w:r w:rsidRPr="0006356D">
        <w:rPr>
          <w:i/>
          <w:iCs/>
        </w:rPr>
        <w:t>Can an electric generating facility providing these services still contribute to over-performance?</w:t>
      </w:r>
    </w:p>
    <w:p w14:paraId="28CDA377" w14:textId="77777777" w:rsidR="00574A43" w:rsidRDefault="00574A43" w:rsidP="00994266">
      <w:pPr>
        <w:pStyle w:val="ListParagraph"/>
        <w:widowControl w:val="0"/>
        <w:numPr>
          <w:ilvl w:val="2"/>
          <w:numId w:val="2"/>
        </w:numPr>
        <w:tabs>
          <w:tab w:val="left" w:pos="2697"/>
          <w:tab w:val="left" w:pos="2700"/>
        </w:tabs>
        <w:autoSpaceDE w:val="0"/>
        <w:autoSpaceDN w:val="0"/>
        <w:spacing w:after="0" w:line="259" w:lineRule="auto"/>
        <w:ind w:right="357" w:hanging="620"/>
        <w:contextualSpacing w:val="0"/>
        <w:rPr>
          <w:i/>
          <w:iCs/>
        </w:rPr>
      </w:pPr>
      <w:r w:rsidRPr="0006356D">
        <w:rPr>
          <w:i/>
          <w:iCs/>
        </w:rPr>
        <w:t>Should providing these</w:t>
      </w:r>
      <w:r w:rsidRPr="0006356D">
        <w:rPr>
          <w:i/>
          <w:iCs/>
          <w:spacing w:val="-1"/>
        </w:rPr>
        <w:t xml:space="preserve"> </w:t>
      </w:r>
      <w:r w:rsidRPr="0006356D">
        <w:rPr>
          <w:i/>
          <w:iCs/>
        </w:rPr>
        <w:t>services exempt the</w:t>
      </w:r>
      <w:r w:rsidRPr="0006356D">
        <w:rPr>
          <w:i/>
          <w:iCs/>
          <w:spacing w:val="-1"/>
        </w:rPr>
        <w:t xml:space="preserve"> </w:t>
      </w:r>
      <w:r w:rsidRPr="0006356D">
        <w:rPr>
          <w:i/>
          <w:iCs/>
        </w:rPr>
        <w:t>entire electric</w:t>
      </w:r>
      <w:r w:rsidRPr="0006356D">
        <w:rPr>
          <w:i/>
          <w:iCs/>
          <w:spacing w:val="-1"/>
        </w:rPr>
        <w:t xml:space="preserve"> </w:t>
      </w:r>
      <w:r w:rsidRPr="0006356D">
        <w:rPr>
          <w:i/>
          <w:iCs/>
        </w:rPr>
        <w:t>generating facility from these reliability requirements or only the portion that is subject to these performance obligations (e.g., only exempt 10 MW for a 100 MW generator providing 10 MW of reliability services)?</w:t>
      </w:r>
    </w:p>
    <w:p w14:paraId="3758E8A2" w14:textId="77777777" w:rsidR="0006356D" w:rsidRDefault="0006356D" w:rsidP="0006356D">
      <w:pPr>
        <w:widowControl w:val="0"/>
        <w:tabs>
          <w:tab w:val="left" w:pos="2697"/>
          <w:tab w:val="left" w:pos="2700"/>
        </w:tabs>
        <w:autoSpaceDE w:val="0"/>
        <w:autoSpaceDN w:val="0"/>
        <w:spacing w:after="0" w:line="259" w:lineRule="auto"/>
        <w:ind w:right="357"/>
      </w:pPr>
    </w:p>
    <w:p w14:paraId="72816912" w14:textId="6190A467" w:rsidR="00DF3C3F" w:rsidRDefault="00A84D2E" w:rsidP="00766C16">
      <w:pPr>
        <w:spacing w:line="360" w:lineRule="auto"/>
      </w:pPr>
      <w:r>
        <w:rPr>
          <w:b/>
          <w:bCs/>
        </w:rPr>
        <w:t xml:space="preserve">TCPA RESPONSE: </w:t>
      </w:r>
      <w:r>
        <w:t xml:space="preserve">While the statute is clear that planned maintenance outages </w:t>
      </w:r>
      <w:r w:rsidR="00A662E1">
        <w:t xml:space="preserve">are exempt from being penalized under this rule, </w:t>
      </w:r>
      <w:r w:rsidR="00DC3995">
        <w:t xml:space="preserve">there are some additional outages that also need to be included in the “planned maintenance outage” </w:t>
      </w:r>
      <w:r w:rsidR="004C7D13">
        <w:t xml:space="preserve">exemption. </w:t>
      </w:r>
    </w:p>
    <w:p w14:paraId="6FDDB409" w14:textId="536DFCB2" w:rsidR="00DF3C3F" w:rsidRDefault="004C7D13" w:rsidP="5638DFDE">
      <w:pPr>
        <w:spacing w:line="360" w:lineRule="auto"/>
        <w:ind w:firstLine="720"/>
      </w:pPr>
      <w:r>
        <w:t xml:space="preserve">First, </w:t>
      </w:r>
      <w:r w:rsidR="5E33A819">
        <w:t xml:space="preserve">this should be read as both planned and </w:t>
      </w:r>
      <w:r>
        <w:t xml:space="preserve">maintenance outages </w:t>
      </w:r>
      <w:r w:rsidR="5E33A819">
        <w:t>be</w:t>
      </w:r>
      <w:r w:rsidR="5E33A819">
        <w:t>ing</w:t>
      </w:r>
      <w:r w:rsidR="5E33A819">
        <w:t xml:space="preserve"> </w:t>
      </w:r>
      <w:r w:rsidR="00DF3C3F">
        <w:t xml:space="preserve">exempt as those are </w:t>
      </w:r>
      <w:r w:rsidR="5E33A819">
        <w:t xml:space="preserve">coordinated </w:t>
      </w:r>
      <w:r w:rsidR="69750678">
        <w:t>and approved by</w:t>
      </w:r>
      <w:r w:rsidR="00DF3C3F">
        <w:t xml:space="preserve"> ERCOT and are </w:t>
      </w:r>
      <w:r w:rsidR="69750678">
        <w:t>necessary</w:t>
      </w:r>
      <w:r w:rsidR="00DF3C3F">
        <w:t xml:space="preserve"> to properly maintain the resource. Similarly, outages </w:t>
      </w:r>
      <w:r w:rsidR="616ACB57">
        <w:t xml:space="preserve">moved </w:t>
      </w:r>
      <w:r w:rsidR="00DF3C3F">
        <w:t>to accommodate ERCOT requests</w:t>
      </w:r>
      <w:r w:rsidR="00C16E50">
        <w:t>, such as operational condition notices (</w:t>
      </w:r>
      <w:r w:rsidR="6704EBAE">
        <w:t>“</w:t>
      </w:r>
      <w:r w:rsidR="00C16E50">
        <w:t>OCNs</w:t>
      </w:r>
      <w:r w:rsidR="4AD89FB8">
        <w:t>”</w:t>
      </w:r>
      <w:r w:rsidR="00C16E50">
        <w:t>) and advanced action notices (</w:t>
      </w:r>
      <w:r w:rsidR="54717366">
        <w:t>“</w:t>
      </w:r>
      <w:r w:rsidR="00C16E50">
        <w:t>AANs</w:t>
      </w:r>
      <w:r w:rsidR="11F39B0B">
        <w:t>”</w:t>
      </w:r>
      <w:r w:rsidR="00C16E50">
        <w:t>)</w:t>
      </w:r>
      <w:r w:rsidR="00DF3C3F">
        <w:t xml:space="preserve"> should </w:t>
      </w:r>
      <w:r w:rsidR="00C16E50">
        <w:t xml:space="preserve">also </w:t>
      </w:r>
      <w:r w:rsidR="00DF3C3F">
        <w:t>be exempt</w:t>
      </w:r>
      <w:r w:rsidR="616ACB57">
        <w:t xml:space="preserve"> regardless of outage type</w:t>
      </w:r>
      <w:r w:rsidR="5E33A819">
        <w:t xml:space="preserve"> (e.g., those can sometimes show up as “forced extensions” and counted as a forced outage even though it reflects a delayed outage start due to ERCOT’s request)</w:t>
      </w:r>
      <w:r w:rsidR="5E33A819">
        <w:t>.</w:t>
      </w:r>
      <w:r w:rsidR="00DF3C3F">
        <w:t xml:space="preserve"> </w:t>
      </w:r>
      <w:r w:rsidR="00C16E50">
        <w:t xml:space="preserve">These occur at ERCOT’s request </w:t>
      </w:r>
      <w:r w:rsidR="00711D83">
        <w:t>depending on changes to weather and load forecast conditions</w:t>
      </w:r>
      <w:r w:rsidR="12E09C25">
        <w:t>,</w:t>
      </w:r>
      <w:r w:rsidR="00711D83">
        <w:t xml:space="preserve"> and resources that </w:t>
      </w:r>
      <w:proofErr w:type="gramStart"/>
      <w:r w:rsidR="00711D83">
        <w:t>are able to</w:t>
      </w:r>
      <w:proofErr w:type="gramEnd"/>
      <w:r w:rsidR="00711D83">
        <w:t xml:space="preserve"> accommodate the requests to </w:t>
      </w:r>
      <w:r w:rsidR="00E660B0">
        <w:t>help ensure reliability should not face penalty when doing so.</w:t>
      </w:r>
    </w:p>
    <w:p w14:paraId="5A36E25B" w14:textId="5A3DCD15" w:rsidR="00980B5E" w:rsidRPr="00980B5E" w:rsidRDefault="6E36F8FD">
      <w:pPr>
        <w:spacing w:line="360" w:lineRule="auto"/>
        <w:ind w:firstLine="720"/>
      </w:pPr>
      <w:r>
        <w:t xml:space="preserve">Another area that the Commission </w:t>
      </w:r>
      <w:r w:rsidR="5E33A819">
        <w:t xml:space="preserve">must </w:t>
      </w:r>
      <w:r w:rsidR="616ACB57">
        <w:t xml:space="preserve">consider </w:t>
      </w:r>
      <w:r>
        <w:t xml:space="preserve">in the exemption from penalty are derates for ambient temperature constraints, </w:t>
      </w:r>
      <w:r w:rsidR="5E33A819">
        <w:t xml:space="preserve">transmission constraints, </w:t>
      </w:r>
      <w:r>
        <w:t xml:space="preserve">environmental limits, </w:t>
      </w:r>
      <w:r w:rsidR="5E33A819">
        <w:t xml:space="preserve">extraordinary </w:t>
      </w:r>
      <w:r>
        <w:t>water</w:t>
      </w:r>
      <w:r>
        <w:t xml:space="preserve"> </w:t>
      </w:r>
      <w:r w:rsidR="5E33A819">
        <w:t xml:space="preserve">or fuel </w:t>
      </w:r>
      <w:r>
        <w:t>availability, Force Majeure events,</w:t>
      </w:r>
      <w:r>
        <w:t xml:space="preserve"> or any other derate outside the resource owner’s control. </w:t>
      </w:r>
      <w:r>
        <w:t>E</w:t>
      </w:r>
      <w:r>
        <w:t xml:space="preserve">xpected derates are known to ERCOT and market participants and </w:t>
      </w:r>
      <w:r>
        <w:t>are</w:t>
      </w:r>
      <w:r>
        <w:t xml:space="preserve"> not subject to </w:t>
      </w:r>
      <w:r>
        <w:lastRenderedPageBreak/>
        <w:t>outage reporting requirements</w:t>
      </w:r>
      <w:r>
        <w:t>, so t</w:t>
      </w:r>
      <w:r>
        <w:t>hese derates</w:t>
      </w:r>
      <w:r>
        <w:t xml:space="preserve"> </w:t>
      </w:r>
      <w:r>
        <w:t xml:space="preserve">should not be subject to firming penalties. Additionally, climactic events outside the norm such as tornadoes, hurricanes, </w:t>
      </w:r>
      <w:r w:rsidR="00145D93">
        <w:t xml:space="preserve">or </w:t>
      </w:r>
      <w:r>
        <w:t>wildfires may cause significant damage impacting operations but are not preventable by either generation or transmission owners. Those are vastly different than the intermittent issues this statute seeks to address, such as cyclical hours of the day that predictab</w:t>
      </w:r>
      <w:r w:rsidR="00145D93">
        <w:t>ly</w:t>
      </w:r>
      <w:r>
        <w:t xml:space="preserve"> affect solar or wind output. For the exemptions related to ancillary or reliability service obligations and energy cleared in the DAM, those are </w:t>
      </w:r>
      <w:r>
        <w:t>financially</w:t>
      </w:r>
      <w:r>
        <w:t xml:space="preserve"> binding. Therefore,</w:t>
      </w:r>
      <w:r>
        <w:t xml:space="preserve"> </w:t>
      </w:r>
      <w:r w:rsidR="5E33A819">
        <w:t>only</w:t>
      </w:r>
      <w:r w:rsidR="5E33A819">
        <w:t xml:space="preserve"> </w:t>
      </w:r>
      <w:r w:rsidR="5E33A819">
        <w:t>capacity</w:t>
      </w:r>
      <w:r>
        <w:t xml:space="preserve"> </w:t>
      </w:r>
      <w:r>
        <w:t xml:space="preserve">that is not committed </w:t>
      </w:r>
      <w:proofErr w:type="gramStart"/>
      <w:r>
        <w:t>in</w:t>
      </w:r>
      <w:proofErr w:type="gramEnd"/>
      <w:r>
        <w:t xml:space="preserve"> </w:t>
      </w:r>
      <w:proofErr w:type="gramStart"/>
      <w:r>
        <w:t>the DAM</w:t>
      </w:r>
      <w:proofErr w:type="gramEnd"/>
      <w:r>
        <w:t xml:space="preserve"> should be subject to the performance obligations under firming.</w:t>
      </w:r>
    </w:p>
    <w:p w14:paraId="3207ACF6" w14:textId="78F1DCF5" w:rsidR="2DA30657" w:rsidRDefault="2DA30657" w:rsidP="2DA30657">
      <w:pPr>
        <w:spacing w:line="360" w:lineRule="auto"/>
        <w:ind w:firstLine="720"/>
      </w:pPr>
    </w:p>
    <w:p w14:paraId="4B869EED" w14:textId="77777777" w:rsidR="004B2740" w:rsidRDefault="004B2740" w:rsidP="00994266">
      <w:pPr>
        <w:pStyle w:val="ListParagraph"/>
        <w:widowControl w:val="0"/>
        <w:numPr>
          <w:ilvl w:val="0"/>
          <w:numId w:val="2"/>
        </w:numPr>
        <w:tabs>
          <w:tab w:val="left" w:pos="1080"/>
        </w:tabs>
        <w:autoSpaceDE w:val="0"/>
        <w:autoSpaceDN w:val="0"/>
        <w:spacing w:after="0" w:line="259" w:lineRule="auto"/>
        <w:ind w:right="358"/>
        <w:contextualSpacing w:val="0"/>
        <w:rPr>
          <w:i/>
          <w:iCs/>
        </w:rPr>
      </w:pPr>
      <w:r w:rsidRPr="00EA68B8">
        <w:rPr>
          <w:i/>
          <w:iCs/>
        </w:rPr>
        <w:t>How frequently should this program be settled and how should ERCOT’s credit processes account for this program?</w:t>
      </w:r>
    </w:p>
    <w:p w14:paraId="4A9597B9" w14:textId="77777777" w:rsidR="00EA68B8" w:rsidRDefault="00EA68B8" w:rsidP="00EA68B8">
      <w:pPr>
        <w:widowControl w:val="0"/>
        <w:tabs>
          <w:tab w:val="left" w:pos="1080"/>
        </w:tabs>
        <w:autoSpaceDE w:val="0"/>
        <w:autoSpaceDN w:val="0"/>
        <w:spacing w:after="0" w:line="259" w:lineRule="auto"/>
        <w:ind w:right="358"/>
        <w:rPr>
          <w:i/>
          <w:iCs/>
        </w:rPr>
      </w:pPr>
    </w:p>
    <w:p w14:paraId="4E516D44" w14:textId="5641159A" w:rsidR="00EA68B8" w:rsidRDefault="00EA68B8" w:rsidP="00F3650B">
      <w:pPr>
        <w:widowControl w:val="0"/>
        <w:tabs>
          <w:tab w:val="left" w:pos="1080"/>
        </w:tabs>
        <w:autoSpaceDE w:val="0"/>
        <w:autoSpaceDN w:val="0"/>
        <w:spacing w:after="0" w:line="360" w:lineRule="auto"/>
        <w:ind w:right="358"/>
      </w:pPr>
      <w:r>
        <w:rPr>
          <w:b/>
          <w:bCs/>
        </w:rPr>
        <w:t xml:space="preserve">TCPA RESPONSE: </w:t>
      </w:r>
      <w:r w:rsidR="00E64484">
        <w:t>The program should be settled either seasonally or annually</w:t>
      </w:r>
      <w:r w:rsidR="00F3650B">
        <w:t xml:space="preserve">, and historical firming charges could be used to set collateral requirements. </w:t>
      </w:r>
    </w:p>
    <w:p w14:paraId="6030E43E" w14:textId="77777777" w:rsidR="00F3650B" w:rsidRPr="006827F4" w:rsidRDefault="00F3650B" w:rsidP="00F3650B">
      <w:pPr>
        <w:widowControl w:val="0"/>
        <w:tabs>
          <w:tab w:val="left" w:pos="1080"/>
        </w:tabs>
        <w:autoSpaceDE w:val="0"/>
        <w:autoSpaceDN w:val="0"/>
        <w:spacing w:after="0" w:line="360" w:lineRule="auto"/>
        <w:ind w:right="358"/>
        <w:rPr>
          <w:i/>
          <w:iCs/>
        </w:rPr>
      </w:pPr>
    </w:p>
    <w:p w14:paraId="06798D9D" w14:textId="77777777" w:rsidR="009522A5" w:rsidRPr="006827F4" w:rsidRDefault="009522A5" w:rsidP="00994266">
      <w:pPr>
        <w:pStyle w:val="ListParagraph"/>
        <w:widowControl w:val="0"/>
        <w:numPr>
          <w:ilvl w:val="0"/>
          <w:numId w:val="2"/>
        </w:numPr>
        <w:tabs>
          <w:tab w:val="left" w:pos="1079"/>
        </w:tabs>
        <w:autoSpaceDE w:val="0"/>
        <w:autoSpaceDN w:val="0"/>
        <w:spacing w:after="0" w:line="259" w:lineRule="auto"/>
        <w:ind w:right="358"/>
        <w:contextualSpacing w:val="0"/>
        <w:rPr>
          <w:i/>
          <w:iCs/>
        </w:rPr>
      </w:pPr>
      <w:r w:rsidRPr="006827F4">
        <w:rPr>
          <w:i/>
          <w:iCs/>
        </w:rPr>
        <w:t>Is</w:t>
      </w:r>
      <w:r w:rsidRPr="006827F4">
        <w:rPr>
          <w:i/>
          <w:iCs/>
          <w:spacing w:val="-10"/>
        </w:rPr>
        <w:t xml:space="preserve"> </w:t>
      </w:r>
      <w:r w:rsidRPr="006827F4">
        <w:rPr>
          <w:i/>
          <w:iCs/>
        </w:rPr>
        <w:t>an</w:t>
      </w:r>
      <w:r w:rsidRPr="006827F4">
        <w:rPr>
          <w:i/>
          <w:iCs/>
          <w:spacing w:val="-13"/>
        </w:rPr>
        <w:t xml:space="preserve"> </w:t>
      </w:r>
      <w:r w:rsidRPr="006827F4">
        <w:rPr>
          <w:i/>
          <w:iCs/>
        </w:rPr>
        <w:t>electric</w:t>
      </w:r>
      <w:r w:rsidRPr="006827F4">
        <w:rPr>
          <w:i/>
          <w:iCs/>
          <w:spacing w:val="-13"/>
        </w:rPr>
        <w:t xml:space="preserve"> </w:t>
      </w:r>
      <w:r w:rsidRPr="006827F4">
        <w:rPr>
          <w:i/>
          <w:iCs/>
        </w:rPr>
        <w:t>generating</w:t>
      </w:r>
      <w:r w:rsidRPr="006827F4">
        <w:rPr>
          <w:i/>
          <w:iCs/>
          <w:spacing w:val="-13"/>
        </w:rPr>
        <w:t xml:space="preserve"> </w:t>
      </w:r>
      <w:r w:rsidRPr="006827F4">
        <w:rPr>
          <w:i/>
          <w:iCs/>
        </w:rPr>
        <w:t>facility</w:t>
      </w:r>
      <w:r w:rsidRPr="006827F4">
        <w:rPr>
          <w:i/>
          <w:iCs/>
          <w:spacing w:val="-13"/>
        </w:rPr>
        <w:t xml:space="preserve"> </w:t>
      </w:r>
      <w:r w:rsidRPr="006827F4">
        <w:rPr>
          <w:i/>
          <w:iCs/>
        </w:rPr>
        <w:t>with</w:t>
      </w:r>
      <w:r w:rsidRPr="006827F4">
        <w:rPr>
          <w:i/>
          <w:iCs/>
          <w:spacing w:val="-13"/>
        </w:rPr>
        <w:t xml:space="preserve"> </w:t>
      </w:r>
      <w:r w:rsidRPr="006827F4">
        <w:rPr>
          <w:i/>
          <w:iCs/>
        </w:rPr>
        <w:t>a</w:t>
      </w:r>
      <w:r w:rsidRPr="006827F4">
        <w:rPr>
          <w:i/>
          <w:iCs/>
          <w:spacing w:val="-13"/>
        </w:rPr>
        <w:t xml:space="preserve"> </w:t>
      </w:r>
      <w:r w:rsidRPr="006827F4">
        <w:rPr>
          <w:i/>
          <w:iCs/>
        </w:rPr>
        <w:t>SGIA</w:t>
      </w:r>
      <w:r w:rsidRPr="006827F4">
        <w:rPr>
          <w:i/>
          <w:iCs/>
          <w:spacing w:val="-14"/>
        </w:rPr>
        <w:t xml:space="preserve"> </w:t>
      </w:r>
      <w:r w:rsidRPr="006827F4">
        <w:rPr>
          <w:i/>
          <w:iCs/>
        </w:rPr>
        <w:t>signed</w:t>
      </w:r>
      <w:r w:rsidRPr="006827F4">
        <w:rPr>
          <w:i/>
          <w:iCs/>
          <w:spacing w:val="-13"/>
        </w:rPr>
        <w:t xml:space="preserve"> </w:t>
      </w:r>
      <w:r w:rsidRPr="006827F4">
        <w:rPr>
          <w:i/>
          <w:iCs/>
        </w:rPr>
        <w:t>before</w:t>
      </w:r>
      <w:r w:rsidRPr="006827F4">
        <w:rPr>
          <w:i/>
          <w:iCs/>
          <w:spacing w:val="-13"/>
        </w:rPr>
        <w:t xml:space="preserve"> </w:t>
      </w:r>
      <w:r w:rsidRPr="006827F4">
        <w:rPr>
          <w:i/>
          <w:iCs/>
        </w:rPr>
        <w:t>January</w:t>
      </w:r>
      <w:r w:rsidRPr="006827F4">
        <w:rPr>
          <w:i/>
          <w:iCs/>
          <w:spacing w:val="-13"/>
        </w:rPr>
        <w:t xml:space="preserve"> </w:t>
      </w:r>
      <w:r w:rsidRPr="006827F4">
        <w:rPr>
          <w:i/>
          <w:iCs/>
        </w:rPr>
        <w:t>1,</w:t>
      </w:r>
      <w:r w:rsidRPr="006827F4">
        <w:rPr>
          <w:i/>
          <w:iCs/>
          <w:spacing w:val="-13"/>
        </w:rPr>
        <w:t xml:space="preserve"> </w:t>
      </w:r>
      <w:r w:rsidRPr="006827F4">
        <w:rPr>
          <w:i/>
          <w:iCs/>
        </w:rPr>
        <w:t>2027,</w:t>
      </w:r>
      <w:r w:rsidRPr="006827F4">
        <w:rPr>
          <w:i/>
          <w:iCs/>
          <w:spacing w:val="-11"/>
        </w:rPr>
        <w:t xml:space="preserve"> </w:t>
      </w:r>
      <w:r w:rsidRPr="006827F4">
        <w:rPr>
          <w:i/>
          <w:iCs/>
        </w:rPr>
        <w:t>that</w:t>
      </w:r>
      <w:r w:rsidRPr="006827F4">
        <w:rPr>
          <w:i/>
          <w:iCs/>
          <w:spacing w:val="-13"/>
        </w:rPr>
        <w:t xml:space="preserve"> </w:t>
      </w:r>
      <w:r w:rsidRPr="006827F4">
        <w:rPr>
          <w:i/>
          <w:iCs/>
        </w:rPr>
        <w:t>makes upgrades</w:t>
      </w:r>
      <w:r w:rsidRPr="006827F4">
        <w:rPr>
          <w:i/>
          <w:iCs/>
          <w:spacing w:val="-15"/>
        </w:rPr>
        <w:t xml:space="preserve"> </w:t>
      </w:r>
      <w:r w:rsidRPr="006827F4">
        <w:rPr>
          <w:i/>
          <w:iCs/>
        </w:rPr>
        <w:t>that</w:t>
      </w:r>
      <w:r w:rsidRPr="006827F4">
        <w:rPr>
          <w:i/>
          <w:iCs/>
          <w:spacing w:val="-15"/>
        </w:rPr>
        <w:t xml:space="preserve"> </w:t>
      </w:r>
      <w:r w:rsidRPr="006827F4">
        <w:rPr>
          <w:i/>
          <w:iCs/>
        </w:rPr>
        <w:t>increase</w:t>
      </w:r>
      <w:r w:rsidRPr="006827F4">
        <w:rPr>
          <w:i/>
          <w:iCs/>
          <w:spacing w:val="-15"/>
        </w:rPr>
        <w:t xml:space="preserve"> </w:t>
      </w:r>
      <w:r w:rsidRPr="006827F4">
        <w:rPr>
          <w:i/>
          <w:iCs/>
        </w:rPr>
        <w:t>the</w:t>
      </w:r>
      <w:r w:rsidRPr="006827F4">
        <w:rPr>
          <w:i/>
          <w:iCs/>
          <w:spacing w:val="-14"/>
        </w:rPr>
        <w:t xml:space="preserve"> </w:t>
      </w:r>
      <w:r w:rsidRPr="006827F4">
        <w:rPr>
          <w:i/>
          <w:iCs/>
        </w:rPr>
        <w:t>capacity</w:t>
      </w:r>
      <w:r w:rsidRPr="006827F4">
        <w:rPr>
          <w:i/>
          <w:iCs/>
          <w:spacing w:val="-15"/>
        </w:rPr>
        <w:t xml:space="preserve"> </w:t>
      </w:r>
      <w:r w:rsidRPr="006827F4">
        <w:rPr>
          <w:i/>
          <w:iCs/>
        </w:rPr>
        <w:t>of</w:t>
      </w:r>
      <w:r w:rsidRPr="006827F4">
        <w:rPr>
          <w:i/>
          <w:iCs/>
          <w:spacing w:val="-15"/>
        </w:rPr>
        <w:t xml:space="preserve"> </w:t>
      </w:r>
      <w:r w:rsidRPr="006827F4">
        <w:rPr>
          <w:i/>
          <w:iCs/>
        </w:rPr>
        <w:t>the</w:t>
      </w:r>
      <w:r w:rsidRPr="006827F4">
        <w:rPr>
          <w:i/>
          <w:iCs/>
          <w:spacing w:val="-14"/>
        </w:rPr>
        <w:t xml:space="preserve"> </w:t>
      </w:r>
      <w:r w:rsidRPr="006827F4">
        <w:rPr>
          <w:i/>
          <w:iCs/>
        </w:rPr>
        <w:t>electric</w:t>
      </w:r>
      <w:r w:rsidRPr="006827F4">
        <w:rPr>
          <w:i/>
          <w:iCs/>
          <w:spacing w:val="-15"/>
        </w:rPr>
        <w:t xml:space="preserve"> </w:t>
      </w:r>
      <w:r w:rsidRPr="006827F4">
        <w:rPr>
          <w:i/>
          <w:iCs/>
        </w:rPr>
        <w:t>generating</w:t>
      </w:r>
      <w:r w:rsidRPr="006827F4">
        <w:rPr>
          <w:i/>
          <w:iCs/>
          <w:spacing w:val="-13"/>
        </w:rPr>
        <w:t xml:space="preserve"> </w:t>
      </w:r>
      <w:r w:rsidRPr="006827F4">
        <w:rPr>
          <w:i/>
          <w:iCs/>
        </w:rPr>
        <w:t>facility</w:t>
      </w:r>
      <w:r w:rsidRPr="006827F4">
        <w:rPr>
          <w:i/>
          <w:iCs/>
          <w:spacing w:val="-15"/>
        </w:rPr>
        <w:t xml:space="preserve"> </w:t>
      </w:r>
      <w:r w:rsidRPr="006827F4">
        <w:rPr>
          <w:i/>
          <w:iCs/>
        </w:rPr>
        <w:t>such</w:t>
      </w:r>
      <w:r w:rsidRPr="006827F4">
        <w:rPr>
          <w:i/>
          <w:iCs/>
          <w:spacing w:val="-15"/>
        </w:rPr>
        <w:t xml:space="preserve"> </w:t>
      </w:r>
      <w:r w:rsidRPr="006827F4">
        <w:rPr>
          <w:i/>
          <w:iCs/>
        </w:rPr>
        <w:t>that</w:t>
      </w:r>
      <w:r w:rsidRPr="006827F4">
        <w:rPr>
          <w:i/>
          <w:iCs/>
          <w:spacing w:val="-15"/>
        </w:rPr>
        <w:t xml:space="preserve"> </w:t>
      </w:r>
      <w:r w:rsidRPr="006827F4">
        <w:rPr>
          <w:i/>
          <w:iCs/>
        </w:rPr>
        <w:t>the</w:t>
      </w:r>
      <w:r w:rsidRPr="006827F4">
        <w:rPr>
          <w:i/>
          <w:iCs/>
          <w:spacing w:val="-15"/>
        </w:rPr>
        <w:t xml:space="preserve"> </w:t>
      </w:r>
      <w:r w:rsidRPr="006827F4">
        <w:rPr>
          <w:i/>
          <w:iCs/>
        </w:rPr>
        <w:t xml:space="preserve">SGIA is amended after January 1, </w:t>
      </w:r>
      <w:proofErr w:type="gramStart"/>
      <w:r w:rsidRPr="006827F4">
        <w:rPr>
          <w:i/>
          <w:iCs/>
        </w:rPr>
        <w:t>2027</w:t>
      </w:r>
      <w:proofErr w:type="gramEnd"/>
      <w:r w:rsidRPr="006827F4">
        <w:rPr>
          <w:i/>
          <w:iCs/>
        </w:rPr>
        <w:t xml:space="preserve"> subject to the generation reliability requirements under PURA § 39.1592?</w:t>
      </w:r>
    </w:p>
    <w:p w14:paraId="76267A1A" w14:textId="77777777" w:rsidR="00F3650B" w:rsidRDefault="00F3650B" w:rsidP="00F3650B">
      <w:pPr>
        <w:widowControl w:val="0"/>
        <w:tabs>
          <w:tab w:val="left" w:pos="1080"/>
        </w:tabs>
        <w:autoSpaceDE w:val="0"/>
        <w:autoSpaceDN w:val="0"/>
        <w:spacing w:after="0" w:line="360" w:lineRule="auto"/>
        <w:ind w:right="358"/>
      </w:pPr>
    </w:p>
    <w:p w14:paraId="63F70012" w14:textId="62826D33" w:rsidR="5E33A819" w:rsidRDefault="6E36F8FD" w:rsidP="5E33A819">
      <w:pPr>
        <w:spacing w:line="360" w:lineRule="auto"/>
        <w:ind w:firstLine="720"/>
      </w:pPr>
      <w:r w:rsidRPr="6E36F8FD">
        <w:rPr>
          <w:b/>
          <w:bCs/>
        </w:rPr>
        <w:t>TCPA RESPONSE</w:t>
      </w:r>
      <w:r w:rsidR="00145D93">
        <w:rPr>
          <w:b/>
          <w:bCs/>
        </w:rPr>
        <w:t xml:space="preserve">: </w:t>
      </w:r>
      <w:r w:rsidR="5E33A819">
        <w:t xml:space="preserve">The firming provisions of HB 1500 are not applicable to any electric generating facility that has a signed SGIA in place before January 1, 2027.  Although SGIAs can be amended from time to time to account for new transmission facilities, repowers, </w:t>
      </w:r>
      <w:r w:rsidR="6BD8B2A8">
        <w:t xml:space="preserve">uprates, </w:t>
      </w:r>
      <w:r w:rsidR="5E33A819">
        <w:t>repairs,</w:t>
      </w:r>
      <w:r w:rsidR="6BD8B2A8">
        <w:t xml:space="preserve"> or</w:t>
      </w:r>
      <w:r w:rsidR="5E33A819">
        <w:t xml:space="preserve"> changes in ownership, etc., the creation of an SGIA for an electric generating </w:t>
      </w:r>
      <w:r w:rsidR="5E33A819" w:rsidRPr="00145D93">
        <w:rPr>
          <w:i/>
          <w:iCs/>
        </w:rPr>
        <w:t xml:space="preserve">facility </w:t>
      </w:r>
      <w:r w:rsidR="5E33A819">
        <w:t xml:space="preserve">should be </w:t>
      </w:r>
      <w:r w:rsidR="6BD8B2A8">
        <w:t>and has traditionally been, a one-time event.</w:t>
      </w:r>
      <w:r w:rsidR="5E33A819">
        <w:t xml:space="preserve">  Even if the Commission were to decide now that, going forward, any changes to an SGIA must be made via a new SGIA, this would not change the fact that the electric generating </w:t>
      </w:r>
      <w:r w:rsidR="5E33A819" w:rsidRPr="00145D93">
        <w:rPr>
          <w:i/>
          <w:iCs/>
        </w:rPr>
        <w:t xml:space="preserve">facility </w:t>
      </w:r>
      <w:r w:rsidR="5E33A819">
        <w:t xml:space="preserve">at issue had a signed SGIA in place before January 1, 2027, and therefore still would not be subject to the firming provisions of HB 1500. Further, </w:t>
      </w:r>
      <w:r w:rsidR="6BD8B2A8">
        <w:t>statutes</w:t>
      </w:r>
      <w:r w:rsidR="5E33A819">
        <w:t xml:space="preserve"> must be read in the context in which </w:t>
      </w:r>
      <w:r w:rsidR="6BD8B2A8">
        <w:t>they were</w:t>
      </w:r>
      <w:r w:rsidR="5E33A819">
        <w:t xml:space="preserve"> enacted, and </w:t>
      </w:r>
      <w:r w:rsidR="6BD8B2A8">
        <w:t>upon</w:t>
      </w:r>
      <w:r w:rsidR="5E33A819">
        <w:t xml:space="preserve"> HB </w:t>
      </w:r>
      <w:r w:rsidR="6BD8B2A8">
        <w:t>1500’s enactment in 2023</w:t>
      </w:r>
      <w:r w:rsidR="5E33A819">
        <w:t xml:space="preserve">, the signing of an SGIA was a one-time event.  </w:t>
      </w:r>
    </w:p>
    <w:p w14:paraId="3CBBE1B1" w14:textId="3E3750E0" w:rsidR="5E33A819" w:rsidRDefault="5E33A819" w:rsidP="5E33A819">
      <w:pPr>
        <w:spacing w:line="360" w:lineRule="auto"/>
        <w:ind w:firstLine="720"/>
      </w:pPr>
      <w:r>
        <w:t xml:space="preserve">To give additional context, policymakers created the Texas Energy Fund (TEF) during the same legislative session as HB 1500 was enacted. The specific mission of the TEF is to </w:t>
      </w:r>
      <w:r>
        <w:lastRenderedPageBreak/>
        <w:t xml:space="preserve">expeditiously increase </w:t>
      </w:r>
      <w:proofErr w:type="gramStart"/>
      <w:r>
        <w:t>new</w:t>
      </w:r>
      <w:proofErr w:type="gramEnd"/>
      <w:r>
        <w:t xml:space="preserve"> gas dispatchable generation investment in ERCOT with </w:t>
      </w:r>
      <w:proofErr w:type="gramStart"/>
      <w:r>
        <w:t>distribution</w:t>
      </w:r>
      <w:proofErr w:type="gramEnd"/>
      <w:r>
        <w:t xml:space="preserve"> of those funds for the in-ERCOT loan program to begin by December 31, 2025.  This directive, coupled with the delay of the effective date of the firming provisions to SGIAs executed on or after January 1, 2027, </w:t>
      </w:r>
      <w:r w:rsidR="23075FA9">
        <w:t xml:space="preserve">strongly </w:t>
      </w:r>
      <w:r>
        <w:t xml:space="preserve">suggests that the firming requirements in HB 1500 were not intended to apply to the new gas generation being developed under the TEF (which also generally </w:t>
      </w:r>
      <w:r w:rsidR="23075FA9">
        <w:t>would have already</w:t>
      </w:r>
      <w:r>
        <w:t xml:space="preserve"> signed SGIAs prior to January 1, 2027, based on the applicable timelines of the TEF</w:t>
      </w:r>
      <w:r w:rsidR="23075FA9">
        <w:t xml:space="preserve"> and have strict performance requirements as part of the loan).</w:t>
      </w:r>
      <w:r>
        <w:t xml:space="preserve"> </w:t>
      </w:r>
      <w:r w:rsidR="2DA30657">
        <w:t>Because</w:t>
      </w:r>
      <w:r>
        <w:t xml:space="preserve"> TEF-funded projects are subject to their own performance requirements that </w:t>
      </w:r>
      <w:r w:rsidR="23075FA9">
        <w:t xml:space="preserve">HB 1500’s </w:t>
      </w:r>
      <w:r>
        <w:t xml:space="preserve">firming </w:t>
      </w:r>
      <w:r w:rsidR="23075FA9">
        <w:t xml:space="preserve">provisions </w:t>
      </w:r>
      <w:r>
        <w:t>need not duplicate, complicate, or risk contradicting.</w:t>
      </w:r>
    </w:p>
    <w:p w14:paraId="0E310F1D" w14:textId="04C99B74" w:rsidR="5E33A819" w:rsidRDefault="5E33A819" w:rsidP="5E33A819">
      <w:pPr>
        <w:spacing w:line="360" w:lineRule="auto"/>
        <w:ind w:firstLine="720"/>
      </w:pPr>
      <w:r>
        <w:t>Even if the statute were ambiguous (which it is not), as a policy matter, the statute should not be interpreted in a manner that would discourage existing electric generating facilities from improving, upgrading, expanding, repairing, repowering</w:t>
      </w:r>
      <w:r w:rsidR="012A5CDE">
        <w:t xml:space="preserve">, </w:t>
      </w:r>
      <w:r>
        <w:t xml:space="preserve">or otherwise improving the performance of their facilities. HB 1500 will impose new financial burdens on certain electric generating facilities that sign SGIAs after January 1, 2027.  If an electric generating facility that had a signed SGIA in place before January 1, 2027, has the option of upgrading, repowering, improving, etc. its facilities – which would be helpful to the ERCOT grid – it may not choose that option if the new financial burdens it would take on as a result would outweigh the financial benefits of the upgrade, repower, improvement, etc. </w:t>
      </w:r>
    </w:p>
    <w:p w14:paraId="785E288C" w14:textId="5A5407D6" w:rsidR="5E33A819" w:rsidRDefault="5E33A819" w:rsidP="5E33A819">
      <w:pPr>
        <w:spacing w:line="360" w:lineRule="auto"/>
        <w:ind w:firstLine="720"/>
      </w:pPr>
      <w:r>
        <w:t xml:space="preserve">In sum, the plain statutory language of HB 1500, the </w:t>
      </w:r>
      <w:proofErr w:type="gramStart"/>
      <w:r>
        <w:t>contexts</w:t>
      </w:r>
      <w:proofErr w:type="gramEnd"/>
      <w:r>
        <w:t xml:space="preserve"> in which </w:t>
      </w:r>
      <w:r w:rsidR="2A49CCF4">
        <w:t>the</w:t>
      </w:r>
      <w:r>
        <w:t xml:space="preserve"> firming policy was passed, and public policy considerations all point to the fact that existing generating facilities are not and should not be subject to HB 1500’s firming provisions under any circumstances.  </w:t>
      </w:r>
    </w:p>
    <w:p w14:paraId="41080941" w14:textId="24AE2DFD" w:rsidR="00796AA6" w:rsidRDefault="00796AA6" w:rsidP="17DBB604">
      <w:pPr>
        <w:spacing w:line="360" w:lineRule="auto"/>
        <w:ind w:firstLine="720"/>
      </w:pPr>
    </w:p>
    <w:p w14:paraId="19896C24" w14:textId="77777777" w:rsidR="001E7342" w:rsidRPr="004A5C6C" w:rsidRDefault="001E7342" w:rsidP="00994266">
      <w:pPr>
        <w:pStyle w:val="ListParagraph"/>
        <w:widowControl w:val="0"/>
        <w:numPr>
          <w:ilvl w:val="0"/>
          <w:numId w:val="2"/>
        </w:numPr>
        <w:tabs>
          <w:tab w:val="left" w:pos="1079"/>
        </w:tabs>
        <w:autoSpaceDE w:val="0"/>
        <w:autoSpaceDN w:val="0"/>
        <w:spacing w:after="0" w:line="259" w:lineRule="auto"/>
        <w:ind w:right="357"/>
        <w:contextualSpacing w:val="0"/>
        <w:rPr>
          <w:i/>
          <w:iCs/>
        </w:rPr>
      </w:pPr>
      <w:r w:rsidRPr="004A5C6C">
        <w:rPr>
          <w:i/>
          <w:iCs/>
        </w:rPr>
        <w:t>What additional issues related to these new reliability requirements should the Commission consider as it drafts the rule to implement this statute?</w:t>
      </w:r>
    </w:p>
    <w:p w14:paraId="574D9B6C" w14:textId="516350D3" w:rsidR="006827F4" w:rsidRPr="006827F4" w:rsidRDefault="006827F4" w:rsidP="00F3650B">
      <w:pPr>
        <w:widowControl w:val="0"/>
        <w:tabs>
          <w:tab w:val="left" w:pos="1080"/>
        </w:tabs>
        <w:autoSpaceDE w:val="0"/>
        <w:autoSpaceDN w:val="0"/>
        <w:spacing w:after="0" w:line="360" w:lineRule="auto"/>
        <w:ind w:right="358"/>
      </w:pPr>
    </w:p>
    <w:p w14:paraId="3748B6C4" w14:textId="7CC06A35" w:rsidR="00C014F1" w:rsidRDefault="6E36F8FD" w:rsidP="00D14B49">
      <w:pPr>
        <w:spacing w:line="360" w:lineRule="auto"/>
      </w:pPr>
      <w:r w:rsidRPr="6E36F8FD">
        <w:rPr>
          <w:b/>
          <w:bCs/>
        </w:rPr>
        <w:t xml:space="preserve">TCPA RESPONSE: </w:t>
      </w:r>
      <w:r>
        <w:t xml:space="preserve">Over the past few years, the Texas Legislature and state leadership have repeatedly expressed the state’s urgent need for more thermal dispatchable generation in ERCOT to meet current and forecasted load growth. TCPA encourages this policy priority </w:t>
      </w:r>
      <w:r>
        <w:t>to be</w:t>
      </w:r>
      <w:r>
        <w:t xml:space="preserve"> considered in the crafting of this rule. A “do no harm” approach to thermal dispatchable resources should be taken to avoid countering the objectives of other policy decisions from the legislature, governor and Commission such as DRRS and TEF.  </w:t>
      </w:r>
    </w:p>
    <w:p w14:paraId="439C963F" w14:textId="0E61675A" w:rsidR="00C014F1" w:rsidRDefault="00D53CDC" w:rsidP="4E496394">
      <w:pPr>
        <w:spacing w:line="360" w:lineRule="auto"/>
        <w:ind w:firstLine="360"/>
      </w:pPr>
      <w:r>
        <w:lastRenderedPageBreak/>
        <w:t>Collectively, those policy enactments</w:t>
      </w:r>
      <w:r w:rsidR="00C014F1">
        <w:t xml:space="preserve"> clearly indicate</w:t>
      </w:r>
      <w:r>
        <w:t xml:space="preserve"> state leaders’ </w:t>
      </w:r>
      <w:r w:rsidR="00C014F1">
        <w:t xml:space="preserve">desire for investment in thermal dispatchable resources in ERCOT </w:t>
      </w:r>
      <w:r w:rsidR="6D434AF3">
        <w:t>and</w:t>
      </w:r>
      <w:r w:rsidR="00C014F1">
        <w:t xml:space="preserve"> retention of existing thermal dispatchable resources. </w:t>
      </w:r>
      <w:r w:rsidR="009A13C1">
        <w:t>It is also important to</w:t>
      </w:r>
      <w:r w:rsidR="00D14B49">
        <w:t xml:space="preserve"> place</w:t>
      </w:r>
      <w:r w:rsidR="00C014F1">
        <w:t xml:space="preserve"> attention </w:t>
      </w:r>
      <w:r w:rsidR="00D01F28">
        <w:t>on</w:t>
      </w:r>
      <w:r w:rsidR="00C014F1">
        <w:t xml:space="preserve"> ensur</w:t>
      </w:r>
      <w:r w:rsidR="00D14B49">
        <w:t>ing</w:t>
      </w:r>
      <w:r w:rsidR="00C014F1">
        <w:t xml:space="preserve"> this rule does not create a penalty that disincentivizes the retention, maintenance, upgrade, repowering or other enhancement of existing thermal dispatchable resources or the new resources being built to serve the ERCOT market. </w:t>
      </w:r>
    </w:p>
    <w:p w14:paraId="6D57F901" w14:textId="77777777" w:rsidR="009F4F3D" w:rsidRDefault="616ACB57" w:rsidP="009F4F3D">
      <w:pPr>
        <w:spacing w:line="480" w:lineRule="auto"/>
        <w:ind w:firstLine="360"/>
        <w:rPr>
          <w:rFonts w:cs="Times New Roman"/>
        </w:rPr>
      </w:pPr>
      <w:r w:rsidRPr="616ACB57">
        <w:rPr>
          <w:rFonts w:cs="Times New Roman"/>
        </w:rPr>
        <w:t xml:space="preserve"> </w:t>
      </w:r>
    </w:p>
    <w:p w14:paraId="64233288" w14:textId="1A73F3AD" w:rsidR="00474F4C" w:rsidRPr="005A4F8D" w:rsidRDefault="00474F4C" w:rsidP="009F4F3D">
      <w:pPr>
        <w:spacing w:line="480" w:lineRule="auto"/>
        <w:ind w:firstLine="360"/>
        <w:jc w:val="center"/>
        <w:rPr>
          <w:rFonts w:cs="Times New Roman"/>
          <w:b/>
          <w:bCs/>
          <w:szCs w:val="24"/>
          <w:u w:val="single"/>
        </w:rPr>
      </w:pPr>
      <w:r w:rsidRPr="005A4F8D">
        <w:rPr>
          <w:rFonts w:cs="Times New Roman"/>
          <w:b/>
          <w:bCs/>
          <w:szCs w:val="24"/>
          <w:u w:val="single"/>
        </w:rPr>
        <w:t>CONCLUSION</w:t>
      </w:r>
    </w:p>
    <w:p w14:paraId="04497120" w14:textId="2BD74486" w:rsidR="008E7489" w:rsidRPr="00717DCD" w:rsidRDefault="008E7489" w:rsidP="007233FF">
      <w:pPr>
        <w:spacing w:line="480" w:lineRule="auto"/>
        <w:ind w:firstLine="360"/>
        <w:rPr>
          <w:rFonts w:cs="Times New Roman"/>
        </w:rPr>
      </w:pPr>
      <w:r w:rsidRPr="00717DCD">
        <w:rPr>
          <w:rFonts w:cs="Times New Roman"/>
          <w:szCs w:val="24"/>
        </w:rPr>
        <w:tab/>
      </w:r>
      <w:r w:rsidRPr="616ACB57">
        <w:rPr>
          <w:rFonts w:cs="Times New Roman"/>
        </w:rPr>
        <w:t xml:space="preserve">TCPA appreciates </w:t>
      </w:r>
      <w:r w:rsidR="00852E14" w:rsidRPr="616ACB57">
        <w:rPr>
          <w:rFonts w:cs="Times New Roman"/>
        </w:rPr>
        <w:t xml:space="preserve">the opportunity to provide these comments and </w:t>
      </w:r>
      <w:r w:rsidR="00FB4C1C" w:rsidRPr="616ACB57">
        <w:rPr>
          <w:rFonts w:cs="Times New Roman"/>
        </w:rPr>
        <w:t>look</w:t>
      </w:r>
      <w:r w:rsidR="00DC786F" w:rsidRPr="616ACB57">
        <w:rPr>
          <w:rFonts w:cs="Times New Roman"/>
        </w:rPr>
        <w:t>s</w:t>
      </w:r>
      <w:r w:rsidR="00FB4C1C" w:rsidRPr="616ACB57">
        <w:rPr>
          <w:rFonts w:cs="Times New Roman"/>
        </w:rPr>
        <w:t xml:space="preserve"> forward to continuing to work with</w:t>
      </w:r>
      <w:r w:rsidR="009979AC" w:rsidRPr="616ACB57">
        <w:rPr>
          <w:rFonts w:cs="Times New Roman"/>
        </w:rPr>
        <w:t xml:space="preserve"> the Commission</w:t>
      </w:r>
      <w:r w:rsidRPr="616ACB57">
        <w:rPr>
          <w:rFonts w:cs="Times New Roman"/>
        </w:rPr>
        <w:t>, Staff and other stakeholders throughout this project</w:t>
      </w:r>
      <w:r w:rsidR="00D77B2D" w:rsidRPr="616ACB57">
        <w:rPr>
          <w:rFonts w:cs="Times New Roman"/>
        </w:rPr>
        <w:t xml:space="preserve"> to ensure the Legislature’s </w:t>
      </w:r>
      <w:r w:rsidR="00D14B49" w:rsidRPr="616ACB57">
        <w:rPr>
          <w:rFonts w:cs="Times New Roman"/>
        </w:rPr>
        <w:t xml:space="preserve">goals of </w:t>
      </w:r>
      <w:r w:rsidR="00E1697D" w:rsidRPr="616ACB57">
        <w:rPr>
          <w:rFonts w:cs="Times New Roman"/>
        </w:rPr>
        <w:t>a firm, reliable and balanced grid are achieved</w:t>
      </w:r>
      <w:r w:rsidRPr="616ACB57">
        <w:rPr>
          <w:rFonts w:cs="Times New Roman"/>
        </w:rPr>
        <w:t xml:space="preserve">. </w:t>
      </w:r>
      <w:r w:rsidR="00E1697D" w:rsidRPr="616ACB57">
        <w:rPr>
          <w:rFonts w:cs="Times New Roman"/>
        </w:rPr>
        <w:t xml:space="preserve">We urge the scheduling of a workshop to facilitate greater </w:t>
      </w:r>
      <w:r w:rsidR="00505F34" w:rsidRPr="616ACB57">
        <w:rPr>
          <w:rFonts w:cs="Times New Roman"/>
        </w:rPr>
        <w:t xml:space="preserve">discussion about this important rulemaking prior to the drafting and filing of a proposal for publication and request </w:t>
      </w:r>
      <w:r w:rsidR="00A91039" w:rsidRPr="616ACB57">
        <w:rPr>
          <w:rFonts w:cs="Times New Roman"/>
        </w:rPr>
        <w:t>to participate in such a workshop.</w:t>
      </w:r>
    </w:p>
    <w:p w14:paraId="7179C457" w14:textId="41880347" w:rsidR="008E7489" w:rsidRPr="00717DCD" w:rsidRDefault="009979AC" w:rsidP="009979AC">
      <w:pPr>
        <w:pStyle w:val="BodyText"/>
        <w:keepNext/>
        <w:keepLines/>
        <w:jc w:val="left"/>
        <w:rPr>
          <w:szCs w:val="24"/>
        </w:rPr>
      </w:pPr>
      <w:r w:rsidRPr="00717DCD">
        <w:rPr>
          <w:szCs w:val="24"/>
        </w:rPr>
        <w:tab/>
        <w:t xml:space="preserve">Dated: </w:t>
      </w:r>
      <w:r w:rsidR="005B731A">
        <w:rPr>
          <w:szCs w:val="24"/>
        </w:rPr>
        <w:t>June 27</w:t>
      </w:r>
      <w:r w:rsidR="00666221">
        <w:rPr>
          <w:szCs w:val="24"/>
        </w:rPr>
        <w:t>, 2025</w:t>
      </w:r>
    </w:p>
    <w:p w14:paraId="6F878CCF" w14:textId="633D7CDD" w:rsidR="00B24F5A" w:rsidRPr="00717DCD" w:rsidRDefault="008E7489" w:rsidP="00B24F5A">
      <w:pPr>
        <w:pStyle w:val="BodyText"/>
        <w:keepNext/>
        <w:keepLines/>
        <w:ind w:left="3330" w:firstLine="720"/>
        <w:rPr>
          <w:szCs w:val="24"/>
        </w:rPr>
      </w:pPr>
      <w:r w:rsidRPr="00717DCD">
        <w:rPr>
          <w:szCs w:val="24"/>
        </w:rPr>
        <w:t xml:space="preserve">   </w:t>
      </w:r>
      <w:r w:rsidR="00B24F5A" w:rsidRPr="00717DCD">
        <w:rPr>
          <w:szCs w:val="24"/>
        </w:rPr>
        <w:t>Respectfully submitted,</w:t>
      </w:r>
    </w:p>
    <w:p w14:paraId="16A7C7B5" w14:textId="08BB8B9A" w:rsidR="008E7489" w:rsidRPr="00D11A78" w:rsidRDefault="008E7489" w:rsidP="008E7489">
      <w:pPr>
        <w:tabs>
          <w:tab w:val="left" w:pos="4320"/>
        </w:tabs>
        <w:ind w:right="-540"/>
        <w:rPr>
          <w:rFonts w:eastAsia="Times New Roman" w:cs="Times New Roman"/>
        </w:rPr>
      </w:pPr>
      <w:r w:rsidRPr="00D11A78">
        <w:rPr>
          <w:rFonts w:eastAsia="Times New Roman" w:cs="Times New Roman"/>
          <w:szCs w:val="24"/>
        </w:rPr>
        <w:tab/>
      </w:r>
      <w:r w:rsidRPr="00D11A78">
        <w:rPr>
          <w:rFonts w:eastAsia="Times New Roman" w:cs="Times New Roman"/>
          <w:noProof/>
          <w:szCs w:val="24"/>
        </w:rPr>
        <w:drawing>
          <wp:inline distT="0" distB="0" distL="0" distR="0" wp14:anchorId="17F0DEE9" wp14:editId="0EA4605F">
            <wp:extent cx="1925320" cy="505460"/>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1943645" cy="510271"/>
                    </a:xfrm>
                    <a:prstGeom prst="rect">
                      <a:avLst/>
                    </a:prstGeom>
                  </pic:spPr>
                </pic:pic>
              </a:graphicData>
            </a:graphic>
          </wp:inline>
        </w:drawing>
      </w:r>
    </w:p>
    <w:p w14:paraId="3DA537A1"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Michele Richmond</w:t>
      </w:r>
    </w:p>
    <w:p w14:paraId="06540345"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Executive Director</w:t>
      </w:r>
    </w:p>
    <w:p w14:paraId="600E1122"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Texas Competitive Power Advocates (TCPA)</w:t>
      </w:r>
    </w:p>
    <w:p w14:paraId="16B41F7E" w14:textId="77777777" w:rsidR="008E7489" w:rsidRPr="00D11A78" w:rsidRDefault="008E7489" w:rsidP="002249D8">
      <w:pPr>
        <w:spacing w:after="0" w:line="240" w:lineRule="auto"/>
        <w:outlineLvl w:val="0"/>
        <w:rPr>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t>(512) 653-7447</w:t>
      </w:r>
    </w:p>
    <w:p w14:paraId="43D22956" w14:textId="77C731C9" w:rsidR="00A23EAC" w:rsidRPr="00D11A78" w:rsidRDefault="008E7489" w:rsidP="002249D8">
      <w:pPr>
        <w:spacing w:after="0" w:line="240" w:lineRule="auto"/>
        <w:ind w:firstLine="720"/>
        <w:rPr>
          <w:rStyle w:val="Hyperlink"/>
          <w:rFonts w:eastAsia="Times New Roman" w:cs="Times New Roman"/>
          <w:szCs w:val="24"/>
        </w:rPr>
      </w:pP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r w:rsidRPr="00D11A78">
        <w:rPr>
          <w:rFonts w:eastAsia="Times New Roman" w:cs="Times New Roman"/>
          <w:szCs w:val="24"/>
        </w:rPr>
        <w:tab/>
      </w:r>
      <w:hyperlink r:id="rId12" w:history="1">
        <w:r w:rsidRPr="00D11A78">
          <w:rPr>
            <w:rStyle w:val="Hyperlink"/>
            <w:rFonts w:eastAsia="Times New Roman" w:cs="Times New Roman"/>
            <w:szCs w:val="24"/>
          </w:rPr>
          <w:t>michele@competitivepower.org</w:t>
        </w:r>
      </w:hyperlink>
    </w:p>
    <w:p w14:paraId="6E90BF28" w14:textId="77777777" w:rsidR="00AE1B92" w:rsidRDefault="00AE1B92" w:rsidP="00440056">
      <w:pPr>
        <w:spacing w:after="160" w:line="259" w:lineRule="auto"/>
        <w:jc w:val="left"/>
        <w:rPr>
          <w:rStyle w:val="Hyperlink"/>
          <w:rFonts w:eastAsia="Times New Roman" w:cs="Times New Roman"/>
          <w:szCs w:val="24"/>
        </w:rPr>
      </w:pPr>
    </w:p>
    <w:p w14:paraId="5C16B0B9" w14:textId="77777777" w:rsidR="00200BA0" w:rsidRDefault="00200BA0" w:rsidP="00440056">
      <w:pPr>
        <w:spacing w:after="160" w:line="259" w:lineRule="auto"/>
        <w:jc w:val="left"/>
        <w:rPr>
          <w:rStyle w:val="Hyperlink"/>
          <w:rFonts w:eastAsia="Times New Roman" w:cs="Times New Roman"/>
          <w:szCs w:val="24"/>
        </w:rPr>
      </w:pPr>
    </w:p>
    <w:p w14:paraId="5135275A" w14:textId="77777777" w:rsidR="00200BA0" w:rsidRDefault="00200BA0" w:rsidP="00440056">
      <w:pPr>
        <w:spacing w:after="160" w:line="259" w:lineRule="auto"/>
        <w:jc w:val="left"/>
        <w:rPr>
          <w:rStyle w:val="Hyperlink"/>
          <w:rFonts w:eastAsia="Times New Roman" w:cs="Times New Roman"/>
          <w:szCs w:val="24"/>
        </w:rPr>
      </w:pPr>
    </w:p>
    <w:p w14:paraId="2DAD0098" w14:textId="77777777" w:rsidR="00200BA0" w:rsidRDefault="00200BA0" w:rsidP="00440056">
      <w:pPr>
        <w:spacing w:after="160" w:line="259" w:lineRule="auto"/>
        <w:jc w:val="left"/>
        <w:rPr>
          <w:rStyle w:val="Hyperlink"/>
          <w:rFonts w:eastAsia="Times New Roman" w:cs="Times New Roman"/>
          <w:szCs w:val="24"/>
        </w:rPr>
      </w:pPr>
    </w:p>
    <w:p w14:paraId="230647B5" w14:textId="77777777" w:rsidR="00200BA0" w:rsidRDefault="00200BA0" w:rsidP="00440056">
      <w:pPr>
        <w:spacing w:after="160" w:line="259" w:lineRule="auto"/>
        <w:jc w:val="left"/>
        <w:rPr>
          <w:rStyle w:val="Hyperlink"/>
          <w:rFonts w:eastAsia="Times New Roman" w:cs="Times New Roman"/>
          <w:szCs w:val="24"/>
        </w:rPr>
      </w:pPr>
    </w:p>
    <w:p w14:paraId="33DEF81C" w14:textId="77777777" w:rsidR="00CF5772" w:rsidRDefault="00CF5772" w:rsidP="00D5497E">
      <w:pPr>
        <w:pStyle w:val="Title"/>
        <w:rPr>
          <w:b/>
          <w:szCs w:val="24"/>
        </w:rPr>
      </w:pPr>
    </w:p>
    <w:p w14:paraId="79C7A873" w14:textId="071C0FED" w:rsidR="00AC32D6" w:rsidRDefault="00AC32D6" w:rsidP="00D5497E">
      <w:pPr>
        <w:pStyle w:val="Title"/>
        <w:rPr>
          <w:b/>
        </w:rPr>
      </w:pPr>
    </w:p>
    <w:p w14:paraId="697F6B59" w14:textId="77777777" w:rsidR="00AC32D6" w:rsidRDefault="00AC32D6" w:rsidP="00D5497E">
      <w:pPr>
        <w:pStyle w:val="Title"/>
        <w:rPr>
          <w:b/>
          <w:szCs w:val="24"/>
        </w:rPr>
      </w:pPr>
    </w:p>
    <w:p w14:paraId="307C8CC1" w14:textId="77777777" w:rsidR="00D01F28" w:rsidRPr="00717DCD" w:rsidRDefault="00D01F28" w:rsidP="00D01F28">
      <w:pPr>
        <w:pStyle w:val="Title"/>
        <w:rPr>
          <w:b/>
          <w:szCs w:val="24"/>
        </w:rPr>
      </w:pPr>
      <w:r w:rsidRPr="00717DCD">
        <w:rPr>
          <w:b/>
          <w:szCs w:val="24"/>
        </w:rPr>
        <w:t xml:space="preserve">PUC PROJECT NO. </w:t>
      </w:r>
      <w:r>
        <w:rPr>
          <w:b/>
          <w:szCs w:val="24"/>
        </w:rPr>
        <w:t>58198</w:t>
      </w:r>
    </w:p>
    <w:p w14:paraId="35308C00" w14:textId="77777777" w:rsidR="00D01F28" w:rsidRPr="00717DCD" w:rsidRDefault="00D01F28" w:rsidP="00D01F28">
      <w:pPr>
        <w:pStyle w:val="Title"/>
        <w:rPr>
          <w:b/>
          <w:szCs w:val="24"/>
        </w:rPr>
      </w:pPr>
    </w:p>
    <w:tbl>
      <w:tblPr>
        <w:tblW w:w="9375" w:type="dxa"/>
        <w:tblLook w:val="04A0" w:firstRow="1" w:lastRow="0" w:firstColumn="1" w:lastColumn="0" w:noHBand="0" w:noVBand="1"/>
      </w:tblPr>
      <w:tblGrid>
        <w:gridCol w:w="4247"/>
        <w:gridCol w:w="989"/>
        <w:gridCol w:w="4139"/>
      </w:tblGrid>
      <w:tr w:rsidR="00D01F28" w:rsidRPr="00D11A78" w14:paraId="61C77C1D" w14:textId="77777777" w:rsidTr="007D5004">
        <w:trPr>
          <w:trHeight w:val="722"/>
        </w:trPr>
        <w:tc>
          <w:tcPr>
            <w:tcW w:w="4247" w:type="dxa"/>
          </w:tcPr>
          <w:p w14:paraId="2277A535" w14:textId="77777777" w:rsidR="00D01F28" w:rsidRPr="00717DCD" w:rsidRDefault="00D01F28" w:rsidP="007D5004">
            <w:pPr>
              <w:pStyle w:val="Title"/>
              <w:jc w:val="left"/>
              <w:rPr>
                <w:b/>
                <w:szCs w:val="24"/>
              </w:rPr>
            </w:pPr>
            <w:r>
              <w:rPr>
                <w:b/>
                <w:szCs w:val="24"/>
              </w:rPr>
              <w:t>RULEMAKING TO IMPLEMENT FIRMING RELIABILITY REQUIREMENTS FOR ELECTRIC GENERATING FACILITIES IN THE ERCOT REGION UNDER PURA §39.1592</w:t>
            </w:r>
          </w:p>
        </w:tc>
        <w:tc>
          <w:tcPr>
            <w:tcW w:w="989" w:type="dxa"/>
          </w:tcPr>
          <w:p w14:paraId="6309A77C" w14:textId="77777777" w:rsidR="00D01F28" w:rsidRPr="00717DCD" w:rsidRDefault="00D01F28" w:rsidP="007D5004">
            <w:pPr>
              <w:pStyle w:val="Title"/>
              <w:rPr>
                <w:b/>
                <w:szCs w:val="24"/>
              </w:rPr>
            </w:pPr>
            <w:r w:rsidRPr="00717DCD">
              <w:rPr>
                <w:b/>
                <w:szCs w:val="24"/>
              </w:rPr>
              <w:t>§</w:t>
            </w:r>
          </w:p>
          <w:p w14:paraId="046B39F6" w14:textId="77777777" w:rsidR="00D01F28" w:rsidRDefault="00D01F28" w:rsidP="007D5004">
            <w:pPr>
              <w:pStyle w:val="Title"/>
              <w:rPr>
                <w:b/>
                <w:szCs w:val="24"/>
              </w:rPr>
            </w:pPr>
            <w:r w:rsidRPr="00717DCD">
              <w:rPr>
                <w:b/>
                <w:szCs w:val="24"/>
              </w:rPr>
              <w:t>§</w:t>
            </w:r>
          </w:p>
          <w:p w14:paraId="209B33CA" w14:textId="77777777" w:rsidR="00D01F28" w:rsidRDefault="00D01F28" w:rsidP="007D5004">
            <w:pPr>
              <w:pStyle w:val="Title"/>
              <w:rPr>
                <w:b/>
                <w:szCs w:val="24"/>
              </w:rPr>
            </w:pPr>
            <w:r w:rsidRPr="00717DCD">
              <w:rPr>
                <w:b/>
                <w:szCs w:val="24"/>
              </w:rPr>
              <w:t>§</w:t>
            </w:r>
          </w:p>
          <w:p w14:paraId="7D1E804E" w14:textId="77777777" w:rsidR="00D01F28" w:rsidRPr="00717DCD" w:rsidRDefault="00D01F28" w:rsidP="007D5004">
            <w:pPr>
              <w:pStyle w:val="Title"/>
              <w:rPr>
                <w:b/>
                <w:szCs w:val="24"/>
              </w:rPr>
            </w:pPr>
            <w:r w:rsidRPr="00717DCD">
              <w:rPr>
                <w:b/>
                <w:szCs w:val="24"/>
              </w:rPr>
              <w:t>§</w:t>
            </w:r>
          </w:p>
        </w:tc>
        <w:tc>
          <w:tcPr>
            <w:tcW w:w="4139" w:type="dxa"/>
          </w:tcPr>
          <w:p w14:paraId="162D2BD2" w14:textId="77777777" w:rsidR="00D01F28" w:rsidRPr="00717DCD" w:rsidRDefault="00D01F28" w:rsidP="007D5004">
            <w:pPr>
              <w:pStyle w:val="Title"/>
              <w:rPr>
                <w:b/>
                <w:szCs w:val="24"/>
              </w:rPr>
            </w:pPr>
            <w:r w:rsidRPr="00717DCD">
              <w:rPr>
                <w:b/>
                <w:szCs w:val="24"/>
              </w:rPr>
              <w:t>PUBLIC UTILITY COMMISSION</w:t>
            </w:r>
          </w:p>
          <w:p w14:paraId="5DF6D7F3" w14:textId="77777777" w:rsidR="00D01F28" w:rsidRPr="00717DCD" w:rsidRDefault="00D01F28" w:rsidP="007D5004">
            <w:pPr>
              <w:pStyle w:val="Title"/>
              <w:rPr>
                <w:b/>
              </w:rPr>
            </w:pPr>
            <w:r w:rsidRPr="7468460D">
              <w:rPr>
                <w:b/>
              </w:rPr>
              <w:t>OF TEXAS</w:t>
            </w:r>
          </w:p>
        </w:tc>
      </w:tr>
    </w:tbl>
    <w:p w14:paraId="1A671839"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4E852265" w14:textId="77777777" w:rsidR="00D5497E" w:rsidRDefault="00D5497E" w:rsidP="00AE1B92">
      <w:pPr>
        <w:spacing w:after="0" w:line="240" w:lineRule="auto"/>
        <w:ind w:firstLine="720"/>
        <w:jc w:val="center"/>
        <w:rPr>
          <w:rStyle w:val="Hyperlink"/>
          <w:rFonts w:eastAsia="Times New Roman" w:cs="Times New Roman"/>
          <w:color w:val="auto"/>
          <w:szCs w:val="24"/>
        </w:rPr>
      </w:pPr>
    </w:p>
    <w:p w14:paraId="7D50016A" w14:textId="2FA65066" w:rsidR="00AE1B92" w:rsidRPr="004964B0" w:rsidRDefault="00AE1B92" w:rsidP="00AE1B92">
      <w:pPr>
        <w:spacing w:after="0" w:line="240" w:lineRule="auto"/>
        <w:ind w:firstLine="720"/>
        <w:jc w:val="center"/>
        <w:rPr>
          <w:rStyle w:val="Hyperlink"/>
          <w:rFonts w:eastAsia="Times New Roman" w:cs="Times New Roman"/>
          <w:b/>
          <w:bCs/>
          <w:color w:val="auto"/>
          <w:szCs w:val="24"/>
        </w:rPr>
      </w:pPr>
      <w:r w:rsidRPr="004964B0">
        <w:rPr>
          <w:rStyle w:val="Hyperlink"/>
          <w:rFonts w:eastAsia="Times New Roman" w:cs="Times New Roman"/>
          <w:b/>
          <w:bCs/>
          <w:color w:val="auto"/>
          <w:szCs w:val="24"/>
        </w:rPr>
        <w:t>EXECUTIVE SUMMARY OF TCPA COMMENTS</w:t>
      </w:r>
    </w:p>
    <w:p w14:paraId="064C4822" w14:textId="77777777" w:rsidR="00AE1B92" w:rsidRPr="002D5DC2" w:rsidRDefault="00AE1B92" w:rsidP="00AE1B92">
      <w:pPr>
        <w:spacing w:after="0" w:line="240" w:lineRule="auto"/>
        <w:ind w:firstLine="720"/>
        <w:jc w:val="center"/>
        <w:rPr>
          <w:rStyle w:val="Hyperlink"/>
          <w:rFonts w:eastAsia="Times New Roman" w:cs="Times New Roman"/>
          <w:color w:val="000000" w:themeColor="text1"/>
          <w:szCs w:val="24"/>
        </w:rPr>
      </w:pPr>
    </w:p>
    <w:p w14:paraId="79FED3CF" w14:textId="6FFE52EB" w:rsidR="009F4F3D" w:rsidRDefault="002D5DC2"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TCPA requests a </w:t>
      </w:r>
      <w:r w:rsidR="00DF3356" w:rsidRPr="2DA30657">
        <w:rPr>
          <w:rStyle w:val="Hyperlink"/>
          <w:rFonts w:eastAsia="Times New Roman" w:cs="Times New Roman"/>
          <w:color w:val="000000" w:themeColor="text1"/>
          <w:u w:val="none"/>
        </w:rPr>
        <w:t xml:space="preserve">Commission or Staff-led workshop on this topic prior to </w:t>
      </w:r>
      <w:r w:rsidR="2DA30657" w:rsidRPr="2DA30657">
        <w:rPr>
          <w:rStyle w:val="Hyperlink"/>
          <w:rFonts w:eastAsia="Times New Roman" w:cs="Times New Roman"/>
          <w:color w:val="000000" w:themeColor="text1"/>
          <w:u w:val="none"/>
        </w:rPr>
        <w:t xml:space="preserve">preparing </w:t>
      </w:r>
      <w:r w:rsidR="00DF3356" w:rsidRPr="2DA30657">
        <w:rPr>
          <w:rStyle w:val="Hyperlink"/>
          <w:rFonts w:eastAsia="Times New Roman" w:cs="Times New Roman"/>
          <w:color w:val="000000" w:themeColor="text1"/>
          <w:u w:val="none"/>
        </w:rPr>
        <w:t>a Proposal for Publication</w:t>
      </w:r>
      <w:r w:rsidR="00882F55" w:rsidRPr="2DA30657">
        <w:rPr>
          <w:rStyle w:val="Hyperlink"/>
          <w:rFonts w:eastAsia="Times New Roman" w:cs="Times New Roman"/>
          <w:color w:val="000000" w:themeColor="text1"/>
          <w:u w:val="none"/>
        </w:rPr>
        <w:t>.</w:t>
      </w:r>
    </w:p>
    <w:p w14:paraId="7365734E" w14:textId="0BA3C675" w:rsidR="00DF3356" w:rsidRDefault="008D2D2B"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Multiple discussions on </w:t>
      </w:r>
      <w:r w:rsidR="00D951E1" w:rsidRPr="2DA30657">
        <w:rPr>
          <w:rStyle w:val="Hyperlink"/>
          <w:rFonts w:eastAsia="Times New Roman" w:cs="Times New Roman"/>
          <w:color w:val="000000" w:themeColor="text1"/>
          <w:u w:val="none"/>
        </w:rPr>
        <w:t xml:space="preserve">the topic of firming during the 2023 </w:t>
      </w:r>
      <w:r w:rsidR="00A35D82" w:rsidRPr="2DA30657">
        <w:rPr>
          <w:rStyle w:val="Hyperlink"/>
          <w:rFonts w:eastAsia="Times New Roman" w:cs="Times New Roman"/>
          <w:color w:val="000000" w:themeColor="text1"/>
          <w:u w:val="none"/>
        </w:rPr>
        <w:t xml:space="preserve">Legislative Session </w:t>
      </w:r>
      <w:r w:rsidR="004C22EF" w:rsidRPr="2DA30657">
        <w:rPr>
          <w:rStyle w:val="Hyperlink"/>
          <w:rFonts w:eastAsia="Times New Roman" w:cs="Times New Roman"/>
          <w:color w:val="000000" w:themeColor="text1"/>
          <w:u w:val="none"/>
        </w:rPr>
        <w:t xml:space="preserve">made it abundantly </w:t>
      </w:r>
      <w:proofErr w:type="gramStart"/>
      <w:r w:rsidR="004C22EF" w:rsidRPr="2DA30657">
        <w:rPr>
          <w:rStyle w:val="Hyperlink"/>
          <w:rFonts w:eastAsia="Times New Roman" w:cs="Times New Roman"/>
          <w:color w:val="000000" w:themeColor="text1"/>
          <w:u w:val="none"/>
        </w:rPr>
        <w:t>clear</w:t>
      </w:r>
      <w:proofErr w:type="gramEnd"/>
      <w:r w:rsidR="004C22EF" w:rsidRPr="2DA30657">
        <w:rPr>
          <w:rStyle w:val="Hyperlink"/>
          <w:rFonts w:eastAsia="Times New Roman" w:cs="Times New Roman"/>
          <w:color w:val="000000" w:themeColor="text1"/>
          <w:u w:val="none"/>
        </w:rPr>
        <w:t xml:space="preserve"> the intent </w:t>
      </w:r>
      <w:r w:rsidR="00B24E76" w:rsidRPr="2DA30657">
        <w:rPr>
          <w:rStyle w:val="Hyperlink"/>
          <w:rFonts w:eastAsia="Times New Roman" w:cs="Times New Roman"/>
          <w:color w:val="000000" w:themeColor="text1"/>
          <w:u w:val="none"/>
        </w:rPr>
        <w:t xml:space="preserve">was to require renewable resources to contribute </w:t>
      </w:r>
      <w:r w:rsidR="00A4288D" w:rsidRPr="2DA30657">
        <w:rPr>
          <w:rStyle w:val="Hyperlink"/>
          <w:rFonts w:eastAsia="Times New Roman" w:cs="Times New Roman"/>
          <w:color w:val="000000" w:themeColor="text1"/>
          <w:u w:val="none"/>
        </w:rPr>
        <w:t xml:space="preserve">to available capacity </w:t>
      </w:r>
      <w:r w:rsidR="00175D43" w:rsidRPr="2DA30657">
        <w:rPr>
          <w:rStyle w:val="Hyperlink"/>
          <w:rFonts w:eastAsia="Times New Roman" w:cs="Times New Roman"/>
          <w:color w:val="000000" w:themeColor="text1"/>
          <w:u w:val="none"/>
        </w:rPr>
        <w:t xml:space="preserve">during times of low reserves and to </w:t>
      </w:r>
      <w:r w:rsidR="005C6983" w:rsidRPr="2DA30657">
        <w:rPr>
          <w:rStyle w:val="Hyperlink"/>
          <w:rFonts w:eastAsia="Times New Roman" w:cs="Times New Roman"/>
          <w:color w:val="000000" w:themeColor="text1"/>
          <w:u w:val="none"/>
        </w:rPr>
        <w:t xml:space="preserve">support </w:t>
      </w:r>
      <w:r w:rsidR="003501FB" w:rsidRPr="2DA30657">
        <w:rPr>
          <w:rStyle w:val="Hyperlink"/>
          <w:rFonts w:eastAsia="Times New Roman" w:cs="Times New Roman"/>
          <w:color w:val="000000" w:themeColor="text1"/>
          <w:u w:val="none"/>
        </w:rPr>
        <w:t xml:space="preserve">dispatchable thermal resources </w:t>
      </w:r>
      <w:r w:rsidR="004C3B41" w:rsidRPr="2DA30657">
        <w:rPr>
          <w:rStyle w:val="Hyperlink"/>
          <w:rFonts w:eastAsia="Times New Roman" w:cs="Times New Roman"/>
          <w:color w:val="000000" w:themeColor="text1"/>
          <w:u w:val="none"/>
        </w:rPr>
        <w:t>that provide reliability and operational needs.</w:t>
      </w:r>
    </w:p>
    <w:p w14:paraId="37D9DDAF" w14:textId="2C317F1F" w:rsidR="004C3B41" w:rsidRDefault="2DA30657"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The prospective</w:t>
      </w:r>
      <w:r w:rsidR="00087EE1" w:rsidRPr="2DA30657">
        <w:rPr>
          <w:rStyle w:val="Hyperlink"/>
          <w:rFonts w:eastAsia="Times New Roman" w:cs="Times New Roman"/>
          <w:color w:val="000000" w:themeColor="text1"/>
          <w:u w:val="none"/>
        </w:rPr>
        <w:t xml:space="preserve"> nature of the legislation and delayed </w:t>
      </w:r>
      <w:r w:rsidRPr="2DA30657">
        <w:rPr>
          <w:rStyle w:val="Hyperlink"/>
          <w:rFonts w:eastAsia="Times New Roman" w:cs="Times New Roman"/>
          <w:color w:val="000000" w:themeColor="text1"/>
          <w:u w:val="none"/>
        </w:rPr>
        <w:t>applicability to only generators with standard generation interconnection agreements (SGIAs) signed on or after</w:t>
      </w:r>
      <w:r w:rsidR="00087EE1" w:rsidRPr="2DA30657">
        <w:rPr>
          <w:rStyle w:val="Hyperlink"/>
          <w:rFonts w:eastAsia="Times New Roman" w:cs="Times New Roman"/>
          <w:color w:val="000000" w:themeColor="text1"/>
          <w:u w:val="none"/>
        </w:rPr>
        <w:t xml:space="preserve"> January 1, </w:t>
      </w:r>
      <w:proofErr w:type="gramStart"/>
      <w:r w:rsidR="00087EE1" w:rsidRPr="2DA30657">
        <w:rPr>
          <w:rStyle w:val="Hyperlink"/>
          <w:rFonts w:eastAsia="Times New Roman" w:cs="Times New Roman"/>
          <w:color w:val="000000" w:themeColor="text1"/>
          <w:u w:val="none"/>
        </w:rPr>
        <w:t>2027</w:t>
      </w:r>
      <w:proofErr w:type="gramEnd"/>
      <w:r w:rsidR="00087EE1" w:rsidRPr="2DA30657">
        <w:rPr>
          <w:rStyle w:val="Hyperlink"/>
          <w:rFonts w:eastAsia="Times New Roman" w:cs="Times New Roman"/>
          <w:color w:val="000000" w:themeColor="text1"/>
          <w:u w:val="none"/>
        </w:rPr>
        <w:t xml:space="preserve"> make it clear that </w:t>
      </w:r>
      <w:r w:rsidR="003C77E2" w:rsidRPr="2DA30657">
        <w:rPr>
          <w:rStyle w:val="Hyperlink"/>
          <w:rFonts w:eastAsia="Times New Roman" w:cs="Times New Roman"/>
          <w:color w:val="000000" w:themeColor="text1"/>
          <w:u w:val="none"/>
        </w:rPr>
        <w:t>the firming requirements are not applicable to existing resources or those under development prior to January 1, 2027.</w:t>
      </w:r>
    </w:p>
    <w:p w14:paraId="6BAA2FEE" w14:textId="5F9F456D" w:rsidR="00AD1BC0" w:rsidRDefault="00AD1BC0" w:rsidP="00AB5556">
      <w:pPr>
        <w:pStyle w:val="ListParagraph"/>
        <w:numPr>
          <w:ilvl w:val="0"/>
          <w:numId w:val="4"/>
        </w:numPr>
        <w:spacing w:after="0" w:line="240" w:lineRule="auto"/>
        <w:rPr>
          <w:rStyle w:val="Hyperlink"/>
          <w:rFonts w:eastAsia="Times New Roman" w:cs="Times New Roman"/>
          <w:color w:val="000000" w:themeColor="text1"/>
          <w:szCs w:val="24"/>
          <w:u w:val="none"/>
        </w:rPr>
      </w:pPr>
      <w:r w:rsidRPr="2DA30657">
        <w:rPr>
          <w:rStyle w:val="Hyperlink"/>
          <w:rFonts w:eastAsia="Times New Roman" w:cs="Times New Roman"/>
          <w:color w:val="000000" w:themeColor="text1"/>
          <w:u w:val="none"/>
        </w:rPr>
        <w:t xml:space="preserve">Collective policy actions throughout </w:t>
      </w:r>
      <w:r w:rsidR="00F1503E" w:rsidRPr="2DA30657">
        <w:rPr>
          <w:rStyle w:val="Hyperlink"/>
          <w:rFonts w:eastAsia="Times New Roman" w:cs="Times New Roman"/>
          <w:color w:val="000000" w:themeColor="text1"/>
          <w:u w:val="none"/>
        </w:rPr>
        <w:t>the 2021, 2023 and 2025 Legislative Sessio</w:t>
      </w:r>
      <w:r w:rsidR="00140D81" w:rsidRPr="2DA30657">
        <w:rPr>
          <w:rStyle w:val="Hyperlink"/>
          <w:rFonts w:eastAsia="Times New Roman" w:cs="Times New Roman"/>
          <w:color w:val="000000" w:themeColor="text1"/>
          <w:u w:val="none"/>
        </w:rPr>
        <w:t>ns</w:t>
      </w:r>
      <w:r w:rsidR="2DA30657" w:rsidRPr="2DA30657">
        <w:rPr>
          <w:rStyle w:val="Hyperlink"/>
          <w:rFonts w:eastAsia="Times New Roman" w:cs="Times New Roman"/>
          <w:color w:val="000000" w:themeColor="text1"/>
          <w:u w:val="none"/>
        </w:rPr>
        <w:t>, including firming under PURA § 39.1592,</w:t>
      </w:r>
      <w:r w:rsidR="00140D81" w:rsidRPr="2DA30657">
        <w:rPr>
          <w:rStyle w:val="Hyperlink"/>
          <w:rFonts w:eastAsia="Times New Roman" w:cs="Times New Roman"/>
          <w:color w:val="000000" w:themeColor="text1"/>
          <w:u w:val="none"/>
        </w:rPr>
        <w:t xml:space="preserve"> </w:t>
      </w:r>
      <w:r w:rsidR="00151535" w:rsidRPr="2DA30657">
        <w:rPr>
          <w:rStyle w:val="Hyperlink"/>
          <w:rFonts w:eastAsia="Times New Roman" w:cs="Times New Roman"/>
          <w:color w:val="000000" w:themeColor="text1"/>
          <w:u w:val="none"/>
        </w:rPr>
        <w:t xml:space="preserve">send a strong message </w:t>
      </w:r>
      <w:r w:rsidR="005F685E" w:rsidRPr="2DA30657">
        <w:rPr>
          <w:rStyle w:val="Hyperlink"/>
          <w:rFonts w:eastAsia="Times New Roman" w:cs="Times New Roman"/>
          <w:color w:val="000000" w:themeColor="text1"/>
          <w:u w:val="none"/>
        </w:rPr>
        <w:t xml:space="preserve">that dispatchable thermal generation, </w:t>
      </w:r>
      <w:r w:rsidR="000B3661" w:rsidRPr="2DA30657">
        <w:rPr>
          <w:rStyle w:val="Hyperlink"/>
          <w:rFonts w:eastAsia="Times New Roman" w:cs="Times New Roman"/>
          <w:color w:val="000000" w:themeColor="text1"/>
          <w:u w:val="none"/>
        </w:rPr>
        <w:t xml:space="preserve">gas and </w:t>
      </w:r>
      <w:proofErr w:type="gramStart"/>
      <w:r w:rsidR="000B3661" w:rsidRPr="2DA30657">
        <w:rPr>
          <w:rStyle w:val="Hyperlink"/>
          <w:rFonts w:eastAsia="Times New Roman" w:cs="Times New Roman"/>
          <w:color w:val="000000" w:themeColor="text1"/>
          <w:u w:val="none"/>
        </w:rPr>
        <w:t xml:space="preserve">nuclear in particular, </w:t>
      </w:r>
      <w:r w:rsidR="00E83D41" w:rsidRPr="2DA30657">
        <w:rPr>
          <w:rStyle w:val="Hyperlink"/>
          <w:rFonts w:eastAsia="Times New Roman" w:cs="Times New Roman"/>
          <w:color w:val="000000" w:themeColor="text1"/>
          <w:u w:val="none"/>
        </w:rPr>
        <w:t>are</w:t>
      </w:r>
      <w:proofErr w:type="gramEnd"/>
      <w:r w:rsidR="00E83D41" w:rsidRPr="2DA30657">
        <w:rPr>
          <w:rStyle w:val="Hyperlink"/>
          <w:rFonts w:eastAsia="Times New Roman" w:cs="Times New Roman"/>
          <w:color w:val="000000" w:themeColor="text1"/>
          <w:u w:val="none"/>
        </w:rPr>
        <w:t xml:space="preserve"> a high priority for state leaders.</w:t>
      </w:r>
    </w:p>
    <w:p w14:paraId="65BD1976" w14:textId="6FB5DA47" w:rsidR="00036CBC" w:rsidRDefault="2DA30657"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There are various</w:t>
      </w:r>
      <w:r w:rsidR="007D698D" w:rsidRPr="2DA30657">
        <w:rPr>
          <w:rStyle w:val="Hyperlink"/>
          <w:rFonts w:eastAsia="Times New Roman" w:cs="Times New Roman"/>
          <w:color w:val="000000" w:themeColor="text1"/>
          <w:u w:val="none"/>
        </w:rPr>
        <w:t xml:space="preserve"> ways to benchmark </w:t>
      </w:r>
      <w:r w:rsidR="006775B8" w:rsidRPr="2DA30657">
        <w:rPr>
          <w:rStyle w:val="Hyperlink"/>
          <w:rFonts w:eastAsia="Times New Roman" w:cs="Times New Roman"/>
          <w:color w:val="000000" w:themeColor="text1"/>
          <w:u w:val="none"/>
        </w:rPr>
        <w:t xml:space="preserve">seasonal average generation </w:t>
      </w:r>
      <w:proofErr w:type="gramStart"/>
      <w:r w:rsidR="006775B8" w:rsidRPr="2DA30657">
        <w:rPr>
          <w:rStyle w:val="Hyperlink"/>
          <w:rFonts w:eastAsia="Times New Roman" w:cs="Times New Roman"/>
          <w:color w:val="000000" w:themeColor="text1"/>
          <w:u w:val="none"/>
        </w:rPr>
        <w:t>capability</w:t>
      </w:r>
      <w:proofErr w:type="gramEnd"/>
      <w:r w:rsidR="002C7E44" w:rsidRPr="2DA30657">
        <w:rPr>
          <w:rStyle w:val="Hyperlink"/>
          <w:rFonts w:eastAsia="Times New Roman" w:cs="Times New Roman"/>
          <w:color w:val="000000" w:themeColor="text1"/>
          <w:u w:val="none"/>
        </w:rPr>
        <w:t xml:space="preserve"> but any benchmark chosen should </w:t>
      </w:r>
      <w:r w:rsidR="00631CD6" w:rsidRPr="2DA30657">
        <w:rPr>
          <w:rStyle w:val="Hyperlink"/>
          <w:rFonts w:eastAsia="Times New Roman" w:cs="Times New Roman"/>
          <w:color w:val="000000" w:themeColor="text1"/>
          <w:u w:val="none"/>
        </w:rPr>
        <w:t xml:space="preserve">incorporate </w:t>
      </w:r>
      <w:r w:rsidR="005A360A" w:rsidRPr="2DA30657">
        <w:rPr>
          <w:rStyle w:val="Hyperlink"/>
          <w:rFonts w:eastAsia="Times New Roman" w:cs="Times New Roman"/>
          <w:color w:val="000000" w:themeColor="text1"/>
          <w:u w:val="none"/>
        </w:rPr>
        <w:t xml:space="preserve">reasonable run expectations </w:t>
      </w:r>
      <w:r w:rsidR="00882F55" w:rsidRPr="2DA30657">
        <w:rPr>
          <w:rStyle w:val="Hyperlink"/>
          <w:rFonts w:eastAsia="Times New Roman" w:cs="Times New Roman"/>
          <w:color w:val="000000" w:themeColor="text1"/>
          <w:u w:val="none"/>
        </w:rPr>
        <w:t>based on temperature variations.</w:t>
      </w:r>
    </w:p>
    <w:p w14:paraId="022BC024" w14:textId="40D4F537" w:rsidR="004A3ABD" w:rsidRDefault="004A3ABD"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Clarification on some of the benchmarking is needed, particularly whether </w:t>
      </w:r>
      <w:r w:rsidR="00205D44" w:rsidRPr="2DA30657">
        <w:rPr>
          <w:rStyle w:val="Hyperlink"/>
          <w:rFonts w:eastAsia="Times New Roman" w:cs="Times New Roman"/>
          <w:color w:val="000000" w:themeColor="text1"/>
          <w:u w:val="none"/>
        </w:rPr>
        <w:t xml:space="preserve">ramping is included or excluded from baseline, and whichever interpretation is used should be applicable to </w:t>
      </w:r>
      <w:r w:rsidR="00832888" w:rsidRPr="2DA30657">
        <w:rPr>
          <w:rStyle w:val="Hyperlink"/>
          <w:rFonts w:eastAsia="Times New Roman" w:cs="Times New Roman"/>
          <w:color w:val="000000" w:themeColor="text1"/>
          <w:u w:val="none"/>
        </w:rPr>
        <w:t xml:space="preserve">all resources to avoid discriminatory </w:t>
      </w:r>
      <w:r w:rsidR="009864A3" w:rsidRPr="2DA30657">
        <w:rPr>
          <w:rStyle w:val="Hyperlink"/>
          <w:rFonts w:eastAsia="Times New Roman" w:cs="Times New Roman"/>
          <w:color w:val="000000" w:themeColor="text1"/>
          <w:u w:val="none"/>
        </w:rPr>
        <w:t>practices.</w:t>
      </w:r>
    </w:p>
    <w:p w14:paraId="5C9C67F5" w14:textId="576E2050" w:rsidR="003C7733" w:rsidRDefault="003C7733"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TCPA recommends reviewing </w:t>
      </w:r>
      <w:r w:rsidR="00CA208D" w:rsidRPr="2DA30657">
        <w:rPr>
          <w:rStyle w:val="Hyperlink"/>
          <w:rFonts w:eastAsia="Times New Roman" w:cs="Times New Roman"/>
          <w:color w:val="000000" w:themeColor="text1"/>
          <w:u w:val="none"/>
        </w:rPr>
        <w:t xml:space="preserve">Staff analysis done during the design of a </w:t>
      </w:r>
      <w:proofErr w:type="gramStart"/>
      <w:r w:rsidR="00CA208D" w:rsidRPr="2DA30657">
        <w:rPr>
          <w:rStyle w:val="Hyperlink"/>
          <w:rFonts w:eastAsia="Times New Roman" w:cs="Times New Roman"/>
          <w:color w:val="000000" w:themeColor="text1"/>
          <w:u w:val="none"/>
        </w:rPr>
        <w:t>statutorily-compliant</w:t>
      </w:r>
      <w:proofErr w:type="gramEnd"/>
      <w:r w:rsidR="00CA208D" w:rsidRPr="2DA30657">
        <w:rPr>
          <w:rStyle w:val="Hyperlink"/>
          <w:rFonts w:eastAsia="Times New Roman" w:cs="Times New Roman"/>
          <w:color w:val="000000" w:themeColor="text1"/>
          <w:u w:val="none"/>
        </w:rPr>
        <w:t xml:space="preserve"> PCM </w:t>
      </w:r>
      <w:r w:rsidR="00AE0047" w:rsidRPr="2DA30657">
        <w:rPr>
          <w:rStyle w:val="Hyperlink"/>
          <w:rFonts w:eastAsia="Times New Roman" w:cs="Times New Roman"/>
          <w:color w:val="000000" w:themeColor="text1"/>
          <w:u w:val="none"/>
        </w:rPr>
        <w:t xml:space="preserve">which </w:t>
      </w:r>
      <w:r w:rsidR="001858AE" w:rsidRPr="2DA30657">
        <w:rPr>
          <w:rStyle w:val="Hyperlink"/>
          <w:rFonts w:eastAsia="Times New Roman" w:cs="Times New Roman"/>
          <w:color w:val="000000" w:themeColor="text1"/>
          <w:u w:val="none"/>
        </w:rPr>
        <w:t xml:space="preserve">defined </w:t>
      </w:r>
      <w:r w:rsidR="00E87271" w:rsidRPr="2DA30657">
        <w:rPr>
          <w:rStyle w:val="Hyperlink"/>
          <w:rFonts w:eastAsia="Times New Roman" w:cs="Times New Roman"/>
          <w:color w:val="000000" w:themeColor="text1"/>
          <w:u w:val="none"/>
        </w:rPr>
        <w:t xml:space="preserve">high risk hours as well as the requirements in run-time of DRRS as instructive </w:t>
      </w:r>
      <w:r w:rsidR="00EC7B41" w:rsidRPr="2DA30657">
        <w:rPr>
          <w:rStyle w:val="Hyperlink"/>
          <w:rFonts w:eastAsia="Times New Roman" w:cs="Times New Roman"/>
          <w:color w:val="000000" w:themeColor="text1"/>
          <w:u w:val="none"/>
        </w:rPr>
        <w:t xml:space="preserve">toward determining </w:t>
      </w:r>
      <w:r w:rsidR="2DA30657" w:rsidRPr="2DA30657">
        <w:rPr>
          <w:rStyle w:val="Hyperlink"/>
          <w:rFonts w:eastAsia="Times New Roman" w:cs="Times New Roman"/>
          <w:color w:val="000000" w:themeColor="text1"/>
          <w:u w:val="none"/>
        </w:rPr>
        <w:t xml:space="preserve">(but not directly determinative of) </w:t>
      </w:r>
      <w:r w:rsidR="00EC7B41" w:rsidRPr="2DA30657">
        <w:rPr>
          <w:rStyle w:val="Hyperlink"/>
          <w:rFonts w:eastAsia="Times New Roman" w:cs="Times New Roman"/>
          <w:color w:val="000000" w:themeColor="text1"/>
          <w:u w:val="none"/>
        </w:rPr>
        <w:t>the number of hou</w:t>
      </w:r>
      <w:r w:rsidR="00675A45" w:rsidRPr="2DA30657">
        <w:rPr>
          <w:rStyle w:val="Hyperlink"/>
          <w:rFonts w:eastAsia="Times New Roman" w:cs="Times New Roman"/>
          <w:color w:val="000000" w:themeColor="text1"/>
          <w:u w:val="none"/>
        </w:rPr>
        <w:t>rs to be evaluated in each season</w:t>
      </w:r>
      <w:r w:rsidR="2DA30657" w:rsidRPr="2DA30657">
        <w:rPr>
          <w:rStyle w:val="Hyperlink"/>
          <w:rFonts w:eastAsia="Times New Roman" w:cs="Times New Roman"/>
          <w:color w:val="000000" w:themeColor="text1"/>
          <w:u w:val="none"/>
        </w:rPr>
        <w:t xml:space="preserve"> (such as measuring in blocks of 4 or more hours).</w:t>
      </w:r>
    </w:p>
    <w:p w14:paraId="09BEFE28" w14:textId="670C5295" w:rsidR="00FE6F7C" w:rsidRDefault="00FE6F7C"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Resources </w:t>
      </w:r>
      <w:r w:rsidR="004433F6" w:rsidRPr="2DA30657">
        <w:rPr>
          <w:rStyle w:val="Hyperlink"/>
          <w:rFonts w:eastAsia="Times New Roman" w:cs="Times New Roman"/>
          <w:color w:val="000000" w:themeColor="text1"/>
          <w:u w:val="none"/>
        </w:rPr>
        <w:t xml:space="preserve">that show a status other than “OUT” </w:t>
      </w:r>
      <w:r w:rsidR="2DA30657" w:rsidRPr="2DA30657">
        <w:rPr>
          <w:rStyle w:val="Hyperlink"/>
          <w:rFonts w:eastAsia="Times New Roman" w:cs="Times New Roman"/>
          <w:color w:val="000000" w:themeColor="text1"/>
          <w:u w:val="none"/>
        </w:rPr>
        <w:t xml:space="preserve">(and resources on planned or maintenance outage that are statutorily exempted) </w:t>
      </w:r>
      <w:r w:rsidR="00195EAC" w:rsidRPr="2DA30657">
        <w:rPr>
          <w:rStyle w:val="Hyperlink"/>
          <w:rFonts w:eastAsia="Times New Roman" w:cs="Times New Roman"/>
          <w:color w:val="000000" w:themeColor="text1"/>
          <w:u w:val="none"/>
        </w:rPr>
        <w:t xml:space="preserve">should be used to evaluate resource availability to avoid the rule </w:t>
      </w:r>
      <w:r w:rsidR="00F63797" w:rsidRPr="2DA30657">
        <w:rPr>
          <w:rStyle w:val="Hyperlink"/>
          <w:rFonts w:eastAsia="Times New Roman" w:cs="Times New Roman"/>
          <w:color w:val="000000" w:themeColor="text1"/>
          <w:u w:val="none"/>
        </w:rPr>
        <w:t xml:space="preserve">from becoming stale merely because resource codes have been changed </w:t>
      </w:r>
      <w:r w:rsidR="0094068B" w:rsidRPr="2DA30657">
        <w:rPr>
          <w:rStyle w:val="Hyperlink"/>
          <w:rFonts w:eastAsia="Times New Roman" w:cs="Times New Roman"/>
          <w:color w:val="000000" w:themeColor="text1"/>
          <w:u w:val="none"/>
        </w:rPr>
        <w:t xml:space="preserve">over time. </w:t>
      </w:r>
    </w:p>
    <w:p w14:paraId="36076948" w14:textId="5C00EF01" w:rsidR="00BD0A6E" w:rsidRDefault="00BD0A6E"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Non-performance penalties already exist for resources that </w:t>
      </w:r>
      <w:proofErr w:type="gramStart"/>
      <w:r w:rsidRPr="2DA30657">
        <w:rPr>
          <w:rStyle w:val="Hyperlink"/>
          <w:rFonts w:eastAsia="Times New Roman" w:cs="Times New Roman"/>
          <w:color w:val="000000" w:themeColor="text1"/>
          <w:u w:val="none"/>
        </w:rPr>
        <w:t>commit</w:t>
      </w:r>
      <w:proofErr w:type="gramEnd"/>
      <w:r w:rsidRPr="2DA30657">
        <w:rPr>
          <w:rStyle w:val="Hyperlink"/>
          <w:rFonts w:eastAsia="Times New Roman" w:cs="Times New Roman"/>
          <w:color w:val="000000" w:themeColor="text1"/>
          <w:u w:val="none"/>
        </w:rPr>
        <w:t xml:space="preserve"> in the DAM or for ancillary or reliability services and should be exempt from firming penalties since these commitments are already financially binding. </w:t>
      </w:r>
    </w:p>
    <w:p w14:paraId="4CD7FFE5" w14:textId="5C6F5A78" w:rsidR="002A587C" w:rsidRDefault="005F3E25"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Statute recognizes </w:t>
      </w:r>
      <w:r w:rsidR="00F733B7" w:rsidRPr="2DA30657">
        <w:rPr>
          <w:rStyle w:val="Hyperlink"/>
          <w:rFonts w:eastAsia="Times New Roman" w:cs="Times New Roman"/>
          <w:color w:val="000000" w:themeColor="text1"/>
          <w:u w:val="none"/>
        </w:rPr>
        <w:t xml:space="preserve">that subjecting DAM-committed resources as well as </w:t>
      </w:r>
      <w:r w:rsidR="2DA30657" w:rsidRPr="2DA30657">
        <w:rPr>
          <w:rStyle w:val="Hyperlink"/>
          <w:rFonts w:eastAsia="Times New Roman" w:cs="Times New Roman"/>
          <w:color w:val="000000" w:themeColor="text1"/>
          <w:u w:val="none"/>
        </w:rPr>
        <w:t xml:space="preserve">ancillary services- </w:t>
      </w:r>
      <w:r w:rsidR="00F733B7" w:rsidRPr="2DA30657">
        <w:rPr>
          <w:rStyle w:val="Hyperlink"/>
          <w:rFonts w:eastAsia="Times New Roman" w:cs="Times New Roman"/>
          <w:color w:val="000000" w:themeColor="text1"/>
          <w:u w:val="none"/>
        </w:rPr>
        <w:t xml:space="preserve">or reliability </w:t>
      </w:r>
      <w:r w:rsidR="2DA30657" w:rsidRPr="2DA30657">
        <w:rPr>
          <w:rStyle w:val="Hyperlink"/>
          <w:rFonts w:eastAsia="Times New Roman" w:cs="Times New Roman"/>
          <w:color w:val="000000" w:themeColor="text1"/>
          <w:u w:val="none"/>
        </w:rPr>
        <w:t xml:space="preserve">services-obligated </w:t>
      </w:r>
      <w:r w:rsidR="00F733B7" w:rsidRPr="2DA30657">
        <w:rPr>
          <w:rStyle w:val="Hyperlink"/>
          <w:rFonts w:eastAsia="Times New Roman" w:cs="Times New Roman"/>
          <w:color w:val="000000" w:themeColor="text1"/>
          <w:u w:val="none"/>
        </w:rPr>
        <w:t>resources to a penalty would be a double penalty that disincentivizes provision of those services</w:t>
      </w:r>
      <w:r w:rsidR="00F92161" w:rsidRPr="2DA30657">
        <w:rPr>
          <w:rStyle w:val="Hyperlink"/>
          <w:rFonts w:eastAsia="Times New Roman" w:cs="Times New Roman"/>
          <w:color w:val="000000" w:themeColor="text1"/>
          <w:u w:val="none"/>
        </w:rPr>
        <w:t xml:space="preserve"> and properly exempts them.</w:t>
      </w:r>
    </w:p>
    <w:p w14:paraId="3FFC596A" w14:textId="0C0075B0" w:rsidR="004B4C6F" w:rsidRDefault="00F92161"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lastRenderedPageBreak/>
        <w:t xml:space="preserve">Planned outages </w:t>
      </w:r>
      <w:r w:rsidR="2DA30657" w:rsidRPr="2DA30657">
        <w:rPr>
          <w:rStyle w:val="Hyperlink"/>
          <w:rFonts w:eastAsia="Times New Roman" w:cs="Times New Roman"/>
          <w:color w:val="000000" w:themeColor="text1"/>
          <w:u w:val="none"/>
        </w:rPr>
        <w:t>and maintenance outages are exempt by statute</w:t>
      </w:r>
      <w:r w:rsidRPr="2DA30657">
        <w:rPr>
          <w:rStyle w:val="Hyperlink"/>
          <w:rFonts w:eastAsia="Times New Roman" w:cs="Times New Roman"/>
          <w:color w:val="000000" w:themeColor="text1"/>
          <w:u w:val="none"/>
        </w:rPr>
        <w:t xml:space="preserve"> but outages moved at ERCOT’s request should also be exempt as they are coordinated with ERCOT and known to ERCOT</w:t>
      </w:r>
      <w:r w:rsidR="004B4C6F" w:rsidRPr="2DA30657">
        <w:rPr>
          <w:rStyle w:val="Hyperlink"/>
          <w:rFonts w:eastAsia="Times New Roman" w:cs="Times New Roman"/>
          <w:color w:val="000000" w:themeColor="text1"/>
          <w:u w:val="none"/>
        </w:rPr>
        <w:t xml:space="preserve"> which accounts for reliability needs in that coordination.</w:t>
      </w:r>
    </w:p>
    <w:p w14:paraId="36F7B6F7" w14:textId="774127E6" w:rsidR="00212CFD" w:rsidRDefault="00143E2A"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Penalties collected from under-performing resources should be used to support over-performing resources</w:t>
      </w:r>
      <w:r w:rsidR="2DA30657" w:rsidRPr="2DA30657">
        <w:rPr>
          <w:rStyle w:val="Hyperlink"/>
          <w:rFonts w:eastAsia="Times New Roman" w:cs="Times New Roman"/>
          <w:color w:val="000000" w:themeColor="text1"/>
          <w:u w:val="none"/>
        </w:rPr>
        <w:t>,</w:t>
      </w:r>
      <w:r w:rsidRPr="2DA30657">
        <w:rPr>
          <w:rStyle w:val="Hyperlink"/>
          <w:rFonts w:eastAsia="Times New Roman" w:cs="Times New Roman"/>
          <w:color w:val="000000" w:themeColor="text1"/>
          <w:u w:val="none"/>
        </w:rPr>
        <w:t xml:space="preserve"> </w:t>
      </w:r>
      <w:r w:rsidR="001D6595" w:rsidRPr="2DA30657">
        <w:rPr>
          <w:rStyle w:val="Hyperlink"/>
          <w:rFonts w:eastAsia="Times New Roman" w:cs="Times New Roman"/>
          <w:color w:val="000000" w:themeColor="text1"/>
          <w:u w:val="none"/>
        </w:rPr>
        <w:t xml:space="preserve">which is consistent with how other markets </w:t>
      </w:r>
      <w:r w:rsidR="00B60140" w:rsidRPr="2DA30657">
        <w:rPr>
          <w:rStyle w:val="Hyperlink"/>
          <w:rFonts w:eastAsia="Times New Roman" w:cs="Times New Roman"/>
          <w:color w:val="000000" w:themeColor="text1"/>
          <w:u w:val="none"/>
        </w:rPr>
        <w:t>also handle performance penalties.</w:t>
      </w:r>
    </w:p>
    <w:p w14:paraId="7443D450" w14:textId="796A737C" w:rsidR="00B06C3A" w:rsidRDefault="00212CFD"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Exemptions </w:t>
      </w:r>
      <w:r w:rsidR="006147C1" w:rsidRPr="2DA30657">
        <w:rPr>
          <w:rStyle w:val="Hyperlink"/>
          <w:rFonts w:eastAsia="Times New Roman" w:cs="Times New Roman"/>
          <w:color w:val="000000" w:themeColor="text1"/>
          <w:u w:val="none"/>
        </w:rPr>
        <w:t xml:space="preserve">from penalty should be included for derates </w:t>
      </w:r>
      <w:r w:rsidR="006F4C63" w:rsidRPr="2DA30657">
        <w:rPr>
          <w:rStyle w:val="Hyperlink"/>
          <w:rFonts w:eastAsia="Times New Roman" w:cs="Times New Roman"/>
          <w:color w:val="000000" w:themeColor="text1"/>
          <w:u w:val="none"/>
        </w:rPr>
        <w:t xml:space="preserve">associated with ambient temperature constraints, transmission constraints, environmental limits, extraordinary water or fuel availability issues, Force Majeure or </w:t>
      </w:r>
      <w:r w:rsidR="002D7F5B" w:rsidRPr="2DA30657">
        <w:rPr>
          <w:rStyle w:val="Hyperlink"/>
          <w:rFonts w:eastAsia="Times New Roman" w:cs="Times New Roman"/>
          <w:color w:val="000000" w:themeColor="text1"/>
          <w:u w:val="none"/>
        </w:rPr>
        <w:t>outside of the resource owner’s control. Similarly</w:t>
      </w:r>
      <w:r w:rsidR="2DA30657" w:rsidRPr="2DA30657">
        <w:rPr>
          <w:rStyle w:val="Hyperlink"/>
          <w:rFonts w:eastAsia="Times New Roman" w:cs="Times New Roman"/>
          <w:color w:val="000000" w:themeColor="text1"/>
          <w:u w:val="none"/>
        </w:rPr>
        <w:t>,</w:t>
      </w:r>
      <w:r w:rsidR="002D7F5B" w:rsidRPr="2DA30657">
        <w:rPr>
          <w:rStyle w:val="Hyperlink"/>
          <w:rFonts w:eastAsia="Times New Roman" w:cs="Times New Roman"/>
          <w:color w:val="000000" w:themeColor="text1"/>
          <w:u w:val="none"/>
        </w:rPr>
        <w:t xml:space="preserve"> </w:t>
      </w:r>
      <w:r w:rsidR="00CA34BA" w:rsidRPr="2DA30657">
        <w:rPr>
          <w:rStyle w:val="Hyperlink"/>
          <w:rFonts w:eastAsia="Times New Roman" w:cs="Times New Roman"/>
          <w:color w:val="000000" w:themeColor="text1"/>
          <w:u w:val="none"/>
        </w:rPr>
        <w:t xml:space="preserve">extraordinary climactic events like </w:t>
      </w:r>
      <w:r w:rsidR="00BD1433" w:rsidRPr="2DA30657">
        <w:rPr>
          <w:rStyle w:val="Hyperlink"/>
          <w:rFonts w:eastAsia="Times New Roman" w:cs="Times New Roman"/>
          <w:color w:val="000000" w:themeColor="text1"/>
          <w:u w:val="none"/>
        </w:rPr>
        <w:t xml:space="preserve">tornadoes, hurricanes or wildfires are outside both generation and transmission owners’ control and should not result in penalties. </w:t>
      </w:r>
    </w:p>
    <w:p w14:paraId="2B88D178" w14:textId="1D366BBD" w:rsidR="007F1698" w:rsidRDefault="00B06C3A"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 xml:space="preserve">SGIAs executed prior to January 1, </w:t>
      </w:r>
      <w:proofErr w:type="gramStart"/>
      <w:r w:rsidRPr="2DA30657">
        <w:rPr>
          <w:rStyle w:val="Hyperlink"/>
          <w:rFonts w:eastAsia="Times New Roman" w:cs="Times New Roman"/>
          <w:color w:val="000000" w:themeColor="text1"/>
          <w:u w:val="none"/>
        </w:rPr>
        <w:t>2027</w:t>
      </w:r>
      <w:proofErr w:type="gramEnd"/>
      <w:r w:rsidRPr="2DA30657">
        <w:rPr>
          <w:rStyle w:val="Hyperlink"/>
          <w:rFonts w:eastAsia="Times New Roman" w:cs="Times New Roman"/>
          <w:color w:val="000000" w:themeColor="text1"/>
          <w:u w:val="none"/>
        </w:rPr>
        <w:t xml:space="preserve"> are exempted from firming requirements and </w:t>
      </w:r>
      <w:r w:rsidR="008B5F2F" w:rsidRPr="2DA30657">
        <w:rPr>
          <w:rStyle w:val="Hyperlink"/>
          <w:rFonts w:eastAsia="Times New Roman" w:cs="Times New Roman"/>
          <w:color w:val="000000" w:themeColor="text1"/>
          <w:u w:val="none"/>
        </w:rPr>
        <w:t>amendments to SGIAs were not considered a new execution when this law was passed</w:t>
      </w:r>
      <w:r w:rsidR="004E0E81" w:rsidRPr="2DA30657">
        <w:rPr>
          <w:rStyle w:val="Hyperlink"/>
          <w:rFonts w:eastAsia="Times New Roman" w:cs="Times New Roman"/>
          <w:color w:val="000000" w:themeColor="text1"/>
          <w:u w:val="none"/>
        </w:rPr>
        <w:t xml:space="preserve"> and should not be a trigger for application of firming requirements or penalties</w:t>
      </w:r>
      <w:r w:rsidR="2DA30657" w:rsidRPr="2DA30657">
        <w:rPr>
          <w:rStyle w:val="Hyperlink"/>
          <w:rFonts w:eastAsia="Times New Roman" w:cs="Times New Roman"/>
          <w:color w:val="000000" w:themeColor="text1"/>
          <w:u w:val="none"/>
        </w:rPr>
        <w:t>, as this could discourage investment in existing resources</w:t>
      </w:r>
      <w:r w:rsidR="004E0E81" w:rsidRPr="2DA30657">
        <w:rPr>
          <w:rStyle w:val="Hyperlink"/>
          <w:rFonts w:eastAsia="Times New Roman" w:cs="Times New Roman"/>
          <w:color w:val="000000" w:themeColor="text1"/>
          <w:u w:val="none"/>
        </w:rPr>
        <w:t xml:space="preserve">. </w:t>
      </w:r>
    </w:p>
    <w:p w14:paraId="202E67B5" w14:textId="1BECE019" w:rsidR="00F92161" w:rsidRPr="002D5DC2" w:rsidRDefault="000C67B8" w:rsidP="00AB5556">
      <w:pPr>
        <w:pStyle w:val="ListParagraph"/>
        <w:numPr>
          <w:ilvl w:val="0"/>
          <w:numId w:val="4"/>
        </w:numPr>
        <w:spacing w:after="0" w:line="240" w:lineRule="auto"/>
        <w:rPr>
          <w:rStyle w:val="Hyperlink"/>
          <w:rFonts w:eastAsia="Times New Roman" w:cs="Times New Roman"/>
          <w:color w:val="000000" w:themeColor="text1"/>
          <w:u w:val="none"/>
        </w:rPr>
      </w:pPr>
      <w:r w:rsidRPr="2DA30657">
        <w:rPr>
          <w:rStyle w:val="Hyperlink"/>
          <w:rFonts w:eastAsia="Times New Roman" w:cs="Times New Roman"/>
          <w:color w:val="000000" w:themeColor="text1"/>
          <w:u w:val="none"/>
        </w:rPr>
        <w:t>Th</w:t>
      </w:r>
      <w:r w:rsidR="006B0D6B" w:rsidRPr="2DA30657">
        <w:rPr>
          <w:rStyle w:val="Hyperlink"/>
          <w:rFonts w:eastAsia="Times New Roman" w:cs="Times New Roman"/>
          <w:color w:val="000000" w:themeColor="text1"/>
          <w:u w:val="none"/>
        </w:rPr>
        <w:t xml:space="preserve">e policy priority </w:t>
      </w:r>
      <w:r w:rsidR="005C3B2B" w:rsidRPr="2DA30657">
        <w:rPr>
          <w:rStyle w:val="Hyperlink"/>
          <w:rFonts w:eastAsia="Times New Roman" w:cs="Times New Roman"/>
          <w:color w:val="000000" w:themeColor="text1"/>
          <w:u w:val="none"/>
        </w:rPr>
        <w:t xml:space="preserve">of the Texas Legislature and state leadership of </w:t>
      </w:r>
      <w:r w:rsidR="00D74203" w:rsidRPr="2DA30657">
        <w:rPr>
          <w:rStyle w:val="Hyperlink"/>
          <w:rFonts w:eastAsia="Times New Roman" w:cs="Times New Roman"/>
          <w:color w:val="000000" w:themeColor="text1"/>
          <w:u w:val="none"/>
        </w:rPr>
        <w:t xml:space="preserve">increasing thermal dispatchable generation in ERCOT has been communicated through the passage of multiple new laws over the past 3 legislative session and that priority should be </w:t>
      </w:r>
      <w:r w:rsidR="000D40CF" w:rsidRPr="2DA30657">
        <w:rPr>
          <w:rStyle w:val="Hyperlink"/>
          <w:rFonts w:eastAsia="Times New Roman" w:cs="Times New Roman"/>
          <w:color w:val="000000" w:themeColor="text1"/>
          <w:u w:val="none"/>
        </w:rPr>
        <w:t xml:space="preserve">considered in crafting this rule </w:t>
      </w:r>
      <w:r w:rsidR="00401EEF" w:rsidRPr="2DA30657">
        <w:rPr>
          <w:rStyle w:val="Hyperlink"/>
          <w:rFonts w:eastAsia="Times New Roman" w:cs="Times New Roman"/>
          <w:color w:val="000000" w:themeColor="text1"/>
          <w:u w:val="none"/>
        </w:rPr>
        <w:t xml:space="preserve">with a “do no harm” approach to </w:t>
      </w:r>
      <w:r w:rsidR="00AE1681" w:rsidRPr="2DA30657">
        <w:rPr>
          <w:rStyle w:val="Hyperlink"/>
          <w:rFonts w:eastAsia="Times New Roman" w:cs="Times New Roman"/>
          <w:color w:val="000000" w:themeColor="text1"/>
          <w:u w:val="none"/>
        </w:rPr>
        <w:t xml:space="preserve">thermal dispatchable resources. </w:t>
      </w:r>
      <w:r w:rsidR="00401EEF" w:rsidRPr="2DA30657">
        <w:rPr>
          <w:rStyle w:val="Hyperlink"/>
          <w:rFonts w:eastAsia="Times New Roman" w:cs="Times New Roman"/>
          <w:color w:val="000000" w:themeColor="text1"/>
          <w:u w:val="none"/>
        </w:rPr>
        <w:t xml:space="preserve"> </w:t>
      </w:r>
      <w:r w:rsidR="00BD1433" w:rsidRPr="2DA30657">
        <w:rPr>
          <w:rStyle w:val="Hyperlink"/>
          <w:rFonts w:eastAsia="Times New Roman" w:cs="Times New Roman"/>
          <w:color w:val="000000" w:themeColor="text1"/>
          <w:u w:val="none"/>
        </w:rPr>
        <w:t xml:space="preserve"> </w:t>
      </w:r>
      <w:r w:rsidR="00F92161" w:rsidRPr="2DA30657">
        <w:rPr>
          <w:rStyle w:val="Hyperlink"/>
          <w:rFonts w:eastAsia="Times New Roman" w:cs="Times New Roman"/>
          <w:color w:val="000000" w:themeColor="text1"/>
          <w:u w:val="none"/>
        </w:rPr>
        <w:t xml:space="preserve"> </w:t>
      </w:r>
    </w:p>
    <w:sectPr w:rsidR="00F92161" w:rsidRPr="002D5DC2" w:rsidSect="0029549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74C39" w14:textId="77777777" w:rsidR="00853044" w:rsidRDefault="00853044" w:rsidP="0042771D">
      <w:pPr>
        <w:spacing w:after="0" w:line="240" w:lineRule="auto"/>
      </w:pPr>
      <w:r>
        <w:separator/>
      </w:r>
    </w:p>
  </w:endnote>
  <w:endnote w:type="continuationSeparator" w:id="0">
    <w:p w14:paraId="4E99737F" w14:textId="77777777" w:rsidR="00853044" w:rsidRDefault="00853044" w:rsidP="0042771D">
      <w:pPr>
        <w:spacing w:after="0" w:line="240" w:lineRule="auto"/>
      </w:pPr>
      <w:r>
        <w:continuationSeparator/>
      </w:r>
    </w:p>
  </w:endnote>
  <w:endnote w:type="continuationNotice" w:id="1">
    <w:p w14:paraId="021BA7A1" w14:textId="77777777" w:rsidR="00853044" w:rsidRDefault="00853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31ED" w14:textId="77777777" w:rsidR="00DE39FD" w:rsidRDefault="00DE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06768"/>
      <w:docPartObj>
        <w:docPartGallery w:val="Page Numbers (Bottom of Page)"/>
        <w:docPartUnique/>
      </w:docPartObj>
    </w:sdtPr>
    <w:sdtEndPr>
      <w:rPr>
        <w:noProof/>
      </w:rPr>
    </w:sdtEndPr>
    <w:sdtContent>
      <w:p w14:paraId="4AEF83AE" w14:textId="3C35C418" w:rsidR="000D4A46" w:rsidRDefault="000D4A46">
        <w:pPr>
          <w:pStyle w:val="Footer"/>
          <w:jc w:val="right"/>
        </w:pPr>
        <w:r>
          <w:fldChar w:fldCharType="begin"/>
        </w:r>
        <w:r>
          <w:instrText xml:space="preserve"> PAGE   \* MERGEFORMAT </w:instrText>
        </w:r>
        <w:r>
          <w:fldChar w:fldCharType="separate"/>
        </w:r>
        <w:r w:rsidR="00560269">
          <w:rPr>
            <w:noProof/>
          </w:rPr>
          <w:t>1</w:t>
        </w:r>
        <w:r>
          <w:rPr>
            <w:noProof/>
          </w:rPr>
          <w:fldChar w:fldCharType="end"/>
        </w:r>
      </w:p>
    </w:sdtContent>
  </w:sdt>
  <w:p w14:paraId="619B8001" w14:textId="77777777" w:rsidR="000D4A46" w:rsidRDefault="000D4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77A0" w14:textId="77777777" w:rsidR="00DE39FD" w:rsidRDefault="00DE3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E56E" w14:textId="77777777" w:rsidR="00853044" w:rsidRDefault="00853044" w:rsidP="0042771D">
      <w:pPr>
        <w:spacing w:after="0" w:line="240" w:lineRule="auto"/>
      </w:pPr>
      <w:r>
        <w:separator/>
      </w:r>
    </w:p>
  </w:footnote>
  <w:footnote w:type="continuationSeparator" w:id="0">
    <w:p w14:paraId="7E85190C" w14:textId="77777777" w:rsidR="00853044" w:rsidRDefault="00853044" w:rsidP="0042771D">
      <w:pPr>
        <w:spacing w:after="0" w:line="240" w:lineRule="auto"/>
      </w:pPr>
      <w:r>
        <w:continuationSeparator/>
      </w:r>
    </w:p>
  </w:footnote>
  <w:footnote w:type="continuationNotice" w:id="1">
    <w:p w14:paraId="6141D455" w14:textId="77777777" w:rsidR="00853044" w:rsidRDefault="00853044">
      <w:pPr>
        <w:spacing w:after="0" w:line="240" w:lineRule="auto"/>
      </w:pPr>
    </w:p>
  </w:footnote>
  <w:footnote w:id="2">
    <w:p w14:paraId="24419C14" w14:textId="4E9F5682" w:rsidR="006F7397" w:rsidRDefault="006F7397">
      <w:pPr>
        <w:pStyle w:val="FootnoteText"/>
      </w:pPr>
      <w:r>
        <w:rPr>
          <w:rStyle w:val="FootnoteReference"/>
        </w:rPr>
        <w:footnoteRef/>
      </w:r>
      <w:r>
        <w:t xml:space="preserve"> </w:t>
      </w:r>
      <w:r w:rsidR="004D4C96">
        <w:t>Public Utilities Regulatory Act (PURA) §39.1592(a)</w:t>
      </w:r>
    </w:p>
  </w:footnote>
  <w:footnote w:id="3">
    <w:p w14:paraId="549EDB8A" w14:textId="0DCFD518" w:rsidR="00636F10" w:rsidRDefault="00636F10">
      <w:pPr>
        <w:pStyle w:val="FootnoteText"/>
      </w:pPr>
      <w:r>
        <w:rPr>
          <w:rStyle w:val="FootnoteReference"/>
        </w:rPr>
        <w:footnoteRef/>
      </w:r>
      <w:r>
        <w:t xml:space="preserve"> </w:t>
      </w:r>
      <w:r w:rsidR="002E70AD">
        <w:t>PURA §391592(d)(2)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C9F6" w14:textId="77777777" w:rsidR="00DE39FD" w:rsidRDefault="00DE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4E26" w14:textId="22249B4C" w:rsidR="00DE39FD" w:rsidRDefault="00DE3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F959" w14:textId="77777777" w:rsidR="00DE39FD" w:rsidRDefault="00DE39F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886"/>
    <w:multiLevelType w:val="hybridMultilevel"/>
    <w:tmpl w:val="5CFC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D52CD"/>
    <w:multiLevelType w:val="hybridMultilevel"/>
    <w:tmpl w:val="75526162"/>
    <w:lvl w:ilvl="0" w:tplc="DCA68E00">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F941D4E">
      <w:start w:val="1"/>
      <w:numFmt w:val="lowerLetter"/>
      <w:lvlText w:val="%2."/>
      <w:lvlJc w:val="left"/>
      <w:pPr>
        <w:ind w:left="1890" w:hanging="360"/>
      </w:pPr>
      <w:rPr>
        <w:rFonts w:ascii="Times New Roman" w:eastAsia="Times New Roman" w:hAnsi="Times New Roman" w:cs="Times New Roman" w:hint="default"/>
        <w:b w:val="0"/>
        <w:bCs w:val="0"/>
        <w:i w:val="0"/>
        <w:iCs w:val="0"/>
        <w:spacing w:val="-1"/>
        <w:w w:val="100"/>
        <w:sz w:val="24"/>
        <w:szCs w:val="24"/>
      </w:rPr>
    </w:lvl>
    <w:lvl w:ilvl="2" w:tplc="B218E70C">
      <w:start w:val="1"/>
      <w:numFmt w:val="lowerRoman"/>
      <w:lvlText w:val="%3."/>
      <w:lvlJc w:val="left"/>
      <w:pPr>
        <w:ind w:left="2700"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3C9A50B4">
      <w:numFmt w:val="bullet"/>
      <w:lvlText w:val="•"/>
      <w:lvlJc w:val="left"/>
      <w:pPr>
        <w:ind w:left="3577" w:hanging="488"/>
      </w:pPr>
      <w:rPr>
        <w:rFonts w:hint="default"/>
        <w:lang w:val="en-US" w:eastAsia="en-US" w:bidi="ar-SA"/>
      </w:rPr>
    </w:lvl>
    <w:lvl w:ilvl="4" w:tplc="6C78D396">
      <w:numFmt w:val="bullet"/>
      <w:lvlText w:val="•"/>
      <w:lvlJc w:val="left"/>
      <w:pPr>
        <w:ind w:left="4455" w:hanging="488"/>
      </w:pPr>
      <w:rPr>
        <w:rFonts w:hint="default"/>
        <w:lang w:val="en-US" w:eastAsia="en-US" w:bidi="ar-SA"/>
      </w:rPr>
    </w:lvl>
    <w:lvl w:ilvl="5" w:tplc="9BEC277C">
      <w:numFmt w:val="bullet"/>
      <w:lvlText w:val="•"/>
      <w:lvlJc w:val="left"/>
      <w:pPr>
        <w:ind w:left="5332" w:hanging="488"/>
      </w:pPr>
      <w:rPr>
        <w:rFonts w:hint="default"/>
        <w:lang w:val="en-US" w:eastAsia="en-US" w:bidi="ar-SA"/>
      </w:rPr>
    </w:lvl>
    <w:lvl w:ilvl="6" w:tplc="13F4DD6A">
      <w:numFmt w:val="bullet"/>
      <w:lvlText w:val="•"/>
      <w:lvlJc w:val="left"/>
      <w:pPr>
        <w:ind w:left="6210" w:hanging="488"/>
      </w:pPr>
      <w:rPr>
        <w:rFonts w:hint="default"/>
        <w:lang w:val="en-US" w:eastAsia="en-US" w:bidi="ar-SA"/>
      </w:rPr>
    </w:lvl>
    <w:lvl w:ilvl="7" w:tplc="D428BFD8">
      <w:numFmt w:val="bullet"/>
      <w:lvlText w:val="•"/>
      <w:lvlJc w:val="left"/>
      <w:pPr>
        <w:ind w:left="7087" w:hanging="488"/>
      </w:pPr>
      <w:rPr>
        <w:rFonts w:hint="default"/>
        <w:lang w:val="en-US" w:eastAsia="en-US" w:bidi="ar-SA"/>
      </w:rPr>
    </w:lvl>
    <w:lvl w:ilvl="8" w:tplc="6330A2E2">
      <w:numFmt w:val="bullet"/>
      <w:lvlText w:val="•"/>
      <w:lvlJc w:val="left"/>
      <w:pPr>
        <w:ind w:left="7965" w:hanging="488"/>
      </w:pPr>
      <w:rPr>
        <w:rFonts w:hint="default"/>
        <w:lang w:val="en-US" w:eastAsia="en-US" w:bidi="ar-SA"/>
      </w:rPr>
    </w:lvl>
  </w:abstractNum>
  <w:abstractNum w:abstractNumId="2" w15:restartNumberingAfterBreak="0">
    <w:nsid w:val="31BC2F63"/>
    <w:multiLevelType w:val="hybridMultilevel"/>
    <w:tmpl w:val="2904F07C"/>
    <w:lvl w:ilvl="0" w:tplc="8B36222C">
      <w:start w:val="1"/>
      <w:numFmt w:val="bullet"/>
      <w:lvlText w:val=""/>
      <w:lvlJc w:val="left"/>
      <w:pPr>
        <w:ind w:left="360" w:hanging="360"/>
      </w:pPr>
      <w:rPr>
        <w:rFonts w:ascii="Symbol" w:hAnsi="Symbol" w:hint="default"/>
      </w:rPr>
    </w:lvl>
    <w:lvl w:ilvl="1" w:tplc="40E036EA" w:tentative="1">
      <w:start w:val="1"/>
      <w:numFmt w:val="bullet"/>
      <w:lvlText w:val="o"/>
      <w:lvlJc w:val="left"/>
      <w:pPr>
        <w:ind w:left="1080" w:hanging="360"/>
      </w:pPr>
      <w:rPr>
        <w:rFonts w:ascii="Courier New" w:hAnsi="Courier New" w:hint="default"/>
      </w:rPr>
    </w:lvl>
    <w:lvl w:ilvl="2" w:tplc="388A7530" w:tentative="1">
      <w:start w:val="1"/>
      <w:numFmt w:val="bullet"/>
      <w:lvlText w:val=""/>
      <w:lvlJc w:val="left"/>
      <w:pPr>
        <w:ind w:left="1800" w:hanging="360"/>
      </w:pPr>
      <w:rPr>
        <w:rFonts w:ascii="Wingdings" w:hAnsi="Wingdings" w:hint="default"/>
      </w:rPr>
    </w:lvl>
    <w:lvl w:ilvl="3" w:tplc="4C780F98" w:tentative="1">
      <w:start w:val="1"/>
      <w:numFmt w:val="bullet"/>
      <w:lvlText w:val=""/>
      <w:lvlJc w:val="left"/>
      <w:pPr>
        <w:ind w:left="2520" w:hanging="360"/>
      </w:pPr>
      <w:rPr>
        <w:rFonts w:ascii="Symbol" w:hAnsi="Symbol" w:hint="default"/>
      </w:rPr>
    </w:lvl>
    <w:lvl w:ilvl="4" w:tplc="9A760866" w:tentative="1">
      <w:start w:val="1"/>
      <w:numFmt w:val="bullet"/>
      <w:lvlText w:val="o"/>
      <w:lvlJc w:val="left"/>
      <w:pPr>
        <w:ind w:left="3240" w:hanging="360"/>
      </w:pPr>
      <w:rPr>
        <w:rFonts w:ascii="Courier New" w:hAnsi="Courier New" w:hint="default"/>
      </w:rPr>
    </w:lvl>
    <w:lvl w:ilvl="5" w:tplc="A8E86326" w:tentative="1">
      <w:start w:val="1"/>
      <w:numFmt w:val="bullet"/>
      <w:lvlText w:val=""/>
      <w:lvlJc w:val="left"/>
      <w:pPr>
        <w:ind w:left="3960" w:hanging="360"/>
      </w:pPr>
      <w:rPr>
        <w:rFonts w:ascii="Wingdings" w:hAnsi="Wingdings" w:hint="default"/>
      </w:rPr>
    </w:lvl>
    <w:lvl w:ilvl="6" w:tplc="0BBEE1FE" w:tentative="1">
      <w:start w:val="1"/>
      <w:numFmt w:val="bullet"/>
      <w:lvlText w:val=""/>
      <w:lvlJc w:val="left"/>
      <w:pPr>
        <w:ind w:left="4680" w:hanging="360"/>
      </w:pPr>
      <w:rPr>
        <w:rFonts w:ascii="Symbol" w:hAnsi="Symbol" w:hint="default"/>
      </w:rPr>
    </w:lvl>
    <w:lvl w:ilvl="7" w:tplc="90101744" w:tentative="1">
      <w:start w:val="1"/>
      <w:numFmt w:val="bullet"/>
      <w:lvlText w:val="o"/>
      <w:lvlJc w:val="left"/>
      <w:pPr>
        <w:ind w:left="5400" w:hanging="360"/>
      </w:pPr>
      <w:rPr>
        <w:rFonts w:ascii="Courier New" w:hAnsi="Courier New" w:hint="default"/>
      </w:rPr>
    </w:lvl>
    <w:lvl w:ilvl="8" w:tplc="EB3043E2" w:tentative="1">
      <w:start w:val="1"/>
      <w:numFmt w:val="bullet"/>
      <w:lvlText w:val=""/>
      <w:lvlJc w:val="left"/>
      <w:pPr>
        <w:ind w:left="6120" w:hanging="360"/>
      </w:pPr>
      <w:rPr>
        <w:rFonts w:ascii="Wingdings" w:hAnsi="Wingdings" w:hint="default"/>
      </w:rPr>
    </w:lvl>
  </w:abstractNum>
  <w:abstractNum w:abstractNumId="3" w15:restartNumberingAfterBreak="0">
    <w:nsid w:val="70774D4D"/>
    <w:multiLevelType w:val="hybridMultilevel"/>
    <w:tmpl w:val="F04A0446"/>
    <w:lvl w:ilvl="0" w:tplc="73367C44">
      <w:start w:val="1"/>
      <w:numFmt w:val="decimal"/>
      <w:lvlText w:val="%1)"/>
      <w:lvlJc w:val="left"/>
      <w:pPr>
        <w:ind w:left="1080" w:hanging="360"/>
      </w:pPr>
      <w:rPr>
        <w:rFonts w:ascii="Times New Roman" w:eastAsia="Times New Roman" w:hAnsi="Times New Roman" w:cs="Times New Roman" w:hint="default"/>
        <w:b w:val="0"/>
        <w:bCs w:val="0"/>
        <w:i/>
        <w:iCs/>
        <w:spacing w:val="0"/>
        <w:w w:val="100"/>
        <w:sz w:val="24"/>
        <w:szCs w:val="24"/>
        <w:lang w:val="en-US" w:eastAsia="en-US" w:bidi="ar-SA"/>
      </w:rPr>
    </w:lvl>
    <w:lvl w:ilvl="1" w:tplc="242C16C2">
      <w:start w:val="1"/>
      <w:numFmt w:val="lowerLetter"/>
      <w:lvlText w:val="%2."/>
      <w:lvlJc w:val="left"/>
      <w:pPr>
        <w:ind w:left="18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268F0E2">
      <w:start w:val="1"/>
      <w:numFmt w:val="lowerRoman"/>
      <w:lvlText w:val="%3."/>
      <w:lvlJc w:val="left"/>
      <w:pPr>
        <w:ind w:left="2700"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B9DEEED6">
      <w:numFmt w:val="bullet"/>
      <w:lvlText w:val="•"/>
      <w:lvlJc w:val="left"/>
      <w:pPr>
        <w:ind w:left="3577" w:hanging="488"/>
      </w:pPr>
      <w:rPr>
        <w:rFonts w:hint="default"/>
        <w:lang w:val="en-US" w:eastAsia="en-US" w:bidi="ar-SA"/>
      </w:rPr>
    </w:lvl>
    <w:lvl w:ilvl="4" w:tplc="4C026BBE">
      <w:numFmt w:val="bullet"/>
      <w:lvlText w:val="•"/>
      <w:lvlJc w:val="left"/>
      <w:pPr>
        <w:ind w:left="4455" w:hanging="488"/>
      </w:pPr>
      <w:rPr>
        <w:rFonts w:hint="default"/>
        <w:lang w:val="en-US" w:eastAsia="en-US" w:bidi="ar-SA"/>
      </w:rPr>
    </w:lvl>
    <w:lvl w:ilvl="5" w:tplc="B9F47E62">
      <w:numFmt w:val="bullet"/>
      <w:lvlText w:val="•"/>
      <w:lvlJc w:val="left"/>
      <w:pPr>
        <w:ind w:left="5332" w:hanging="488"/>
      </w:pPr>
      <w:rPr>
        <w:rFonts w:hint="default"/>
        <w:lang w:val="en-US" w:eastAsia="en-US" w:bidi="ar-SA"/>
      </w:rPr>
    </w:lvl>
    <w:lvl w:ilvl="6" w:tplc="F5C05180">
      <w:numFmt w:val="bullet"/>
      <w:lvlText w:val="•"/>
      <w:lvlJc w:val="left"/>
      <w:pPr>
        <w:ind w:left="6210" w:hanging="488"/>
      </w:pPr>
      <w:rPr>
        <w:rFonts w:hint="default"/>
        <w:lang w:val="en-US" w:eastAsia="en-US" w:bidi="ar-SA"/>
      </w:rPr>
    </w:lvl>
    <w:lvl w:ilvl="7" w:tplc="FFA0400C">
      <w:numFmt w:val="bullet"/>
      <w:lvlText w:val="•"/>
      <w:lvlJc w:val="left"/>
      <w:pPr>
        <w:ind w:left="7087" w:hanging="488"/>
      </w:pPr>
      <w:rPr>
        <w:rFonts w:hint="default"/>
        <w:lang w:val="en-US" w:eastAsia="en-US" w:bidi="ar-SA"/>
      </w:rPr>
    </w:lvl>
    <w:lvl w:ilvl="8" w:tplc="81DC51DE">
      <w:numFmt w:val="bullet"/>
      <w:lvlText w:val="•"/>
      <w:lvlJc w:val="left"/>
      <w:pPr>
        <w:ind w:left="7965" w:hanging="488"/>
      </w:pPr>
      <w:rPr>
        <w:rFonts w:hint="default"/>
        <w:lang w:val="en-US" w:eastAsia="en-US" w:bidi="ar-SA"/>
      </w:rPr>
    </w:lvl>
  </w:abstractNum>
  <w:num w:numId="1" w16cid:durableId="960459366">
    <w:abstractNumId w:val="0"/>
  </w:num>
  <w:num w:numId="2" w16cid:durableId="530414702">
    <w:abstractNumId w:val="3"/>
  </w:num>
  <w:num w:numId="3" w16cid:durableId="1095633800">
    <w:abstractNumId w:val="1"/>
  </w:num>
  <w:num w:numId="4" w16cid:durableId="14684689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2C"/>
    <w:rsid w:val="00000C99"/>
    <w:rsid w:val="00000D3F"/>
    <w:rsid w:val="00003067"/>
    <w:rsid w:val="00003B10"/>
    <w:rsid w:val="00004147"/>
    <w:rsid w:val="00004475"/>
    <w:rsid w:val="00004A6A"/>
    <w:rsid w:val="00005293"/>
    <w:rsid w:val="00005494"/>
    <w:rsid w:val="0000686E"/>
    <w:rsid w:val="0000763D"/>
    <w:rsid w:val="00010787"/>
    <w:rsid w:val="000124C0"/>
    <w:rsid w:val="0001267D"/>
    <w:rsid w:val="00012E0F"/>
    <w:rsid w:val="00013207"/>
    <w:rsid w:val="000134D5"/>
    <w:rsid w:val="00014A00"/>
    <w:rsid w:val="00014D09"/>
    <w:rsid w:val="00014FCD"/>
    <w:rsid w:val="00015B04"/>
    <w:rsid w:val="00016180"/>
    <w:rsid w:val="00016D89"/>
    <w:rsid w:val="00017CCF"/>
    <w:rsid w:val="00020671"/>
    <w:rsid w:val="000215B9"/>
    <w:rsid w:val="000215FE"/>
    <w:rsid w:val="0002355B"/>
    <w:rsid w:val="0002383A"/>
    <w:rsid w:val="00023F03"/>
    <w:rsid w:val="00024920"/>
    <w:rsid w:val="0002528C"/>
    <w:rsid w:val="000253AC"/>
    <w:rsid w:val="000256EA"/>
    <w:rsid w:val="00025770"/>
    <w:rsid w:val="00025E3B"/>
    <w:rsid w:val="00026AE5"/>
    <w:rsid w:val="00026AEF"/>
    <w:rsid w:val="00026CB8"/>
    <w:rsid w:val="000277FC"/>
    <w:rsid w:val="0002796B"/>
    <w:rsid w:val="00027E68"/>
    <w:rsid w:val="0002DDC9"/>
    <w:rsid w:val="000309B0"/>
    <w:rsid w:val="00030C9F"/>
    <w:rsid w:val="00030E73"/>
    <w:rsid w:val="00031E90"/>
    <w:rsid w:val="000326E3"/>
    <w:rsid w:val="00032D54"/>
    <w:rsid w:val="00033000"/>
    <w:rsid w:val="00034A7D"/>
    <w:rsid w:val="00034AEE"/>
    <w:rsid w:val="000352C1"/>
    <w:rsid w:val="000352C9"/>
    <w:rsid w:val="00035DEE"/>
    <w:rsid w:val="00036011"/>
    <w:rsid w:val="000361EB"/>
    <w:rsid w:val="00036BDC"/>
    <w:rsid w:val="00036CBC"/>
    <w:rsid w:val="00037378"/>
    <w:rsid w:val="000401CA"/>
    <w:rsid w:val="0004174E"/>
    <w:rsid w:val="000428B2"/>
    <w:rsid w:val="00044AD5"/>
    <w:rsid w:val="00044C58"/>
    <w:rsid w:val="00044DF7"/>
    <w:rsid w:val="00044ECD"/>
    <w:rsid w:val="000454F0"/>
    <w:rsid w:val="000458AB"/>
    <w:rsid w:val="000465EF"/>
    <w:rsid w:val="00047133"/>
    <w:rsid w:val="0005057D"/>
    <w:rsid w:val="00050660"/>
    <w:rsid w:val="00050FDC"/>
    <w:rsid w:val="000519E1"/>
    <w:rsid w:val="00052054"/>
    <w:rsid w:val="0005216E"/>
    <w:rsid w:val="00053AD1"/>
    <w:rsid w:val="00055CF9"/>
    <w:rsid w:val="00055E9E"/>
    <w:rsid w:val="000567BE"/>
    <w:rsid w:val="000567F4"/>
    <w:rsid w:val="000568F1"/>
    <w:rsid w:val="00056D15"/>
    <w:rsid w:val="00057908"/>
    <w:rsid w:val="00060039"/>
    <w:rsid w:val="000601B7"/>
    <w:rsid w:val="00060410"/>
    <w:rsid w:val="000608E7"/>
    <w:rsid w:val="00061CE6"/>
    <w:rsid w:val="000625B9"/>
    <w:rsid w:val="000626AA"/>
    <w:rsid w:val="0006356D"/>
    <w:rsid w:val="00063BC3"/>
    <w:rsid w:val="000645E8"/>
    <w:rsid w:val="00071D19"/>
    <w:rsid w:val="00072077"/>
    <w:rsid w:val="0007358B"/>
    <w:rsid w:val="00073DCF"/>
    <w:rsid w:val="00074067"/>
    <w:rsid w:val="0007426C"/>
    <w:rsid w:val="00074D8C"/>
    <w:rsid w:val="00074FDD"/>
    <w:rsid w:val="0007595A"/>
    <w:rsid w:val="00075BBA"/>
    <w:rsid w:val="00076632"/>
    <w:rsid w:val="00076F58"/>
    <w:rsid w:val="0007749E"/>
    <w:rsid w:val="00077A91"/>
    <w:rsid w:val="00077C1E"/>
    <w:rsid w:val="000815BA"/>
    <w:rsid w:val="00081AAF"/>
    <w:rsid w:val="0008357E"/>
    <w:rsid w:val="00084352"/>
    <w:rsid w:val="0008625C"/>
    <w:rsid w:val="00086F38"/>
    <w:rsid w:val="00087884"/>
    <w:rsid w:val="00087EE1"/>
    <w:rsid w:val="00090430"/>
    <w:rsid w:val="0009064B"/>
    <w:rsid w:val="0009281F"/>
    <w:rsid w:val="00092D9D"/>
    <w:rsid w:val="00093800"/>
    <w:rsid w:val="00093DAD"/>
    <w:rsid w:val="0009426D"/>
    <w:rsid w:val="000947FE"/>
    <w:rsid w:val="00094E30"/>
    <w:rsid w:val="000957EE"/>
    <w:rsid w:val="00096134"/>
    <w:rsid w:val="00096BDC"/>
    <w:rsid w:val="0009760C"/>
    <w:rsid w:val="000A06E3"/>
    <w:rsid w:val="000A13C9"/>
    <w:rsid w:val="000A15EA"/>
    <w:rsid w:val="000A1A5B"/>
    <w:rsid w:val="000A1D18"/>
    <w:rsid w:val="000A2A8A"/>
    <w:rsid w:val="000A3D00"/>
    <w:rsid w:val="000A4948"/>
    <w:rsid w:val="000A618B"/>
    <w:rsid w:val="000A6652"/>
    <w:rsid w:val="000A6BE4"/>
    <w:rsid w:val="000A747C"/>
    <w:rsid w:val="000A759E"/>
    <w:rsid w:val="000B019A"/>
    <w:rsid w:val="000B06DA"/>
    <w:rsid w:val="000B1239"/>
    <w:rsid w:val="000B2AE6"/>
    <w:rsid w:val="000B2B08"/>
    <w:rsid w:val="000B3191"/>
    <w:rsid w:val="000B3661"/>
    <w:rsid w:val="000B4398"/>
    <w:rsid w:val="000B478C"/>
    <w:rsid w:val="000B5111"/>
    <w:rsid w:val="000B529F"/>
    <w:rsid w:val="000B5702"/>
    <w:rsid w:val="000B58D8"/>
    <w:rsid w:val="000B58F8"/>
    <w:rsid w:val="000B6CB9"/>
    <w:rsid w:val="000B7457"/>
    <w:rsid w:val="000C03F5"/>
    <w:rsid w:val="000C1286"/>
    <w:rsid w:val="000C33CE"/>
    <w:rsid w:val="000C3B93"/>
    <w:rsid w:val="000C5020"/>
    <w:rsid w:val="000C58D9"/>
    <w:rsid w:val="000C5A7C"/>
    <w:rsid w:val="000C67B8"/>
    <w:rsid w:val="000C77DD"/>
    <w:rsid w:val="000C77F4"/>
    <w:rsid w:val="000C78F2"/>
    <w:rsid w:val="000C7D26"/>
    <w:rsid w:val="000D0F57"/>
    <w:rsid w:val="000D1988"/>
    <w:rsid w:val="000D198D"/>
    <w:rsid w:val="000D1D6A"/>
    <w:rsid w:val="000D2D5A"/>
    <w:rsid w:val="000D2FA4"/>
    <w:rsid w:val="000D3AA9"/>
    <w:rsid w:val="000D3D69"/>
    <w:rsid w:val="000D40C6"/>
    <w:rsid w:val="000D40CF"/>
    <w:rsid w:val="000D413B"/>
    <w:rsid w:val="000D4A46"/>
    <w:rsid w:val="000D51A0"/>
    <w:rsid w:val="000D53D6"/>
    <w:rsid w:val="000D5662"/>
    <w:rsid w:val="000D61BB"/>
    <w:rsid w:val="000D72A4"/>
    <w:rsid w:val="000D7472"/>
    <w:rsid w:val="000E02FC"/>
    <w:rsid w:val="000E1768"/>
    <w:rsid w:val="000E20DB"/>
    <w:rsid w:val="000E2BAF"/>
    <w:rsid w:val="000E2CFB"/>
    <w:rsid w:val="000E3167"/>
    <w:rsid w:val="000E3A63"/>
    <w:rsid w:val="000E3EF8"/>
    <w:rsid w:val="000E44EE"/>
    <w:rsid w:val="000E4EE3"/>
    <w:rsid w:val="000E596E"/>
    <w:rsid w:val="000E5D90"/>
    <w:rsid w:val="000E5DD3"/>
    <w:rsid w:val="000E651A"/>
    <w:rsid w:val="000E75C5"/>
    <w:rsid w:val="000E7EBD"/>
    <w:rsid w:val="000F0489"/>
    <w:rsid w:val="000F15FC"/>
    <w:rsid w:val="000F1902"/>
    <w:rsid w:val="000F296A"/>
    <w:rsid w:val="000F2EDC"/>
    <w:rsid w:val="000F5985"/>
    <w:rsid w:val="000F6FF3"/>
    <w:rsid w:val="00100327"/>
    <w:rsid w:val="0010078D"/>
    <w:rsid w:val="00101D49"/>
    <w:rsid w:val="001035A9"/>
    <w:rsid w:val="001045E0"/>
    <w:rsid w:val="00104BC4"/>
    <w:rsid w:val="0010569B"/>
    <w:rsid w:val="00105789"/>
    <w:rsid w:val="00105C6A"/>
    <w:rsid w:val="00105FC5"/>
    <w:rsid w:val="001061B3"/>
    <w:rsid w:val="001062D1"/>
    <w:rsid w:val="0010711C"/>
    <w:rsid w:val="00107C8F"/>
    <w:rsid w:val="001113D5"/>
    <w:rsid w:val="00111A88"/>
    <w:rsid w:val="0011257B"/>
    <w:rsid w:val="00113ABA"/>
    <w:rsid w:val="0011426F"/>
    <w:rsid w:val="00114E8C"/>
    <w:rsid w:val="0011512E"/>
    <w:rsid w:val="00116B97"/>
    <w:rsid w:val="00120817"/>
    <w:rsid w:val="00120A92"/>
    <w:rsid w:val="00121EC0"/>
    <w:rsid w:val="00122449"/>
    <w:rsid w:val="0012275F"/>
    <w:rsid w:val="00122989"/>
    <w:rsid w:val="001229F1"/>
    <w:rsid w:val="0012398F"/>
    <w:rsid w:val="00123A7F"/>
    <w:rsid w:val="00123E78"/>
    <w:rsid w:val="00124F50"/>
    <w:rsid w:val="001258DC"/>
    <w:rsid w:val="00126633"/>
    <w:rsid w:val="00126F9F"/>
    <w:rsid w:val="00127C6F"/>
    <w:rsid w:val="00127D0D"/>
    <w:rsid w:val="0013131B"/>
    <w:rsid w:val="00132411"/>
    <w:rsid w:val="001327C6"/>
    <w:rsid w:val="00133D27"/>
    <w:rsid w:val="00134349"/>
    <w:rsid w:val="00135374"/>
    <w:rsid w:val="001357B3"/>
    <w:rsid w:val="00137233"/>
    <w:rsid w:val="00140A40"/>
    <w:rsid w:val="00140B5B"/>
    <w:rsid w:val="00140D81"/>
    <w:rsid w:val="00140D9F"/>
    <w:rsid w:val="00142A77"/>
    <w:rsid w:val="00143126"/>
    <w:rsid w:val="0014325B"/>
    <w:rsid w:val="00143D34"/>
    <w:rsid w:val="00143E2A"/>
    <w:rsid w:val="00143E4A"/>
    <w:rsid w:val="0014456A"/>
    <w:rsid w:val="00145D93"/>
    <w:rsid w:val="00146A41"/>
    <w:rsid w:val="001479E9"/>
    <w:rsid w:val="00147BD4"/>
    <w:rsid w:val="00147ECA"/>
    <w:rsid w:val="00151535"/>
    <w:rsid w:val="00151AB2"/>
    <w:rsid w:val="00151B6B"/>
    <w:rsid w:val="00151DB0"/>
    <w:rsid w:val="00151F98"/>
    <w:rsid w:val="001522F7"/>
    <w:rsid w:val="00153B03"/>
    <w:rsid w:val="00154117"/>
    <w:rsid w:val="001541F9"/>
    <w:rsid w:val="00154EB7"/>
    <w:rsid w:val="00156577"/>
    <w:rsid w:val="00156658"/>
    <w:rsid w:val="001569EC"/>
    <w:rsid w:val="00156EBA"/>
    <w:rsid w:val="00157DDD"/>
    <w:rsid w:val="00160FEC"/>
    <w:rsid w:val="00161994"/>
    <w:rsid w:val="00161FCE"/>
    <w:rsid w:val="00162523"/>
    <w:rsid w:val="00162890"/>
    <w:rsid w:val="00162D41"/>
    <w:rsid w:val="0016301E"/>
    <w:rsid w:val="0016319D"/>
    <w:rsid w:val="0016395E"/>
    <w:rsid w:val="00163CD6"/>
    <w:rsid w:val="00164958"/>
    <w:rsid w:val="00166FEA"/>
    <w:rsid w:val="00167172"/>
    <w:rsid w:val="00167C33"/>
    <w:rsid w:val="00167F17"/>
    <w:rsid w:val="00171B29"/>
    <w:rsid w:val="001721D0"/>
    <w:rsid w:val="0017428F"/>
    <w:rsid w:val="00174642"/>
    <w:rsid w:val="00175286"/>
    <w:rsid w:val="0017552D"/>
    <w:rsid w:val="00175D43"/>
    <w:rsid w:val="00177B68"/>
    <w:rsid w:val="001800CC"/>
    <w:rsid w:val="001800F1"/>
    <w:rsid w:val="0018025E"/>
    <w:rsid w:val="001803DC"/>
    <w:rsid w:val="00180D93"/>
    <w:rsid w:val="001814D4"/>
    <w:rsid w:val="00181D18"/>
    <w:rsid w:val="00184832"/>
    <w:rsid w:val="00184AC6"/>
    <w:rsid w:val="001858AE"/>
    <w:rsid w:val="0019061D"/>
    <w:rsid w:val="00191168"/>
    <w:rsid w:val="001926F3"/>
    <w:rsid w:val="0019284D"/>
    <w:rsid w:val="0019396E"/>
    <w:rsid w:val="00195EAC"/>
    <w:rsid w:val="00196ECB"/>
    <w:rsid w:val="001A0026"/>
    <w:rsid w:val="001A03D4"/>
    <w:rsid w:val="001A0C3F"/>
    <w:rsid w:val="001A10C4"/>
    <w:rsid w:val="001A18C6"/>
    <w:rsid w:val="001A29F9"/>
    <w:rsid w:val="001A38D4"/>
    <w:rsid w:val="001A52A6"/>
    <w:rsid w:val="001A5DD7"/>
    <w:rsid w:val="001A65BC"/>
    <w:rsid w:val="001A732D"/>
    <w:rsid w:val="001A7AB0"/>
    <w:rsid w:val="001B0558"/>
    <w:rsid w:val="001B0680"/>
    <w:rsid w:val="001B327D"/>
    <w:rsid w:val="001B48FC"/>
    <w:rsid w:val="001B5DEF"/>
    <w:rsid w:val="001B5E4A"/>
    <w:rsid w:val="001B640E"/>
    <w:rsid w:val="001B6998"/>
    <w:rsid w:val="001B6E5E"/>
    <w:rsid w:val="001B72BE"/>
    <w:rsid w:val="001B7465"/>
    <w:rsid w:val="001B7F1E"/>
    <w:rsid w:val="001C0638"/>
    <w:rsid w:val="001C0DE7"/>
    <w:rsid w:val="001C0FC7"/>
    <w:rsid w:val="001C3C29"/>
    <w:rsid w:val="001C4ADA"/>
    <w:rsid w:val="001C4D2E"/>
    <w:rsid w:val="001C4E09"/>
    <w:rsid w:val="001C52D2"/>
    <w:rsid w:val="001C5479"/>
    <w:rsid w:val="001C5651"/>
    <w:rsid w:val="001C6F4D"/>
    <w:rsid w:val="001C717B"/>
    <w:rsid w:val="001C7A7E"/>
    <w:rsid w:val="001D0221"/>
    <w:rsid w:val="001D05B6"/>
    <w:rsid w:val="001D12D7"/>
    <w:rsid w:val="001D1937"/>
    <w:rsid w:val="001D1D63"/>
    <w:rsid w:val="001D1F3F"/>
    <w:rsid w:val="001D2144"/>
    <w:rsid w:val="001D3208"/>
    <w:rsid w:val="001D37A0"/>
    <w:rsid w:val="001D3F9C"/>
    <w:rsid w:val="001D4743"/>
    <w:rsid w:val="001D4952"/>
    <w:rsid w:val="001D4CB0"/>
    <w:rsid w:val="001D51D0"/>
    <w:rsid w:val="001D5955"/>
    <w:rsid w:val="001D6595"/>
    <w:rsid w:val="001D6D05"/>
    <w:rsid w:val="001D6F61"/>
    <w:rsid w:val="001D70AA"/>
    <w:rsid w:val="001E01AB"/>
    <w:rsid w:val="001E125C"/>
    <w:rsid w:val="001E18B2"/>
    <w:rsid w:val="001E1C3F"/>
    <w:rsid w:val="001E27B8"/>
    <w:rsid w:val="001E2EA2"/>
    <w:rsid w:val="001E3AC7"/>
    <w:rsid w:val="001E3C8E"/>
    <w:rsid w:val="001E41CA"/>
    <w:rsid w:val="001E4207"/>
    <w:rsid w:val="001E6F81"/>
    <w:rsid w:val="001E7342"/>
    <w:rsid w:val="001F012E"/>
    <w:rsid w:val="001F0321"/>
    <w:rsid w:val="001F084C"/>
    <w:rsid w:val="001F1237"/>
    <w:rsid w:val="001F3032"/>
    <w:rsid w:val="001F38E6"/>
    <w:rsid w:val="001F437F"/>
    <w:rsid w:val="001F5455"/>
    <w:rsid w:val="001F5E4F"/>
    <w:rsid w:val="001F69FB"/>
    <w:rsid w:val="001F7301"/>
    <w:rsid w:val="001F74A8"/>
    <w:rsid w:val="001F7CCC"/>
    <w:rsid w:val="001F7EB0"/>
    <w:rsid w:val="002006AE"/>
    <w:rsid w:val="00200BA0"/>
    <w:rsid w:val="00202F57"/>
    <w:rsid w:val="002049E2"/>
    <w:rsid w:val="00204B7B"/>
    <w:rsid w:val="00204CDF"/>
    <w:rsid w:val="00204D3E"/>
    <w:rsid w:val="0020550C"/>
    <w:rsid w:val="00205D44"/>
    <w:rsid w:val="00206B8C"/>
    <w:rsid w:val="002075C7"/>
    <w:rsid w:val="00207B64"/>
    <w:rsid w:val="00210167"/>
    <w:rsid w:val="0021068F"/>
    <w:rsid w:val="00210859"/>
    <w:rsid w:val="00210AE2"/>
    <w:rsid w:val="00210B38"/>
    <w:rsid w:val="002129EE"/>
    <w:rsid w:val="00212CFD"/>
    <w:rsid w:val="00214388"/>
    <w:rsid w:val="0021467D"/>
    <w:rsid w:val="00214745"/>
    <w:rsid w:val="00214AE5"/>
    <w:rsid w:val="00215BEC"/>
    <w:rsid w:val="00216C0A"/>
    <w:rsid w:val="002207E3"/>
    <w:rsid w:val="00221FA9"/>
    <w:rsid w:val="00223FC0"/>
    <w:rsid w:val="0022424C"/>
    <w:rsid w:val="0022466D"/>
    <w:rsid w:val="002249D8"/>
    <w:rsid w:val="00224BF1"/>
    <w:rsid w:val="00225B2B"/>
    <w:rsid w:val="002261DC"/>
    <w:rsid w:val="00226CF7"/>
    <w:rsid w:val="00226DA8"/>
    <w:rsid w:val="00226E38"/>
    <w:rsid w:val="00226F12"/>
    <w:rsid w:val="002304D4"/>
    <w:rsid w:val="00231754"/>
    <w:rsid w:val="00231782"/>
    <w:rsid w:val="0023295E"/>
    <w:rsid w:val="00233908"/>
    <w:rsid w:val="00234DB9"/>
    <w:rsid w:val="00234EDE"/>
    <w:rsid w:val="0023643A"/>
    <w:rsid w:val="00236997"/>
    <w:rsid w:val="00237A01"/>
    <w:rsid w:val="002406E7"/>
    <w:rsid w:val="002408A0"/>
    <w:rsid w:val="0024145B"/>
    <w:rsid w:val="00241953"/>
    <w:rsid w:val="002424DC"/>
    <w:rsid w:val="00243202"/>
    <w:rsid w:val="00243517"/>
    <w:rsid w:val="0024467D"/>
    <w:rsid w:val="002446A8"/>
    <w:rsid w:val="0024529B"/>
    <w:rsid w:val="0024570F"/>
    <w:rsid w:val="00245908"/>
    <w:rsid w:val="00246275"/>
    <w:rsid w:val="0024633F"/>
    <w:rsid w:val="00246563"/>
    <w:rsid w:val="00246787"/>
    <w:rsid w:val="00246A3F"/>
    <w:rsid w:val="0024777F"/>
    <w:rsid w:val="00250057"/>
    <w:rsid w:val="0025037E"/>
    <w:rsid w:val="0025091B"/>
    <w:rsid w:val="002510A0"/>
    <w:rsid w:val="00251261"/>
    <w:rsid w:val="00251C3F"/>
    <w:rsid w:val="00251EA6"/>
    <w:rsid w:val="002526AA"/>
    <w:rsid w:val="00252C65"/>
    <w:rsid w:val="002558AE"/>
    <w:rsid w:val="00255C23"/>
    <w:rsid w:val="00256AA5"/>
    <w:rsid w:val="0025771D"/>
    <w:rsid w:val="00257C1E"/>
    <w:rsid w:val="00257F7A"/>
    <w:rsid w:val="0026104A"/>
    <w:rsid w:val="002610EB"/>
    <w:rsid w:val="00263903"/>
    <w:rsid w:val="00263A67"/>
    <w:rsid w:val="00267670"/>
    <w:rsid w:val="002705B1"/>
    <w:rsid w:val="00270842"/>
    <w:rsid w:val="00271301"/>
    <w:rsid w:val="00272042"/>
    <w:rsid w:val="0027293E"/>
    <w:rsid w:val="00274B19"/>
    <w:rsid w:val="00275291"/>
    <w:rsid w:val="002757A4"/>
    <w:rsid w:val="0027651A"/>
    <w:rsid w:val="00276C47"/>
    <w:rsid w:val="00276E9D"/>
    <w:rsid w:val="00281970"/>
    <w:rsid w:val="00281B05"/>
    <w:rsid w:val="00281F44"/>
    <w:rsid w:val="00281FC9"/>
    <w:rsid w:val="002827B7"/>
    <w:rsid w:val="00282F1A"/>
    <w:rsid w:val="00283F7C"/>
    <w:rsid w:val="00284E43"/>
    <w:rsid w:val="002858AF"/>
    <w:rsid w:val="00285BA3"/>
    <w:rsid w:val="002863A5"/>
    <w:rsid w:val="002871B2"/>
    <w:rsid w:val="0028758A"/>
    <w:rsid w:val="002900D2"/>
    <w:rsid w:val="002909A0"/>
    <w:rsid w:val="002910C1"/>
    <w:rsid w:val="002931BE"/>
    <w:rsid w:val="00295060"/>
    <w:rsid w:val="00295494"/>
    <w:rsid w:val="002959ED"/>
    <w:rsid w:val="00295A08"/>
    <w:rsid w:val="00296389"/>
    <w:rsid w:val="00296A2C"/>
    <w:rsid w:val="00296DC9"/>
    <w:rsid w:val="00296F1D"/>
    <w:rsid w:val="002976BE"/>
    <w:rsid w:val="002A02D5"/>
    <w:rsid w:val="002A07B0"/>
    <w:rsid w:val="002A0E92"/>
    <w:rsid w:val="002A1279"/>
    <w:rsid w:val="002A19FD"/>
    <w:rsid w:val="002A3280"/>
    <w:rsid w:val="002A461A"/>
    <w:rsid w:val="002A5255"/>
    <w:rsid w:val="002A587C"/>
    <w:rsid w:val="002A59A2"/>
    <w:rsid w:val="002A61D2"/>
    <w:rsid w:val="002A694C"/>
    <w:rsid w:val="002A6CBE"/>
    <w:rsid w:val="002A7392"/>
    <w:rsid w:val="002B0670"/>
    <w:rsid w:val="002B2368"/>
    <w:rsid w:val="002B287F"/>
    <w:rsid w:val="002B375D"/>
    <w:rsid w:val="002B480D"/>
    <w:rsid w:val="002B4E65"/>
    <w:rsid w:val="002B5175"/>
    <w:rsid w:val="002B5349"/>
    <w:rsid w:val="002C2556"/>
    <w:rsid w:val="002C2B76"/>
    <w:rsid w:val="002C3DD3"/>
    <w:rsid w:val="002C5E02"/>
    <w:rsid w:val="002C6581"/>
    <w:rsid w:val="002C66E2"/>
    <w:rsid w:val="002C7975"/>
    <w:rsid w:val="002C7E44"/>
    <w:rsid w:val="002D4208"/>
    <w:rsid w:val="002D466A"/>
    <w:rsid w:val="002D4B6F"/>
    <w:rsid w:val="002D5222"/>
    <w:rsid w:val="002D5369"/>
    <w:rsid w:val="002D58F5"/>
    <w:rsid w:val="002D5C68"/>
    <w:rsid w:val="002D5DC2"/>
    <w:rsid w:val="002D7F3F"/>
    <w:rsid w:val="002D7F5B"/>
    <w:rsid w:val="002E12D3"/>
    <w:rsid w:val="002E1773"/>
    <w:rsid w:val="002E2E3C"/>
    <w:rsid w:val="002E414A"/>
    <w:rsid w:val="002E4365"/>
    <w:rsid w:val="002E44F0"/>
    <w:rsid w:val="002E4A22"/>
    <w:rsid w:val="002E506F"/>
    <w:rsid w:val="002E5348"/>
    <w:rsid w:val="002E5846"/>
    <w:rsid w:val="002E675C"/>
    <w:rsid w:val="002E6AD7"/>
    <w:rsid w:val="002E70AD"/>
    <w:rsid w:val="002F06E3"/>
    <w:rsid w:val="002F1589"/>
    <w:rsid w:val="002F1E33"/>
    <w:rsid w:val="002F2CAB"/>
    <w:rsid w:val="002F2F36"/>
    <w:rsid w:val="002F3F1B"/>
    <w:rsid w:val="002F4D09"/>
    <w:rsid w:val="002F5542"/>
    <w:rsid w:val="002F5B03"/>
    <w:rsid w:val="002F60DC"/>
    <w:rsid w:val="002F63E6"/>
    <w:rsid w:val="002F6CDC"/>
    <w:rsid w:val="002F78BB"/>
    <w:rsid w:val="002F7D83"/>
    <w:rsid w:val="00300E1E"/>
    <w:rsid w:val="00301A2B"/>
    <w:rsid w:val="003049CB"/>
    <w:rsid w:val="00304A24"/>
    <w:rsid w:val="00304E3F"/>
    <w:rsid w:val="00305065"/>
    <w:rsid w:val="00305352"/>
    <w:rsid w:val="00305ADF"/>
    <w:rsid w:val="003068C7"/>
    <w:rsid w:val="00307424"/>
    <w:rsid w:val="00307D94"/>
    <w:rsid w:val="003109FC"/>
    <w:rsid w:val="00311CAB"/>
    <w:rsid w:val="00312FC6"/>
    <w:rsid w:val="003133D7"/>
    <w:rsid w:val="00315BE8"/>
    <w:rsid w:val="00315F5A"/>
    <w:rsid w:val="00320FC6"/>
    <w:rsid w:val="00321347"/>
    <w:rsid w:val="003219AF"/>
    <w:rsid w:val="00321A7B"/>
    <w:rsid w:val="00322067"/>
    <w:rsid w:val="00322AF8"/>
    <w:rsid w:val="00322D91"/>
    <w:rsid w:val="003245E3"/>
    <w:rsid w:val="00324EA8"/>
    <w:rsid w:val="00325051"/>
    <w:rsid w:val="0032519A"/>
    <w:rsid w:val="0032722A"/>
    <w:rsid w:val="0033461E"/>
    <w:rsid w:val="00334B7B"/>
    <w:rsid w:val="0033516A"/>
    <w:rsid w:val="0033559C"/>
    <w:rsid w:val="003355DB"/>
    <w:rsid w:val="003367C7"/>
    <w:rsid w:val="003368D8"/>
    <w:rsid w:val="00336BDD"/>
    <w:rsid w:val="003377AC"/>
    <w:rsid w:val="003403B6"/>
    <w:rsid w:val="00341144"/>
    <w:rsid w:val="003412D9"/>
    <w:rsid w:val="00341A7E"/>
    <w:rsid w:val="00342C90"/>
    <w:rsid w:val="00345503"/>
    <w:rsid w:val="00345685"/>
    <w:rsid w:val="003465A7"/>
    <w:rsid w:val="00347479"/>
    <w:rsid w:val="003501FB"/>
    <w:rsid w:val="00350EDF"/>
    <w:rsid w:val="00351979"/>
    <w:rsid w:val="00352EC2"/>
    <w:rsid w:val="003551F6"/>
    <w:rsid w:val="00355213"/>
    <w:rsid w:val="00355442"/>
    <w:rsid w:val="003559F9"/>
    <w:rsid w:val="00355D72"/>
    <w:rsid w:val="00357683"/>
    <w:rsid w:val="00360423"/>
    <w:rsid w:val="00360425"/>
    <w:rsid w:val="00360BE6"/>
    <w:rsid w:val="00360F5D"/>
    <w:rsid w:val="00360FA0"/>
    <w:rsid w:val="003635ED"/>
    <w:rsid w:val="003637A7"/>
    <w:rsid w:val="003647B6"/>
    <w:rsid w:val="003649C2"/>
    <w:rsid w:val="00364B0F"/>
    <w:rsid w:val="00364F74"/>
    <w:rsid w:val="003679D1"/>
    <w:rsid w:val="00367D70"/>
    <w:rsid w:val="003703C5"/>
    <w:rsid w:val="0037179C"/>
    <w:rsid w:val="00372678"/>
    <w:rsid w:val="00372A13"/>
    <w:rsid w:val="00372DC9"/>
    <w:rsid w:val="003732DF"/>
    <w:rsid w:val="003737EA"/>
    <w:rsid w:val="00374758"/>
    <w:rsid w:val="003758E5"/>
    <w:rsid w:val="00375FB6"/>
    <w:rsid w:val="00376F69"/>
    <w:rsid w:val="00377E3C"/>
    <w:rsid w:val="00380F8B"/>
    <w:rsid w:val="0038232F"/>
    <w:rsid w:val="00382911"/>
    <w:rsid w:val="00382957"/>
    <w:rsid w:val="00382C19"/>
    <w:rsid w:val="00383083"/>
    <w:rsid w:val="00383222"/>
    <w:rsid w:val="00383465"/>
    <w:rsid w:val="003835E1"/>
    <w:rsid w:val="00383EB0"/>
    <w:rsid w:val="00384431"/>
    <w:rsid w:val="0038480A"/>
    <w:rsid w:val="00384CBB"/>
    <w:rsid w:val="00384EFC"/>
    <w:rsid w:val="00385917"/>
    <w:rsid w:val="00387F57"/>
    <w:rsid w:val="0039018B"/>
    <w:rsid w:val="003913F2"/>
    <w:rsid w:val="003920D6"/>
    <w:rsid w:val="0039310B"/>
    <w:rsid w:val="0039362A"/>
    <w:rsid w:val="003936D6"/>
    <w:rsid w:val="00395351"/>
    <w:rsid w:val="0039590F"/>
    <w:rsid w:val="003967E5"/>
    <w:rsid w:val="0039694D"/>
    <w:rsid w:val="00397899"/>
    <w:rsid w:val="003A08E6"/>
    <w:rsid w:val="003A08FB"/>
    <w:rsid w:val="003A1301"/>
    <w:rsid w:val="003A2429"/>
    <w:rsid w:val="003A2E33"/>
    <w:rsid w:val="003A3D97"/>
    <w:rsid w:val="003A45AB"/>
    <w:rsid w:val="003A47F2"/>
    <w:rsid w:val="003A489B"/>
    <w:rsid w:val="003A4BEF"/>
    <w:rsid w:val="003A5428"/>
    <w:rsid w:val="003A65F2"/>
    <w:rsid w:val="003A66A5"/>
    <w:rsid w:val="003B233D"/>
    <w:rsid w:val="003B3523"/>
    <w:rsid w:val="003B38F1"/>
    <w:rsid w:val="003B3F91"/>
    <w:rsid w:val="003B41DC"/>
    <w:rsid w:val="003B5015"/>
    <w:rsid w:val="003B51C8"/>
    <w:rsid w:val="003B565F"/>
    <w:rsid w:val="003B5778"/>
    <w:rsid w:val="003B5B64"/>
    <w:rsid w:val="003B5D4A"/>
    <w:rsid w:val="003C07C9"/>
    <w:rsid w:val="003C0D38"/>
    <w:rsid w:val="003C1B03"/>
    <w:rsid w:val="003C2D43"/>
    <w:rsid w:val="003C314C"/>
    <w:rsid w:val="003C397C"/>
    <w:rsid w:val="003C43BA"/>
    <w:rsid w:val="003C6EB9"/>
    <w:rsid w:val="003C7733"/>
    <w:rsid w:val="003C77E2"/>
    <w:rsid w:val="003D07EF"/>
    <w:rsid w:val="003D0A0C"/>
    <w:rsid w:val="003D34FD"/>
    <w:rsid w:val="003D3691"/>
    <w:rsid w:val="003D4C05"/>
    <w:rsid w:val="003D50E6"/>
    <w:rsid w:val="003D6089"/>
    <w:rsid w:val="003D6440"/>
    <w:rsid w:val="003D6757"/>
    <w:rsid w:val="003D6CEC"/>
    <w:rsid w:val="003D733F"/>
    <w:rsid w:val="003E00CE"/>
    <w:rsid w:val="003E028E"/>
    <w:rsid w:val="003E0F8C"/>
    <w:rsid w:val="003E11CD"/>
    <w:rsid w:val="003E4FCC"/>
    <w:rsid w:val="003E53F4"/>
    <w:rsid w:val="003E5CD4"/>
    <w:rsid w:val="003E5E12"/>
    <w:rsid w:val="003E6C36"/>
    <w:rsid w:val="003E73D6"/>
    <w:rsid w:val="003E7BA9"/>
    <w:rsid w:val="003F0CA5"/>
    <w:rsid w:val="003F1141"/>
    <w:rsid w:val="003F414A"/>
    <w:rsid w:val="003F506A"/>
    <w:rsid w:val="003F5936"/>
    <w:rsid w:val="003F5FA0"/>
    <w:rsid w:val="003F643D"/>
    <w:rsid w:val="003F6804"/>
    <w:rsid w:val="003F75D5"/>
    <w:rsid w:val="004012D2"/>
    <w:rsid w:val="00401726"/>
    <w:rsid w:val="00401AB5"/>
    <w:rsid w:val="00401EEF"/>
    <w:rsid w:val="00402862"/>
    <w:rsid w:val="00402C8E"/>
    <w:rsid w:val="0040352D"/>
    <w:rsid w:val="0040373A"/>
    <w:rsid w:val="00403F5F"/>
    <w:rsid w:val="00403FBD"/>
    <w:rsid w:val="00404E69"/>
    <w:rsid w:val="0040626B"/>
    <w:rsid w:val="0040689A"/>
    <w:rsid w:val="00406EFF"/>
    <w:rsid w:val="00407BE0"/>
    <w:rsid w:val="00407D0B"/>
    <w:rsid w:val="004104D5"/>
    <w:rsid w:val="00410AF1"/>
    <w:rsid w:val="0041319A"/>
    <w:rsid w:val="00413BD7"/>
    <w:rsid w:val="00413C6F"/>
    <w:rsid w:val="004159FC"/>
    <w:rsid w:val="00416120"/>
    <w:rsid w:val="00417738"/>
    <w:rsid w:val="00420411"/>
    <w:rsid w:val="00420FC2"/>
    <w:rsid w:val="00421596"/>
    <w:rsid w:val="004223BA"/>
    <w:rsid w:val="00422862"/>
    <w:rsid w:val="00423116"/>
    <w:rsid w:val="00423267"/>
    <w:rsid w:val="00423301"/>
    <w:rsid w:val="00423875"/>
    <w:rsid w:val="00425F19"/>
    <w:rsid w:val="004262F9"/>
    <w:rsid w:val="00426ADA"/>
    <w:rsid w:val="0042771D"/>
    <w:rsid w:val="004277FB"/>
    <w:rsid w:val="004300F9"/>
    <w:rsid w:val="004307DE"/>
    <w:rsid w:val="00431187"/>
    <w:rsid w:val="00431CAA"/>
    <w:rsid w:val="00431F68"/>
    <w:rsid w:val="00432955"/>
    <w:rsid w:val="00433A01"/>
    <w:rsid w:val="00434106"/>
    <w:rsid w:val="004353F0"/>
    <w:rsid w:val="004356D5"/>
    <w:rsid w:val="00435843"/>
    <w:rsid w:val="0043598B"/>
    <w:rsid w:val="00436028"/>
    <w:rsid w:val="00437E92"/>
    <w:rsid w:val="00440056"/>
    <w:rsid w:val="004402E1"/>
    <w:rsid w:val="00440645"/>
    <w:rsid w:val="004407A2"/>
    <w:rsid w:val="00440A6D"/>
    <w:rsid w:val="004425DC"/>
    <w:rsid w:val="004430B3"/>
    <w:rsid w:val="004433F6"/>
    <w:rsid w:val="00443D48"/>
    <w:rsid w:val="00443F1D"/>
    <w:rsid w:val="004446E2"/>
    <w:rsid w:val="00445C4C"/>
    <w:rsid w:val="004465B6"/>
    <w:rsid w:val="00446891"/>
    <w:rsid w:val="00447237"/>
    <w:rsid w:val="0044736D"/>
    <w:rsid w:val="00450003"/>
    <w:rsid w:val="00450053"/>
    <w:rsid w:val="004501EE"/>
    <w:rsid w:val="00450B0A"/>
    <w:rsid w:val="004528EE"/>
    <w:rsid w:val="00453825"/>
    <w:rsid w:val="0045451E"/>
    <w:rsid w:val="00454770"/>
    <w:rsid w:val="004557C3"/>
    <w:rsid w:val="00455853"/>
    <w:rsid w:val="00457453"/>
    <w:rsid w:val="00457640"/>
    <w:rsid w:val="004607CC"/>
    <w:rsid w:val="00460D41"/>
    <w:rsid w:val="004623B6"/>
    <w:rsid w:val="0046399F"/>
    <w:rsid w:val="004642F6"/>
    <w:rsid w:val="00465176"/>
    <w:rsid w:val="00465B47"/>
    <w:rsid w:val="0046656A"/>
    <w:rsid w:val="0046735D"/>
    <w:rsid w:val="00471064"/>
    <w:rsid w:val="00471640"/>
    <w:rsid w:val="00472491"/>
    <w:rsid w:val="00472C19"/>
    <w:rsid w:val="00473418"/>
    <w:rsid w:val="00474F4C"/>
    <w:rsid w:val="004753DF"/>
    <w:rsid w:val="00475B15"/>
    <w:rsid w:val="004763A8"/>
    <w:rsid w:val="00476B8D"/>
    <w:rsid w:val="004801A3"/>
    <w:rsid w:val="00481711"/>
    <w:rsid w:val="00481F1E"/>
    <w:rsid w:val="00482D2F"/>
    <w:rsid w:val="00482E39"/>
    <w:rsid w:val="0048331B"/>
    <w:rsid w:val="00484235"/>
    <w:rsid w:val="00486DDC"/>
    <w:rsid w:val="004876DA"/>
    <w:rsid w:val="00487F6C"/>
    <w:rsid w:val="004903D4"/>
    <w:rsid w:val="004905EE"/>
    <w:rsid w:val="00490A87"/>
    <w:rsid w:val="00491166"/>
    <w:rsid w:val="00491173"/>
    <w:rsid w:val="00491AA3"/>
    <w:rsid w:val="0049278F"/>
    <w:rsid w:val="00492DA9"/>
    <w:rsid w:val="0049302C"/>
    <w:rsid w:val="00493991"/>
    <w:rsid w:val="0049416D"/>
    <w:rsid w:val="00494B16"/>
    <w:rsid w:val="00495A1F"/>
    <w:rsid w:val="00495A7B"/>
    <w:rsid w:val="004964B0"/>
    <w:rsid w:val="0049794D"/>
    <w:rsid w:val="004A0B17"/>
    <w:rsid w:val="004A0B2B"/>
    <w:rsid w:val="004A12AF"/>
    <w:rsid w:val="004A1954"/>
    <w:rsid w:val="004A3ABD"/>
    <w:rsid w:val="004A3EA9"/>
    <w:rsid w:val="004A4433"/>
    <w:rsid w:val="004A4593"/>
    <w:rsid w:val="004A4F29"/>
    <w:rsid w:val="004A58AD"/>
    <w:rsid w:val="004A5C6C"/>
    <w:rsid w:val="004A6791"/>
    <w:rsid w:val="004A6CEA"/>
    <w:rsid w:val="004A71B6"/>
    <w:rsid w:val="004B24E3"/>
    <w:rsid w:val="004B2740"/>
    <w:rsid w:val="004B2C88"/>
    <w:rsid w:val="004B3485"/>
    <w:rsid w:val="004B3CB7"/>
    <w:rsid w:val="004B4670"/>
    <w:rsid w:val="004B4C6F"/>
    <w:rsid w:val="004B50F6"/>
    <w:rsid w:val="004B521C"/>
    <w:rsid w:val="004B5449"/>
    <w:rsid w:val="004B7A70"/>
    <w:rsid w:val="004C0C77"/>
    <w:rsid w:val="004C10D4"/>
    <w:rsid w:val="004C1611"/>
    <w:rsid w:val="004C1873"/>
    <w:rsid w:val="004C2288"/>
    <w:rsid w:val="004C22EF"/>
    <w:rsid w:val="004C244E"/>
    <w:rsid w:val="004C3B41"/>
    <w:rsid w:val="004C47E1"/>
    <w:rsid w:val="004C4AAC"/>
    <w:rsid w:val="004C51C8"/>
    <w:rsid w:val="004C5BE0"/>
    <w:rsid w:val="004C6304"/>
    <w:rsid w:val="004C633E"/>
    <w:rsid w:val="004C6EED"/>
    <w:rsid w:val="004C7D13"/>
    <w:rsid w:val="004D0593"/>
    <w:rsid w:val="004D05BD"/>
    <w:rsid w:val="004D1993"/>
    <w:rsid w:val="004D2273"/>
    <w:rsid w:val="004D2307"/>
    <w:rsid w:val="004D2BD4"/>
    <w:rsid w:val="004D35CF"/>
    <w:rsid w:val="004D3984"/>
    <w:rsid w:val="004D3DF4"/>
    <w:rsid w:val="004D3E50"/>
    <w:rsid w:val="004D4291"/>
    <w:rsid w:val="004D4C96"/>
    <w:rsid w:val="004D4EC3"/>
    <w:rsid w:val="004D4F93"/>
    <w:rsid w:val="004D5E37"/>
    <w:rsid w:val="004D685F"/>
    <w:rsid w:val="004E05B9"/>
    <w:rsid w:val="004E0E81"/>
    <w:rsid w:val="004E0F23"/>
    <w:rsid w:val="004E109A"/>
    <w:rsid w:val="004E1645"/>
    <w:rsid w:val="004E3674"/>
    <w:rsid w:val="004E4BA8"/>
    <w:rsid w:val="004E5012"/>
    <w:rsid w:val="004E5575"/>
    <w:rsid w:val="004E5982"/>
    <w:rsid w:val="004E62BB"/>
    <w:rsid w:val="004E652A"/>
    <w:rsid w:val="004E7339"/>
    <w:rsid w:val="004E75E0"/>
    <w:rsid w:val="004F0407"/>
    <w:rsid w:val="004F053C"/>
    <w:rsid w:val="004F0561"/>
    <w:rsid w:val="004F090E"/>
    <w:rsid w:val="004F1441"/>
    <w:rsid w:val="004F14B6"/>
    <w:rsid w:val="004F21CB"/>
    <w:rsid w:val="004F2E13"/>
    <w:rsid w:val="004F403E"/>
    <w:rsid w:val="004F56EE"/>
    <w:rsid w:val="004F5E28"/>
    <w:rsid w:val="004F6006"/>
    <w:rsid w:val="004F6338"/>
    <w:rsid w:val="004F6451"/>
    <w:rsid w:val="004F6E5B"/>
    <w:rsid w:val="004F739F"/>
    <w:rsid w:val="004F77DA"/>
    <w:rsid w:val="00500DCF"/>
    <w:rsid w:val="00500FE1"/>
    <w:rsid w:val="00501235"/>
    <w:rsid w:val="00501392"/>
    <w:rsid w:val="0050231F"/>
    <w:rsid w:val="00502A43"/>
    <w:rsid w:val="00502C43"/>
    <w:rsid w:val="0050312C"/>
    <w:rsid w:val="00503401"/>
    <w:rsid w:val="00503F4D"/>
    <w:rsid w:val="00504AB1"/>
    <w:rsid w:val="00505F26"/>
    <w:rsid w:val="00505F34"/>
    <w:rsid w:val="00506716"/>
    <w:rsid w:val="0050689F"/>
    <w:rsid w:val="00507CA9"/>
    <w:rsid w:val="00510F9A"/>
    <w:rsid w:val="00510FB0"/>
    <w:rsid w:val="00514901"/>
    <w:rsid w:val="00515BC9"/>
    <w:rsid w:val="00516264"/>
    <w:rsid w:val="00516E1D"/>
    <w:rsid w:val="005205BE"/>
    <w:rsid w:val="00521B29"/>
    <w:rsid w:val="00521D04"/>
    <w:rsid w:val="00523E90"/>
    <w:rsid w:val="00524AFA"/>
    <w:rsid w:val="00524B3F"/>
    <w:rsid w:val="005256B2"/>
    <w:rsid w:val="00525872"/>
    <w:rsid w:val="00525F54"/>
    <w:rsid w:val="00526C5F"/>
    <w:rsid w:val="0053111E"/>
    <w:rsid w:val="00531421"/>
    <w:rsid w:val="005314D0"/>
    <w:rsid w:val="00531757"/>
    <w:rsid w:val="00531E3E"/>
    <w:rsid w:val="00532E8A"/>
    <w:rsid w:val="00533139"/>
    <w:rsid w:val="00533812"/>
    <w:rsid w:val="00533DE1"/>
    <w:rsid w:val="00534DE7"/>
    <w:rsid w:val="00535693"/>
    <w:rsid w:val="00535A34"/>
    <w:rsid w:val="00535C15"/>
    <w:rsid w:val="0053718E"/>
    <w:rsid w:val="005372F6"/>
    <w:rsid w:val="00540FC4"/>
    <w:rsid w:val="00541654"/>
    <w:rsid w:val="00543573"/>
    <w:rsid w:val="00543707"/>
    <w:rsid w:val="005449F5"/>
    <w:rsid w:val="00545AFD"/>
    <w:rsid w:val="00545B53"/>
    <w:rsid w:val="005469F5"/>
    <w:rsid w:val="0054769C"/>
    <w:rsid w:val="00551460"/>
    <w:rsid w:val="00552F98"/>
    <w:rsid w:val="00553297"/>
    <w:rsid w:val="00553B63"/>
    <w:rsid w:val="00554570"/>
    <w:rsid w:val="00554645"/>
    <w:rsid w:val="00554CE3"/>
    <w:rsid w:val="00555488"/>
    <w:rsid w:val="00555A5C"/>
    <w:rsid w:val="005561BB"/>
    <w:rsid w:val="00557BF9"/>
    <w:rsid w:val="005600D3"/>
    <w:rsid w:val="00560269"/>
    <w:rsid w:val="00560C49"/>
    <w:rsid w:val="00561449"/>
    <w:rsid w:val="00561CED"/>
    <w:rsid w:val="00562128"/>
    <w:rsid w:val="00562467"/>
    <w:rsid w:val="0056306D"/>
    <w:rsid w:val="0056345A"/>
    <w:rsid w:val="005664DA"/>
    <w:rsid w:val="005666ED"/>
    <w:rsid w:val="00566CC7"/>
    <w:rsid w:val="0056735F"/>
    <w:rsid w:val="0057100B"/>
    <w:rsid w:val="00571CCF"/>
    <w:rsid w:val="00571F60"/>
    <w:rsid w:val="00572402"/>
    <w:rsid w:val="00572C1D"/>
    <w:rsid w:val="005737FC"/>
    <w:rsid w:val="00573A5A"/>
    <w:rsid w:val="00574880"/>
    <w:rsid w:val="00574A43"/>
    <w:rsid w:val="005758C3"/>
    <w:rsid w:val="00575FEB"/>
    <w:rsid w:val="00576088"/>
    <w:rsid w:val="00576829"/>
    <w:rsid w:val="00576AEA"/>
    <w:rsid w:val="005807F9"/>
    <w:rsid w:val="00580E8C"/>
    <w:rsid w:val="00581852"/>
    <w:rsid w:val="00583210"/>
    <w:rsid w:val="005833FE"/>
    <w:rsid w:val="005848C4"/>
    <w:rsid w:val="0058689F"/>
    <w:rsid w:val="005870EB"/>
    <w:rsid w:val="0058730B"/>
    <w:rsid w:val="00590B61"/>
    <w:rsid w:val="0059167B"/>
    <w:rsid w:val="005919D4"/>
    <w:rsid w:val="00592472"/>
    <w:rsid w:val="00593931"/>
    <w:rsid w:val="00593A1F"/>
    <w:rsid w:val="00593C34"/>
    <w:rsid w:val="00593E6A"/>
    <w:rsid w:val="00593FC3"/>
    <w:rsid w:val="00594D03"/>
    <w:rsid w:val="005951A1"/>
    <w:rsid w:val="0059731D"/>
    <w:rsid w:val="00597A31"/>
    <w:rsid w:val="005A3483"/>
    <w:rsid w:val="005A360A"/>
    <w:rsid w:val="005A4903"/>
    <w:rsid w:val="005A4A7F"/>
    <w:rsid w:val="005A4F8D"/>
    <w:rsid w:val="005A5A33"/>
    <w:rsid w:val="005A5D39"/>
    <w:rsid w:val="005A6AA9"/>
    <w:rsid w:val="005A6C76"/>
    <w:rsid w:val="005A720D"/>
    <w:rsid w:val="005B032A"/>
    <w:rsid w:val="005B048A"/>
    <w:rsid w:val="005B0D3B"/>
    <w:rsid w:val="005B1105"/>
    <w:rsid w:val="005B24CF"/>
    <w:rsid w:val="005B2BDF"/>
    <w:rsid w:val="005B2BE2"/>
    <w:rsid w:val="005B2C8A"/>
    <w:rsid w:val="005B374C"/>
    <w:rsid w:val="005B4636"/>
    <w:rsid w:val="005B47D8"/>
    <w:rsid w:val="005B4877"/>
    <w:rsid w:val="005B5496"/>
    <w:rsid w:val="005B5F99"/>
    <w:rsid w:val="005B67CA"/>
    <w:rsid w:val="005B6DBD"/>
    <w:rsid w:val="005B731A"/>
    <w:rsid w:val="005B7622"/>
    <w:rsid w:val="005B7956"/>
    <w:rsid w:val="005B7D3C"/>
    <w:rsid w:val="005B7F4D"/>
    <w:rsid w:val="005C0CFF"/>
    <w:rsid w:val="005C0DC2"/>
    <w:rsid w:val="005C17A8"/>
    <w:rsid w:val="005C3B2B"/>
    <w:rsid w:val="005C3D1F"/>
    <w:rsid w:val="005C4011"/>
    <w:rsid w:val="005C429B"/>
    <w:rsid w:val="005C5151"/>
    <w:rsid w:val="005C59DC"/>
    <w:rsid w:val="005C5F1D"/>
    <w:rsid w:val="005C6383"/>
    <w:rsid w:val="005C6983"/>
    <w:rsid w:val="005C7FE9"/>
    <w:rsid w:val="005D0539"/>
    <w:rsid w:val="005D1EFB"/>
    <w:rsid w:val="005D3AF9"/>
    <w:rsid w:val="005D6598"/>
    <w:rsid w:val="005D6671"/>
    <w:rsid w:val="005E00F4"/>
    <w:rsid w:val="005E0516"/>
    <w:rsid w:val="005E1F37"/>
    <w:rsid w:val="005E2BF4"/>
    <w:rsid w:val="005E3C2D"/>
    <w:rsid w:val="005E42FA"/>
    <w:rsid w:val="005E5BE5"/>
    <w:rsid w:val="005E5DB3"/>
    <w:rsid w:val="005E70F0"/>
    <w:rsid w:val="005F1056"/>
    <w:rsid w:val="005F1822"/>
    <w:rsid w:val="005F25E0"/>
    <w:rsid w:val="005F2A63"/>
    <w:rsid w:val="005F3B9E"/>
    <w:rsid w:val="005F3C44"/>
    <w:rsid w:val="005F3E25"/>
    <w:rsid w:val="005F49B2"/>
    <w:rsid w:val="005F685E"/>
    <w:rsid w:val="005F6DBE"/>
    <w:rsid w:val="005F708C"/>
    <w:rsid w:val="005F72DC"/>
    <w:rsid w:val="005F7386"/>
    <w:rsid w:val="005F7D23"/>
    <w:rsid w:val="005F7F89"/>
    <w:rsid w:val="00601919"/>
    <w:rsid w:val="00601B12"/>
    <w:rsid w:val="006027B4"/>
    <w:rsid w:val="00602B8D"/>
    <w:rsid w:val="00603264"/>
    <w:rsid w:val="0060430B"/>
    <w:rsid w:val="00604A69"/>
    <w:rsid w:val="00604F3E"/>
    <w:rsid w:val="006053E4"/>
    <w:rsid w:val="00605479"/>
    <w:rsid w:val="006055B9"/>
    <w:rsid w:val="00605611"/>
    <w:rsid w:val="006059BA"/>
    <w:rsid w:val="006064D9"/>
    <w:rsid w:val="00606A31"/>
    <w:rsid w:val="00606AE8"/>
    <w:rsid w:val="00606B33"/>
    <w:rsid w:val="00610284"/>
    <w:rsid w:val="00610B11"/>
    <w:rsid w:val="00610CA9"/>
    <w:rsid w:val="00610E73"/>
    <w:rsid w:val="00610FAD"/>
    <w:rsid w:val="00611305"/>
    <w:rsid w:val="006135EA"/>
    <w:rsid w:val="006147C1"/>
    <w:rsid w:val="006170B3"/>
    <w:rsid w:val="006204C4"/>
    <w:rsid w:val="00620C6E"/>
    <w:rsid w:val="006210B7"/>
    <w:rsid w:val="0062172E"/>
    <w:rsid w:val="0062179D"/>
    <w:rsid w:val="00621D7A"/>
    <w:rsid w:val="0062350C"/>
    <w:rsid w:val="00623676"/>
    <w:rsid w:val="0062574C"/>
    <w:rsid w:val="0062576F"/>
    <w:rsid w:val="00625B1A"/>
    <w:rsid w:val="00626B52"/>
    <w:rsid w:val="00626C2A"/>
    <w:rsid w:val="00627FDB"/>
    <w:rsid w:val="00631CD6"/>
    <w:rsid w:val="006337AC"/>
    <w:rsid w:val="006338B2"/>
    <w:rsid w:val="00633C5C"/>
    <w:rsid w:val="00636F10"/>
    <w:rsid w:val="00636FC0"/>
    <w:rsid w:val="00637FC2"/>
    <w:rsid w:val="00640A55"/>
    <w:rsid w:val="00640AC3"/>
    <w:rsid w:val="00640E16"/>
    <w:rsid w:val="0064167E"/>
    <w:rsid w:val="0064172A"/>
    <w:rsid w:val="00642BAB"/>
    <w:rsid w:val="00645FF1"/>
    <w:rsid w:val="006467CE"/>
    <w:rsid w:val="00647581"/>
    <w:rsid w:val="00650D65"/>
    <w:rsid w:val="00651A67"/>
    <w:rsid w:val="00652425"/>
    <w:rsid w:val="0065300A"/>
    <w:rsid w:val="006546A4"/>
    <w:rsid w:val="006547A0"/>
    <w:rsid w:val="0065482E"/>
    <w:rsid w:val="00655951"/>
    <w:rsid w:val="00655CAB"/>
    <w:rsid w:val="00656DE9"/>
    <w:rsid w:val="00656FBC"/>
    <w:rsid w:val="00657286"/>
    <w:rsid w:val="00657A17"/>
    <w:rsid w:val="00660A4A"/>
    <w:rsid w:val="00661C4B"/>
    <w:rsid w:val="006636B9"/>
    <w:rsid w:val="0066458B"/>
    <w:rsid w:val="0066475F"/>
    <w:rsid w:val="006650E1"/>
    <w:rsid w:val="006656E0"/>
    <w:rsid w:val="006658D8"/>
    <w:rsid w:val="006659D3"/>
    <w:rsid w:val="00666221"/>
    <w:rsid w:val="00666F1D"/>
    <w:rsid w:val="0067202A"/>
    <w:rsid w:val="006726E1"/>
    <w:rsid w:val="00673100"/>
    <w:rsid w:val="006740F8"/>
    <w:rsid w:val="00674365"/>
    <w:rsid w:val="00674EB6"/>
    <w:rsid w:val="00674EB8"/>
    <w:rsid w:val="00675A45"/>
    <w:rsid w:val="00676D0C"/>
    <w:rsid w:val="0067754C"/>
    <w:rsid w:val="006775B8"/>
    <w:rsid w:val="00680DC2"/>
    <w:rsid w:val="0068185A"/>
    <w:rsid w:val="00682262"/>
    <w:rsid w:val="006827F4"/>
    <w:rsid w:val="006836D8"/>
    <w:rsid w:val="00684129"/>
    <w:rsid w:val="00684833"/>
    <w:rsid w:val="00684A96"/>
    <w:rsid w:val="006850C2"/>
    <w:rsid w:val="00685C4E"/>
    <w:rsid w:val="0068648D"/>
    <w:rsid w:val="006902E9"/>
    <w:rsid w:val="006912CC"/>
    <w:rsid w:val="0069146E"/>
    <w:rsid w:val="0069179F"/>
    <w:rsid w:val="006920C8"/>
    <w:rsid w:val="006928F9"/>
    <w:rsid w:val="006930F7"/>
    <w:rsid w:val="006947DD"/>
    <w:rsid w:val="00694A28"/>
    <w:rsid w:val="006955C9"/>
    <w:rsid w:val="00696907"/>
    <w:rsid w:val="00697289"/>
    <w:rsid w:val="006A008F"/>
    <w:rsid w:val="006A080A"/>
    <w:rsid w:val="006A0D47"/>
    <w:rsid w:val="006A32A6"/>
    <w:rsid w:val="006A395E"/>
    <w:rsid w:val="006A5BC0"/>
    <w:rsid w:val="006A5E60"/>
    <w:rsid w:val="006A6D63"/>
    <w:rsid w:val="006A7443"/>
    <w:rsid w:val="006A7BB3"/>
    <w:rsid w:val="006B02E0"/>
    <w:rsid w:val="006B0C30"/>
    <w:rsid w:val="006B0D6B"/>
    <w:rsid w:val="006B29CA"/>
    <w:rsid w:val="006B30B3"/>
    <w:rsid w:val="006B393F"/>
    <w:rsid w:val="006B3AB3"/>
    <w:rsid w:val="006B3FBA"/>
    <w:rsid w:val="006B495E"/>
    <w:rsid w:val="006B5FA5"/>
    <w:rsid w:val="006B61EA"/>
    <w:rsid w:val="006B723B"/>
    <w:rsid w:val="006C086E"/>
    <w:rsid w:val="006C08EF"/>
    <w:rsid w:val="006C1D01"/>
    <w:rsid w:val="006C21A8"/>
    <w:rsid w:val="006C4499"/>
    <w:rsid w:val="006C4947"/>
    <w:rsid w:val="006C4DCF"/>
    <w:rsid w:val="006C5D49"/>
    <w:rsid w:val="006C6280"/>
    <w:rsid w:val="006C6882"/>
    <w:rsid w:val="006D1366"/>
    <w:rsid w:val="006D156F"/>
    <w:rsid w:val="006D1BD8"/>
    <w:rsid w:val="006D22BC"/>
    <w:rsid w:val="006D3164"/>
    <w:rsid w:val="006D3A6E"/>
    <w:rsid w:val="006D499E"/>
    <w:rsid w:val="006D55CB"/>
    <w:rsid w:val="006D5C91"/>
    <w:rsid w:val="006D5F01"/>
    <w:rsid w:val="006D602A"/>
    <w:rsid w:val="006D667B"/>
    <w:rsid w:val="006D70F5"/>
    <w:rsid w:val="006D7C85"/>
    <w:rsid w:val="006E0284"/>
    <w:rsid w:val="006E4CDB"/>
    <w:rsid w:val="006E4E18"/>
    <w:rsid w:val="006E537A"/>
    <w:rsid w:val="006E54C8"/>
    <w:rsid w:val="006E5CCC"/>
    <w:rsid w:val="006E6506"/>
    <w:rsid w:val="006E6922"/>
    <w:rsid w:val="006E7377"/>
    <w:rsid w:val="006E7CF2"/>
    <w:rsid w:val="006F1166"/>
    <w:rsid w:val="006F1C36"/>
    <w:rsid w:val="006F2560"/>
    <w:rsid w:val="006F27E7"/>
    <w:rsid w:val="006F2902"/>
    <w:rsid w:val="006F2DA8"/>
    <w:rsid w:val="006F3A28"/>
    <w:rsid w:val="006F4861"/>
    <w:rsid w:val="006F4B2F"/>
    <w:rsid w:val="006F4C63"/>
    <w:rsid w:val="006F5283"/>
    <w:rsid w:val="006F5FD4"/>
    <w:rsid w:val="006F60D3"/>
    <w:rsid w:val="006F6C72"/>
    <w:rsid w:val="006F7397"/>
    <w:rsid w:val="00700792"/>
    <w:rsid w:val="0070086A"/>
    <w:rsid w:val="00702067"/>
    <w:rsid w:val="00703A87"/>
    <w:rsid w:val="00705445"/>
    <w:rsid w:val="007057B4"/>
    <w:rsid w:val="007058BA"/>
    <w:rsid w:val="00706BCE"/>
    <w:rsid w:val="00706C95"/>
    <w:rsid w:val="00706CCB"/>
    <w:rsid w:val="0070751F"/>
    <w:rsid w:val="00707DB5"/>
    <w:rsid w:val="00710E02"/>
    <w:rsid w:val="007113AE"/>
    <w:rsid w:val="00711D83"/>
    <w:rsid w:val="0071259F"/>
    <w:rsid w:val="00712C0A"/>
    <w:rsid w:val="00712F7B"/>
    <w:rsid w:val="00713567"/>
    <w:rsid w:val="00713A09"/>
    <w:rsid w:val="00713EF8"/>
    <w:rsid w:val="007154BA"/>
    <w:rsid w:val="0071575F"/>
    <w:rsid w:val="00715FDA"/>
    <w:rsid w:val="0071718F"/>
    <w:rsid w:val="007172DD"/>
    <w:rsid w:val="00717DCD"/>
    <w:rsid w:val="0072063D"/>
    <w:rsid w:val="00720841"/>
    <w:rsid w:val="00720AE1"/>
    <w:rsid w:val="00721D49"/>
    <w:rsid w:val="0072257B"/>
    <w:rsid w:val="007233FF"/>
    <w:rsid w:val="00723F15"/>
    <w:rsid w:val="00725526"/>
    <w:rsid w:val="007260BE"/>
    <w:rsid w:val="00727935"/>
    <w:rsid w:val="00727EE0"/>
    <w:rsid w:val="007318F3"/>
    <w:rsid w:val="00731E22"/>
    <w:rsid w:val="00733489"/>
    <w:rsid w:val="007336F3"/>
    <w:rsid w:val="00734147"/>
    <w:rsid w:val="00734546"/>
    <w:rsid w:val="00734BC9"/>
    <w:rsid w:val="0073585C"/>
    <w:rsid w:val="00736A01"/>
    <w:rsid w:val="00736E5E"/>
    <w:rsid w:val="007374F4"/>
    <w:rsid w:val="00737B15"/>
    <w:rsid w:val="007425CC"/>
    <w:rsid w:val="00742F83"/>
    <w:rsid w:val="00743AD3"/>
    <w:rsid w:val="0074457B"/>
    <w:rsid w:val="0074522C"/>
    <w:rsid w:val="00745381"/>
    <w:rsid w:val="00745C29"/>
    <w:rsid w:val="0074659F"/>
    <w:rsid w:val="00747303"/>
    <w:rsid w:val="007508C3"/>
    <w:rsid w:val="00752749"/>
    <w:rsid w:val="007527FF"/>
    <w:rsid w:val="00752C69"/>
    <w:rsid w:val="00752FC6"/>
    <w:rsid w:val="007535E4"/>
    <w:rsid w:val="0075369A"/>
    <w:rsid w:val="00754311"/>
    <w:rsid w:val="00754A88"/>
    <w:rsid w:val="00754D87"/>
    <w:rsid w:val="00755012"/>
    <w:rsid w:val="00756844"/>
    <w:rsid w:val="00756936"/>
    <w:rsid w:val="00757AE4"/>
    <w:rsid w:val="00757C16"/>
    <w:rsid w:val="0076087A"/>
    <w:rsid w:val="007616F8"/>
    <w:rsid w:val="00762CE6"/>
    <w:rsid w:val="00763000"/>
    <w:rsid w:val="00763DA7"/>
    <w:rsid w:val="00764EAB"/>
    <w:rsid w:val="0076531D"/>
    <w:rsid w:val="00766C16"/>
    <w:rsid w:val="0076762F"/>
    <w:rsid w:val="007679E4"/>
    <w:rsid w:val="0077005C"/>
    <w:rsid w:val="00770C4F"/>
    <w:rsid w:val="00771090"/>
    <w:rsid w:val="0077137B"/>
    <w:rsid w:val="0077182D"/>
    <w:rsid w:val="00771FC6"/>
    <w:rsid w:val="00772161"/>
    <w:rsid w:val="00773B88"/>
    <w:rsid w:val="007741D8"/>
    <w:rsid w:val="00774BA0"/>
    <w:rsid w:val="00774C71"/>
    <w:rsid w:val="00775155"/>
    <w:rsid w:val="00775292"/>
    <w:rsid w:val="007754B9"/>
    <w:rsid w:val="00775BD5"/>
    <w:rsid w:val="0077614B"/>
    <w:rsid w:val="00780C33"/>
    <w:rsid w:val="00780F37"/>
    <w:rsid w:val="0078208D"/>
    <w:rsid w:val="00782969"/>
    <w:rsid w:val="007834DC"/>
    <w:rsid w:val="00783950"/>
    <w:rsid w:val="007840B6"/>
    <w:rsid w:val="00784C2E"/>
    <w:rsid w:val="007854C4"/>
    <w:rsid w:val="0078576F"/>
    <w:rsid w:val="00785DCD"/>
    <w:rsid w:val="0078647D"/>
    <w:rsid w:val="007874BE"/>
    <w:rsid w:val="00787B0F"/>
    <w:rsid w:val="00787EE3"/>
    <w:rsid w:val="00787EEE"/>
    <w:rsid w:val="007911F0"/>
    <w:rsid w:val="00791285"/>
    <w:rsid w:val="007913F5"/>
    <w:rsid w:val="00791435"/>
    <w:rsid w:val="00792F87"/>
    <w:rsid w:val="007947B0"/>
    <w:rsid w:val="00795E47"/>
    <w:rsid w:val="00796127"/>
    <w:rsid w:val="00796916"/>
    <w:rsid w:val="00796AA6"/>
    <w:rsid w:val="0079710B"/>
    <w:rsid w:val="007A0415"/>
    <w:rsid w:val="007A0EFF"/>
    <w:rsid w:val="007A293A"/>
    <w:rsid w:val="007A31D2"/>
    <w:rsid w:val="007A3693"/>
    <w:rsid w:val="007A58BD"/>
    <w:rsid w:val="007A59D6"/>
    <w:rsid w:val="007A6053"/>
    <w:rsid w:val="007A6094"/>
    <w:rsid w:val="007A6208"/>
    <w:rsid w:val="007A67DA"/>
    <w:rsid w:val="007A755B"/>
    <w:rsid w:val="007A7AEB"/>
    <w:rsid w:val="007B04F2"/>
    <w:rsid w:val="007B0611"/>
    <w:rsid w:val="007B06FD"/>
    <w:rsid w:val="007B0BFE"/>
    <w:rsid w:val="007B3464"/>
    <w:rsid w:val="007B4249"/>
    <w:rsid w:val="007B4FBF"/>
    <w:rsid w:val="007B53D8"/>
    <w:rsid w:val="007B557C"/>
    <w:rsid w:val="007B602C"/>
    <w:rsid w:val="007B6D5F"/>
    <w:rsid w:val="007B7DB0"/>
    <w:rsid w:val="007C0717"/>
    <w:rsid w:val="007C083D"/>
    <w:rsid w:val="007C0C90"/>
    <w:rsid w:val="007C0DFD"/>
    <w:rsid w:val="007C103F"/>
    <w:rsid w:val="007C19DD"/>
    <w:rsid w:val="007C25F0"/>
    <w:rsid w:val="007C27DF"/>
    <w:rsid w:val="007C34FC"/>
    <w:rsid w:val="007C38E9"/>
    <w:rsid w:val="007C54E9"/>
    <w:rsid w:val="007C650C"/>
    <w:rsid w:val="007C72FB"/>
    <w:rsid w:val="007D1A0A"/>
    <w:rsid w:val="007D1E4F"/>
    <w:rsid w:val="007D20DF"/>
    <w:rsid w:val="007D2E07"/>
    <w:rsid w:val="007D3498"/>
    <w:rsid w:val="007D3AEB"/>
    <w:rsid w:val="007D5004"/>
    <w:rsid w:val="007D597E"/>
    <w:rsid w:val="007D6048"/>
    <w:rsid w:val="007D60CF"/>
    <w:rsid w:val="007D6422"/>
    <w:rsid w:val="007D698D"/>
    <w:rsid w:val="007E0381"/>
    <w:rsid w:val="007E0800"/>
    <w:rsid w:val="007E112E"/>
    <w:rsid w:val="007E18B5"/>
    <w:rsid w:val="007E2AB8"/>
    <w:rsid w:val="007E2C33"/>
    <w:rsid w:val="007E343C"/>
    <w:rsid w:val="007E3A30"/>
    <w:rsid w:val="007E4494"/>
    <w:rsid w:val="007E4E80"/>
    <w:rsid w:val="007E5346"/>
    <w:rsid w:val="007E56AC"/>
    <w:rsid w:val="007E5B12"/>
    <w:rsid w:val="007E7B91"/>
    <w:rsid w:val="007F021F"/>
    <w:rsid w:val="007F0C1C"/>
    <w:rsid w:val="007F0C32"/>
    <w:rsid w:val="007F12F8"/>
    <w:rsid w:val="007F1698"/>
    <w:rsid w:val="007F2057"/>
    <w:rsid w:val="007F29DB"/>
    <w:rsid w:val="007F368E"/>
    <w:rsid w:val="007F38D5"/>
    <w:rsid w:val="007F3EAC"/>
    <w:rsid w:val="007F4B43"/>
    <w:rsid w:val="007F525E"/>
    <w:rsid w:val="00802F73"/>
    <w:rsid w:val="00803264"/>
    <w:rsid w:val="00803EB6"/>
    <w:rsid w:val="00804877"/>
    <w:rsid w:val="00805605"/>
    <w:rsid w:val="008062D7"/>
    <w:rsid w:val="008075E3"/>
    <w:rsid w:val="008076D6"/>
    <w:rsid w:val="00807819"/>
    <w:rsid w:val="00807FEB"/>
    <w:rsid w:val="00810571"/>
    <w:rsid w:val="00810B4B"/>
    <w:rsid w:val="00811992"/>
    <w:rsid w:val="00812132"/>
    <w:rsid w:val="00812449"/>
    <w:rsid w:val="008128FD"/>
    <w:rsid w:val="00813236"/>
    <w:rsid w:val="00813AED"/>
    <w:rsid w:val="00814511"/>
    <w:rsid w:val="00814751"/>
    <w:rsid w:val="00814B22"/>
    <w:rsid w:val="00815367"/>
    <w:rsid w:val="008157BB"/>
    <w:rsid w:val="00816182"/>
    <w:rsid w:val="00816260"/>
    <w:rsid w:val="008166D3"/>
    <w:rsid w:val="008172E1"/>
    <w:rsid w:val="00817E7E"/>
    <w:rsid w:val="00820314"/>
    <w:rsid w:val="008206DF"/>
    <w:rsid w:val="00821020"/>
    <w:rsid w:val="008219DF"/>
    <w:rsid w:val="00823F29"/>
    <w:rsid w:val="00824C62"/>
    <w:rsid w:val="00824D73"/>
    <w:rsid w:val="00825874"/>
    <w:rsid w:val="008274A1"/>
    <w:rsid w:val="0082778C"/>
    <w:rsid w:val="00832072"/>
    <w:rsid w:val="00832888"/>
    <w:rsid w:val="0083348C"/>
    <w:rsid w:val="008337A5"/>
    <w:rsid w:val="0083457A"/>
    <w:rsid w:val="00834D67"/>
    <w:rsid w:val="00835177"/>
    <w:rsid w:val="00835857"/>
    <w:rsid w:val="00837354"/>
    <w:rsid w:val="00837601"/>
    <w:rsid w:val="00840600"/>
    <w:rsid w:val="00840773"/>
    <w:rsid w:val="00840D7B"/>
    <w:rsid w:val="0084130E"/>
    <w:rsid w:val="00841533"/>
    <w:rsid w:val="00842317"/>
    <w:rsid w:val="008423B3"/>
    <w:rsid w:val="00842CC4"/>
    <w:rsid w:val="00842FBC"/>
    <w:rsid w:val="00843741"/>
    <w:rsid w:val="00844283"/>
    <w:rsid w:val="00844333"/>
    <w:rsid w:val="00844431"/>
    <w:rsid w:val="00844581"/>
    <w:rsid w:val="00846BD1"/>
    <w:rsid w:val="00847ED9"/>
    <w:rsid w:val="008501E7"/>
    <w:rsid w:val="00850F12"/>
    <w:rsid w:val="00852441"/>
    <w:rsid w:val="00852E14"/>
    <w:rsid w:val="00853044"/>
    <w:rsid w:val="00854135"/>
    <w:rsid w:val="00854E4B"/>
    <w:rsid w:val="0085675E"/>
    <w:rsid w:val="00857DA0"/>
    <w:rsid w:val="00860F21"/>
    <w:rsid w:val="00860F96"/>
    <w:rsid w:val="0086222D"/>
    <w:rsid w:val="00865228"/>
    <w:rsid w:val="00865BF3"/>
    <w:rsid w:val="00866222"/>
    <w:rsid w:val="00867750"/>
    <w:rsid w:val="00867FC7"/>
    <w:rsid w:val="00870791"/>
    <w:rsid w:val="008708C9"/>
    <w:rsid w:val="00871AEB"/>
    <w:rsid w:val="008722E6"/>
    <w:rsid w:val="00872DBC"/>
    <w:rsid w:val="008730CC"/>
    <w:rsid w:val="008732D3"/>
    <w:rsid w:val="008750FE"/>
    <w:rsid w:val="00877337"/>
    <w:rsid w:val="008777AB"/>
    <w:rsid w:val="008779AF"/>
    <w:rsid w:val="00877C34"/>
    <w:rsid w:val="00877D9A"/>
    <w:rsid w:val="008800F8"/>
    <w:rsid w:val="0088097B"/>
    <w:rsid w:val="00881E2B"/>
    <w:rsid w:val="008826B8"/>
    <w:rsid w:val="00882EAD"/>
    <w:rsid w:val="00882F55"/>
    <w:rsid w:val="008835DA"/>
    <w:rsid w:val="00883D7E"/>
    <w:rsid w:val="00884CD0"/>
    <w:rsid w:val="008865C9"/>
    <w:rsid w:val="00886737"/>
    <w:rsid w:val="00886B7F"/>
    <w:rsid w:val="00886F56"/>
    <w:rsid w:val="008870A0"/>
    <w:rsid w:val="00887B31"/>
    <w:rsid w:val="00887BE2"/>
    <w:rsid w:val="00887CC2"/>
    <w:rsid w:val="008909FB"/>
    <w:rsid w:val="00891534"/>
    <w:rsid w:val="008925F2"/>
    <w:rsid w:val="00892892"/>
    <w:rsid w:val="00892F1D"/>
    <w:rsid w:val="00893EF2"/>
    <w:rsid w:val="00893EF9"/>
    <w:rsid w:val="00894188"/>
    <w:rsid w:val="00895973"/>
    <w:rsid w:val="0089678E"/>
    <w:rsid w:val="00897E0A"/>
    <w:rsid w:val="008A0ED5"/>
    <w:rsid w:val="008A273F"/>
    <w:rsid w:val="008A2ACF"/>
    <w:rsid w:val="008A2F9C"/>
    <w:rsid w:val="008A3248"/>
    <w:rsid w:val="008A342D"/>
    <w:rsid w:val="008A34AF"/>
    <w:rsid w:val="008A3C2F"/>
    <w:rsid w:val="008A503F"/>
    <w:rsid w:val="008A5FBF"/>
    <w:rsid w:val="008B2107"/>
    <w:rsid w:val="008B260F"/>
    <w:rsid w:val="008B28C4"/>
    <w:rsid w:val="008B38E3"/>
    <w:rsid w:val="008B3DBC"/>
    <w:rsid w:val="008B4AE2"/>
    <w:rsid w:val="008B4B0F"/>
    <w:rsid w:val="008B5F2F"/>
    <w:rsid w:val="008B6FA0"/>
    <w:rsid w:val="008C0126"/>
    <w:rsid w:val="008C16E8"/>
    <w:rsid w:val="008C1815"/>
    <w:rsid w:val="008C1FF6"/>
    <w:rsid w:val="008C24DB"/>
    <w:rsid w:val="008C3300"/>
    <w:rsid w:val="008C3327"/>
    <w:rsid w:val="008C3377"/>
    <w:rsid w:val="008C3E64"/>
    <w:rsid w:val="008C4268"/>
    <w:rsid w:val="008C4778"/>
    <w:rsid w:val="008C5057"/>
    <w:rsid w:val="008C6018"/>
    <w:rsid w:val="008C74FF"/>
    <w:rsid w:val="008D1025"/>
    <w:rsid w:val="008D138C"/>
    <w:rsid w:val="008D1D24"/>
    <w:rsid w:val="008D1E02"/>
    <w:rsid w:val="008D2D2B"/>
    <w:rsid w:val="008D2F95"/>
    <w:rsid w:val="008D4390"/>
    <w:rsid w:val="008D534B"/>
    <w:rsid w:val="008D5F0B"/>
    <w:rsid w:val="008D7521"/>
    <w:rsid w:val="008E076E"/>
    <w:rsid w:val="008E14CB"/>
    <w:rsid w:val="008E3A99"/>
    <w:rsid w:val="008E4404"/>
    <w:rsid w:val="008E444F"/>
    <w:rsid w:val="008E4D36"/>
    <w:rsid w:val="008E537E"/>
    <w:rsid w:val="008E5A0B"/>
    <w:rsid w:val="008E5D73"/>
    <w:rsid w:val="008E6147"/>
    <w:rsid w:val="008E6484"/>
    <w:rsid w:val="008E7489"/>
    <w:rsid w:val="008E7607"/>
    <w:rsid w:val="008E7802"/>
    <w:rsid w:val="008E7BE6"/>
    <w:rsid w:val="008F0938"/>
    <w:rsid w:val="008F0DFA"/>
    <w:rsid w:val="008F13A2"/>
    <w:rsid w:val="008F1C97"/>
    <w:rsid w:val="008F22EB"/>
    <w:rsid w:val="008F347F"/>
    <w:rsid w:val="008F3AE6"/>
    <w:rsid w:val="008F3E36"/>
    <w:rsid w:val="008F3FCD"/>
    <w:rsid w:val="008F4038"/>
    <w:rsid w:val="008F4DF3"/>
    <w:rsid w:val="008F52A6"/>
    <w:rsid w:val="008F5338"/>
    <w:rsid w:val="008F5C3A"/>
    <w:rsid w:val="008F6DB6"/>
    <w:rsid w:val="008F75FC"/>
    <w:rsid w:val="008F7D97"/>
    <w:rsid w:val="00901262"/>
    <w:rsid w:val="009012AC"/>
    <w:rsid w:val="0090166E"/>
    <w:rsid w:val="00901C45"/>
    <w:rsid w:val="00901EE4"/>
    <w:rsid w:val="009024B8"/>
    <w:rsid w:val="00903CD9"/>
    <w:rsid w:val="00904023"/>
    <w:rsid w:val="009100C0"/>
    <w:rsid w:val="00910CD4"/>
    <w:rsid w:val="00911DAF"/>
    <w:rsid w:val="0091305F"/>
    <w:rsid w:val="009134BD"/>
    <w:rsid w:val="009146E9"/>
    <w:rsid w:val="009147C3"/>
    <w:rsid w:val="00914A06"/>
    <w:rsid w:val="009164C2"/>
    <w:rsid w:val="0091727A"/>
    <w:rsid w:val="009172B9"/>
    <w:rsid w:val="0092052A"/>
    <w:rsid w:val="00921A1D"/>
    <w:rsid w:val="00921F28"/>
    <w:rsid w:val="009227FB"/>
    <w:rsid w:val="009230DD"/>
    <w:rsid w:val="0092329B"/>
    <w:rsid w:val="00923480"/>
    <w:rsid w:val="009239E5"/>
    <w:rsid w:val="00924233"/>
    <w:rsid w:val="009243EC"/>
    <w:rsid w:val="00924893"/>
    <w:rsid w:val="00924BB7"/>
    <w:rsid w:val="00926FC3"/>
    <w:rsid w:val="00932412"/>
    <w:rsid w:val="0093245A"/>
    <w:rsid w:val="00932737"/>
    <w:rsid w:val="00933A8D"/>
    <w:rsid w:val="009344C2"/>
    <w:rsid w:val="00935DC1"/>
    <w:rsid w:val="0093668C"/>
    <w:rsid w:val="00936B3D"/>
    <w:rsid w:val="009374F7"/>
    <w:rsid w:val="0094068B"/>
    <w:rsid w:val="009413D5"/>
    <w:rsid w:val="00941603"/>
    <w:rsid w:val="00941F4A"/>
    <w:rsid w:val="009422F7"/>
    <w:rsid w:val="009424EB"/>
    <w:rsid w:val="00942AC4"/>
    <w:rsid w:val="00943056"/>
    <w:rsid w:val="0094430C"/>
    <w:rsid w:val="009444FE"/>
    <w:rsid w:val="00944D40"/>
    <w:rsid w:val="00945969"/>
    <w:rsid w:val="00945CEE"/>
    <w:rsid w:val="00946454"/>
    <w:rsid w:val="0094691A"/>
    <w:rsid w:val="009502EF"/>
    <w:rsid w:val="00951275"/>
    <w:rsid w:val="00951D0A"/>
    <w:rsid w:val="009522A5"/>
    <w:rsid w:val="009528B5"/>
    <w:rsid w:val="00952F9F"/>
    <w:rsid w:val="0095337C"/>
    <w:rsid w:val="00953EE0"/>
    <w:rsid w:val="00956070"/>
    <w:rsid w:val="009563BC"/>
    <w:rsid w:val="00956A21"/>
    <w:rsid w:val="0096138E"/>
    <w:rsid w:val="00961CD6"/>
    <w:rsid w:val="00961F6B"/>
    <w:rsid w:val="0096341F"/>
    <w:rsid w:val="00966DAB"/>
    <w:rsid w:val="00967E93"/>
    <w:rsid w:val="00970873"/>
    <w:rsid w:val="009724C7"/>
    <w:rsid w:val="0097271B"/>
    <w:rsid w:val="0097321B"/>
    <w:rsid w:val="0097369D"/>
    <w:rsid w:val="00974188"/>
    <w:rsid w:val="00974EA3"/>
    <w:rsid w:val="009753BE"/>
    <w:rsid w:val="0097546F"/>
    <w:rsid w:val="00975D0A"/>
    <w:rsid w:val="00975EB3"/>
    <w:rsid w:val="0097725C"/>
    <w:rsid w:val="00977827"/>
    <w:rsid w:val="00977D8B"/>
    <w:rsid w:val="0098006E"/>
    <w:rsid w:val="009807FB"/>
    <w:rsid w:val="00980B5E"/>
    <w:rsid w:val="00980C0E"/>
    <w:rsid w:val="0098169A"/>
    <w:rsid w:val="00981772"/>
    <w:rsid w:val="00981ACB"/>
    <w:rsid w:val="00982A96"/>
    <w:rsid w:val="00983471"/>
    <w:rsid w:val="00983AC7"/>
    <w:rsid w:val="00985840"/>
    <w:rsid w:val="009864A3"/>
    <w:rsid w:val="00987A7D"/>
    <w:rsid w:val="0099007C"/>
    <w:rsid w:val="009907E0"/>
    <w:rsid w:val="009909A6"/>
    <w:rsid w:val="00991657"/>
    <w:rsid w:val="00991E14"/>
    <w:rsid w:val="00992CF1"/>
    <w:rsid w:val="00993562"/>
    <w:rsid w:val="00993C46"/>
    <w:rsid w:val="00993FB7"/>
    <w:rsid w:val="00994266"/>
    <w:rsid w:val="0099467E"/>
    <w:rsid w:val="00995DDF"/>
    <w:rsid w:val="00995F32"/>
    <w:rsid w:val="009960C4"/>
    <w:rsid w:val="009979AC"/>
    <w:rsid w:val="009A0618"/>
    <w:rsid w:val="009A13C1"/>
    <w:rsid w:val="009A1492"/>
    <w:rsid w:val="009A1662"/>
    <w:rsid w:val="009A2483"/>
    <w:rsid w:val="009A263D"/>
    <w:rsid w:val="009A264F"/>
    <w:rsid w:val="009A39CD"/>
    <w:rsid w:val="009A4D75"/>
    <w:rsid w:val="009A6E92"/>
    <w:rsid w:val="009B0E08"/>
    <w:rsid w:val="009B0E5B"/>
    <w:rsid w:val="009B145A"/>
    <w:rsid w:val="009B16EB"/>
    <w:rsid w:val="009B197D"/>
    <w:rsid w:val="009B2A34"/>
    <w:rsid w:val="009B33F2"/>
    <w:rsid w:val="009B3ABD"/>
    <w:rsid w:val="009B53E8"/>
    <w:rsid w:val="009B7A55"/>
    <w:rsid w:val="009C16A6"/>
    <w:rsid w:val="009C335A"/>
    <w:rsid w:val="009C52F8"/>
    <w:rsid w:val="009C578E"/>
    <w:rsid w:val="009C5B0F"/>
    <w:rsid w:val="009C5CA1"/>
    <w:rsid w:val="009C5E07"/>
    <w:rsid w:val="009C6435"/>
    <w:rsid w:val="009C6A8F"/>
    <w:rsid w:val="009C7683"/>
    <w:rsid w:val="009D0DC7"/>
    <w:rsid w:val="009D2759"/>
    <w:rsid w:val="009D28DB"/>
    <w:rsid w:val="009D37B8"/>
    <w:rsid w:val="009D3BAB"/>
    <w:rsid w:val="009D4587"/>
    <w:rsid w:val="009D55B3"/>
    <w:rsid w:val="009D5B89"/>
    <w:rsid w:val="009D659F"/>
    <w:rsid w:val="009D7802"/>
    <w:rsid w:val="009D7C92"/>
    <w:rsid w:val="009D7D88"/>
    <w:rsid w:val="009E1064"/>
    <w:rsid w:val="009E1170"/>
    <w:rsid w:val="009E203E"/>
    <w:rsid w:val="009E2B23"/>
    <w:rsid w:val="009E413C"/>
    <w:rsid w:val="009E41A2"/>
    <w:rsid w:val="009E65AF"/>
    <w:rsid w:val="009E6CA7"/>
    <w:rsid w:val="009E7106"/>
    <w:rsid w:val="009E7D67"/>
    <w:rsid w:val="009F03C3"/>
    <w:rsid w:val="009F097D"/>
    <w:rsid w:val="009F128A"/>
    <w:rsid w:val="009F14C8"/>
    <w:rsid w:val="009F1ADA"/>
    <w:rsid w:val="009F1E82"/>
    <w:rsid w:val="009F252A"/>
    <w:rsid w:val="009F3971"/>
    <w:rsid w:val="009F4F3D"/>
    <w:rsid w:val="009F5EA9"/>
    <w:rsid w:val="009F6642"/>
    <w:rsid w:val="009F690F"/>
    <w:rsid w:val="009F6B65"/>
    <w:rsid w:val="009F756D"/>
    <w:rsid w:val="009F766C"/>
    <w:rsid w:val="00A01922"/>
    <w:rsid w:val="00A02450"/>
    <w:rsid w:val="00A041C3"/>
    <w:rsid w:val="00A04668"/>
    <w:rsid w:val="00A05437"/>
    <w:rsid w:val="00A05690"/>
    <w:rsid w:val="00A062BA"/>
    <w:rsid w:val="00A06A76"/>
    <w:rsid w:val="00A07C5E"/>
    <w:rsid w:val="00A102A0"/>
    <w:rsid w:val="00A10CEC"/>
    <w:rsid w:val="00A10FAE"/>
    <w:rsid w:val="00A13244"/>
    <w:rsid w:val="00A13ABB"/>
    <w:rsid w:val="00A13AF9"/>
    <w:rsid w:val="00A13CD7"/>
    <w:rsid w:val="00A15936"/>
    <w:rsid w:val="00A16751"/>
    <w:rsid w:val="00A17529"/>
    <w:rsid w:val="00A20998"/>
    <w:rsid w:val="00A20E18"/>
    <w:rsid w:val="00A22394"/>
    <w:rsid w:val="00A22BEC"/>
    <w:rsid w:val="00A22CB6"/>
    <w:rsid w:val="00A231A5"/>
    <w:rsid w:val="00A23EAC"/>
    <w:rsid w:val="00A2445E"/>
    <w:rsid w:val="00A24F1F"/>
    <w:rsid w:val="00A24F49"/>
    <w:rsid w:val="00A25ED8"/>
    <w:rsid w:val="00A272E9"/>
    <w:rsid w:val="00A2790D"/>
    <w:rsid w:val="00A27C4E"/>
    <w:rsid w:val="00A307F9"/>
    <w:rsid w:val="00A338AD"/>
    <w:rsid w:val="00A338C1"/>
    <w:rsid w:val="00A33910"/>
    <w:rsid w:val="00A3496E"/>
    <w:rsid w:val="00A34D2C"/>
    <w:rsid w:val="00A35066"/>
    <w:rsid w:val="00A350D3"/>
    <w:rsid w:val="00A35D82"/>
    <w:rsid w:val="00A3760D"/>
    <w:rsid w:val="00A40719"/>
    <w:rsid w:val="00A40BF7"/>
    <w:rsid w:val="00A4176F"/>
    <w:rsid w:val="00A41FD7"/>
    <w:rsid w:val="00A4288D"/>
    <w:rsid w:val="00A42EA2"/>
    <w:rsid w:val="00A4332F"/>
    <w:rsid w:val="00A43BED"/>
    <w:rsid w:val="00A441D4"/>
    <w:rsid w:val="00A45371"/>
    <w:rsid w:val="00A4594E"/>
    <w:rsid w:val="00A46899"/>
    <w:rsid w:val="00A506CB"/>
    <w:rsid w:val="00A51A4F"/>
    <w:rsid w:val="00A51F74"/>
    <w:rsid w:val="00A52E33"/>
    <w:rsid w:val="00A534C3"/>
    <w:rsid w:val="00A53E86"/>
    <w:rsid w:val="00A54611"/>
    <w:rsid w:val="00A552C5"/>
    <w:rsid w:val="00A55F9F"/>
    <w:rsid w:val="00A56471"/>
    <w:rsid w:val="00A5678E"/>
    <w:rsid w:val="00A568AD"/>
    <w:rsid w:val="00A60767"/>
    <w:rsid w:val="00A60845"/>
    <w:rsid w:val="00A60E8D"/>
    <w:rsid w:val="00A60F93"/>
    <w:rsid w:val="00A61353"/>
    <w:rsid w:val="00A61977"/>
    <w:rsid w:val="00A61F1F"/>
    <w:rsid w:val="00A626B6"/>
    <w:rsid w:val="00A662E1"/>
    <w:rsid w:val="00A674A4"/>
    <w:rsid w:val="00A675A5"/>
    <w:rsid w:val="00A7001C"/>
    <w:rsid w:val="00A72462"/>
    <w:rsid w:val="00A72B9C"/>
    <w:rsid w:val="00A736B5"/>
    <w:rsid w:val="00A73973"/>
    <w:rsid w:val="00A74A08"/>
    <w:rsid w:val="00A75761"/>
    <w:rsid w:val="00A759C9"/>
    <w:rsid w:val="00A775D6"/>
    <w:rsid w:val="00A7781F"/>
    <w:rsid w:val="00A84D2E"/>
    <w:rsid w:val="00A84D33"/>
    <w:rsid w:val="00A85DEE"/>
    <w:rsid w:val="00A86056"/>
    <w:rsid w:val="00A86BED"/>
    <w:rsid w:val="00A87A05"/>
    <w:rsid w:val="00A903E4"/>
    <w:rsid w:val="00A90564"/>
    <w:rsid w:val="00A91039"/>
    <w:rsid w:val="00A9107D"/>
    <w:rsid w:val="00A91DF9"/>
    <w:rsid w:val="00A921F9"/>
    <w:rsid w:val="00A92D39"/>
    <w:rsid w:val="00A94AA4"/>
    <w:rsid w:val="00A95C4E"/>
    <w:rsid w:val="00A960B5"/>
    <w:rsid w:val="00A96F5C"/>
    <w:rsid w:val="00A9799B"/>
    <w:rsid w:val="00A97E34"/>
    <w:rsid w:val="00AA031E"/>
    <w:rsid w:val="00AA0EEB"/>
    <w:rsid w:val="00AA1879"/>
    <w:rsid w:val="00AA1A1F"/>
    <w:rsid w:val="00AA1DF7"/>
    <w:rsid w:val="00AA1FFF"/>
    <w:rsid w:val="00AA23FD"/>
    <w:rsid w:val="00AA2C03"/>
    <w:rsid w:val="00AA3892"/>
    <w:rsid w:val="00AA38A3"/>
    <w:rsid w:val="00AA42E1"/>
    <w:rsid w:val="00AA4C2D"/>
    <w:rsid w:val="00AA5C45"/>
    <w:rsid w:val="00AA7E00"/>
    <w:rsid w:val="00AB0CAF"/>
    <w:rsid w:val="00AB0E30"/>
    <w:rsid w:val="00AB163F"/>
    <w:rsid w:val="00AB1E31"/>
    <w:rsid w:val="00AB2248"/>
    <w:rsid w:val="00AB27F2"/>
    <w:rsid w:val="00AB2B26"/>
    <w:rsid w:val="00AB3128"/>
    <w:rsid w:val="00AB4011"/>
    <w:rsid w:val="00AB44F3"/>
    <w:rsid w:val="00AB5556"/>
    <w:rsid w:val="00AB5CB4"/>
    <w:rsid w:val="00AB5D87"/>
    <w:rsid w:val="00AB5FB2"/>
    <w:rsid w:val="00AB68A6"/>
    <w:rsid w:val="00AB6E86"/>
    <w:rsid w:val="00AC00D2"/>
    <w:rsid w:val="00AC046F"/>
    <w:rsid w:val="00AC1A2B"/>
    <w:rsid w:val="00AC2170"/>
    <w:rsid w:val="00AC2CAD"/>
    <w:rsid w:val="00AC32D6"/>
    <w:rsid w:val="00AC3424"/>
    <w:rsid w:val="00AC3D73"/>
    <w:rsid w:val="00AC5133"/>
    <w:rsid w:val="00AC5ACD"/>
    <w:rsid w:val="00AC61BE"/>
    <w:rsid w:val="00AC61C4"/>
    <w:rsid w:val="00AC6554"/>
    <w:rsid w:val="00AC68E3"/>
    <w:rsid w:val="00AD08BA"/>
    <w:rsid w:val="00AD08EC"/>
    <w:rsid w:val="00AD1BC0"/>
    <w:rsid w:val="00AD23EF"/>
    <w:rsid w:val="00AD2809"/>
    <w:rsid w:val="00AD2AF0"/>
    <w:rsid w:val="00AD2D8A"/>
    <w:rsid w:val="00AD420F"/>
    <w:rsid w:val="00AD4217"/>
    <w:rsid w:val="00AD5C9A"/>
    <w:rsid w:val="00AD6352"/>
    <w:rsid w:val="00AD6F5F"/>
    <w:rsid w:val="00AD7500"/>
    <w:rsid w:val="00AD7A94"/>
    <w:rsid w:val="00AE0047"/>
    <w:rsid w:val="00AE02CA"/>
    <w:rsid w:val="00AE1681"/>
    <w:rsid w:val="00AE1B92"/>
    <w:rsid w:val="00AE1D91"/>
    <w:rsid w:val="00AE274E"/>
    <w:rsid w:val="00AE2808"/>
    <w:rsid w:val="00AE2CD6"/>
    <w:rsid w:val="00AE4D6E"/>
    <w:rsid w:val="00AE6C4A"/>
    <w:rsid w:val="00AE76AC"/>
    <w:rsid w:val="00AF1AC7"/>
    <w:rsid w:val="00AF3DEE"/>
    <w:rsid w:val="00AF44A3"/>
    <w:rsid w:val="00AF4CEC"/>
    <w:rsid w:val="00AF5459"/>
    <w:rsid w:val="00AF5667"/>
    <w:rsid w:val="00B00C51"/>
    <w:rsid w:val="00B013E8"/>
    <w:rsid w:val="00B01C34"/>
    <w:rsid w:val="00B021A0"/>
    <w:rsid w:val="00B02663"/>
    <w:rsid w:val="00B02E4F"/>
    <w:rsid w:val="00B03245"/>
    <w:rsid w:val="00B03896"/>
    <w:rsid w:val="00B04B8C"/>
    <w:rsid w:val="00B05BDC"/>
    <w:rsid w:val="00B05CCA"/>
    <w:rsid w:val="00B05E8C"/>
    <w:rsid w:val="00B06C3A"/>
    <w:rsid w:val="00B10823"/>
    <w:rsid w:val="00B111CC"/>
    <w:rsid w:val="00B112C7"/>
    <w:rsid w:val="00B12B68"/>
    <w:rsid w:val="00B12BCE"/>
    <w:rsid w:val="00B12F1B"/>
    <w:rsid w:val="00B1312F"/>
    <w:rsid w:val="00B1350D"/>
    <w:rsid w:val="00B13957"/>
    <w:rsid w:val="00B1439A"/>
    <w:rsid w:val="00B14A9B"/>
    <w:rsid w:val="00B150D1"/>
    <w:rsid w:val="00B17C79"/>
    <w:rsid w:val="00B2012E"/>
    <w:rsid w:val="00B2091B"/>
    <w:rsid w:val="00B20B7F"/>
    <w:rsid w:val="00B216A2"/>
    <w:rsid w:val="00B21C42"/>
    <w:rsid w:val="00B22487"/>
    <w:rsid w:val="00B23AD6"/>
    <w:rsid w:val="00B243E2"/>
    <w:rsid w:val="00B24889"/>
    <w:rsid w:val="00B24E76"/>
    <w:rsid w:val="00B24F5A"/>
    <w:rsid w:val="00B25B64"/>
    <w:rsid w:val="00B25E3F"/>
    <w:rsid w:val="00B264DF"/>
    <w:rsid w:val="00B26A4F"/>
    <w:rsid w:val="00B26BD6"/>
    <w:rsid w:val="00B27438"/>
    <w:rsid w:val="00B27BBC"/>
    <w:rsid w:val="00B30598"/>
    <w:rsid w:val="00B31068"/>
    <w:rsid w:val="00B316F6"/>
    <w:rsid w:val="00B33E75"/>
    <w:rsid w:val="00B37D21"/>
    <w:rsid w:val="00B37E00"/>
    <w:rsid w:val="00B37E7A"/>
    <w:rsid w:val="00B401D1"/>
    <w:rsid w:val="00B405D1"/>
    <w:rsid w:val="00B4093B"/>
    <w:rsid w:val="00B40F39"/>
    <w:rsid w:val="00B426BF"/>
    <w:rsid w:val="00B42805"/>
    <w:rsid w:val="00B430E7"/>
    <w:rsid w:val="00B44CF6"/>
    <w:rsid w:val="00B47D02"/>
    <w:rsid w:val="00B5218C"/>
    <w:rsid w:val="00B52885"/>
    <w:rsid w:val="00B52907"/>
    <w:rsid w:val="00B52FA4"/>
    <w:rsid w:val="00B53279"/>
    <w:rsid w:val="00B537E7"/>
    <w:rsid w:val="00B53A65"/>
    <w:rsid w:val="00B53E10"/>
    <w:rsid w:val="00B5418F"/>
    <w:rsid w:val="00B55BA0"/>
    <w:rsid w:val="00B56F7C"/>
    <w:rsid w:val="00B57155"/>
    <w:rsid w:val="00B5751C"/>
    <w:rsid w:val="00B57533"/>
    <w:rsid w:val="00B5763C"/>
    <w:rsid w:val="00B60140"/>
    <w:rsid w:val="00B606D5"/>
    <w:rsid w:val="00B609E0"/>
    <w:rsid w:val="00B610A4"/>
    <w:rsid w:val="00B612FE"/>
    <w:rsid w:val="00B6279F"/>
    <w:rsid w:val="00B62D71"/>
    <w:rsid w:val="00B63249"/>
    <w:rsid w:val="00B63542"/>
    <w:rsid w:val="00B63CA3"/>
    <w:rsid w:val="00B643CB"/>
    <w:rsid w:val="00B656CF"/>
    <w:rsid w:val="00B65ED9"/>
    <w:rsid w:val="00B67356"/>
    <w:rsid w:val="00B71234"/>
    <w:rsid w:val="00B718B6"/>
    <w:rsid w:val="00B72069"/>
    <w:rsid w:val="00B74DEE"/>
    <w:rsid w:val="00B74F24"/>
    <w:rsid w:val="00B75373"/>
    <w:rsid w:val="00B754BD"/>
    <w:rsid w:val="00B7592B"/>
    <w:rsid w:val="00B77CB8"/>
    <w:rsid w:val="00B804BD"/>
    <w:rsid w:val="00B818E3"/>
    <w:rsid w:val="00B83A3B"/>
    <w:rsid w:val="00B86BD2"/>
    <w:rsid w:val="00B910AE"/>
    <w:rsid w:val="00B91837"/>
    <w:rsid w:val="00B929FD"/>
    <w:rsid w:val="00B92BC3"/>
    <w:rsid w:val="00B9340B"/>
    <w:rsid w:val="00B943B5"/>
    <w:rsid w:val="00B94755"/>
    <w:rsid w:val="00B94860"/>
    <w:rsid w:val="00B952A4"/>
    <w:rsid w:val="00B961D6"/>
    <w:rsid w:val="00B963C1"/>
    <w:rsid w:val="00B976CD"/>
    <w:rsid w:val="00BA0576"/>
    <w:rsid w:val="00BA0980"/>
    <w:rsid w:val="00BA156F"/>
    <w:rsid w:val="00BA15D2"/>
    <w:rsid w:val="00BA250D"/>
    <w:rsid w:val="00BA339A"/>
    <w:rsid w:val="00BA3617"/>
    <w:rsid w:val="00BA3905"/>
    <w:rsid w:val="00BA3E76"/>
    <w:rsid w:val="00BA3F9F"/>
    <w:rsid w:val="00BA4957"/>
    <w:rsid w:val="00BA5EAA"/>
    <w:rsid w:val="00BA5F9C"/>
    <w:rsid w:val="00BA65EB"/>
    <w:rsid w:val="00BA67C6"/>
    <w:rsid w:val="00BA7A7B"/>
    <w:rsid w:val="00BA7C40"/>
    <w:rsid w:val="00BA7EA2"/>
    <w:rsid w:val="00BB0294"/>
    <w:rsid w:val="00BB02DD"/>
    <w:rsid w:val="00BB1F5B"/>
    <w:rsid w:val="00BB242B"/>
    <w:rsid w:val="00BB3135"/>
    <w:rsid w:val="00BB33F9"/>
    <w:rsid w:val="00BB3F7B"/>
    <w:rsid w:val="00BB5002"/>
    <w:rsid w:val="00BB5882"/>
    <w:rsid w:val="00BB69CF"/>
    <w:rsid w:val="00BB74B6"/>
    <w:rsid w:val="00BB7712"/>
    <w:rsid w:val="00BB7BE2"/>
    <w:rsid w:val="00BC1819"/>
    <w:rsid w:val="00BC1A1E"/>
    <w:rsid w:val="00BC1F32"/>
    <w:rsid w:val="00BC25DB"/>
    <w:rsid w:val="00BC2860"/>
    <w:rsid w:val="00BC38A3"/>
    <w:rsid w:val="00BC42FB"/>
    <w:rsid w:val="00BC4968"/>
    <w:rsid w:val="00BC5C76"/>
    <w:rsid w:val="00BC6296"/>
    <w:rsid w:val="00BC6308"/>
    <w:rsid w:val="00BC6C76"/>
    <w:rsid w:val="00BD03A1"/>
    <w:rsid w:val="00BD0A6E"/>
    <w:rsid w:val="00BD0EF3"/>
    <w:rsid w:val="00BD1433"/>
    <w:rsid w:val="00BD1BC2"/>
    <w:rsid w:val="00BD1D2C"/>
    <w:rsid w:val="00BD1D9B"/>
    <w:rsid w:val="00BD223E"/>
    <w:rsid w:val="00BD2B61"/>
    <w:rsid w:val="00BD2FC6"/>
    <w:rsid w:val="00BD3793"/>
    <w:rsid w:val="00BD3EE3"/>
    <w:rsid w:val="00BD432E"/>
    <w:rsid w:val="00BD43BB"/>
    <w:rsid w:val="00BD4CD4"/>
    <w:rsid w:val="00BD550C"/>
    <w:rsid w:val="00BD5EA2"/>
    <w:rsid w:val="00BD683D"/>
    <w:rsid w:val="00BD6EF7"/>
    <w:rsid w:val="00BD72A5"/>
    <w:rsid w:val="00BE0492"/>
    <w:rsid w:val="00BE0DA4"/>
    <w:rsid w:val="00BE255E"/>
    <w:rsid w:val="00BE29E1"/>
    <w:rsid w:val="00BE307E"/>
    <w:rsid w:val="00BE3C57"/>
    <w:rsid w:val="00BE3ECA"/>
    <w:rsid w:val="00BE47AE"/>
    <w:rsid w:val="00BE6762"/>
    <w:rsid w:val="00BE7D3E"/>
    <w:rsid w:val="00BF09B4"/>
    <w:rsid w:val="00BF11D2"/>
    <w:rsid w:val="00BF1FEB"/>
    <w:rsid w:val="00BF2DCA"/>
    <w:rsid w:val="00BF3EAF"/>
    <w:rsid w:val="00BF4F12"/>
    <w:rsid w:val="00BF637D"/>
    <w:rsid w:val="00BF69FA"/>
    <w:rsid w:val="00BF7714"/>
    <w:rsid w:val="00BF7B97"/>
    <w:rsid w:val="00BF7D3A"/>
    <w:rsid w:val="00C00CAE"/>
    <w:rsid w:val="00C01119"/>
    <w:rsid w:val="00C014F1"/>
    <w:rsid w:val="00C01760"/>
    <w:rsid w:val="00C02DA1"/>
    <w:rsid w:val="00C02E76"/>
    <w:rsid w:val="00C02FCC"/>
    <w:rsid w:val="00C03B07"/>
    <w:rsid w:val="00C03C98"/>
    <w:rsid w:val="00C03F2E"/>
    <w:rsid w:val="00C04606"/>
    <w:rsid w:val="00C04897"/>
    <w:rsid w:val="00C0490D"/>
    <w:rsid w:val="00C053EE"/>
    <w:rsid w:val="00C1263F"/>
    <w:rsid w:val="00C128BF"/>
    <w:rsid w:val="00C13287"/>
    <w:rsid w:val="00C132EC"/>
    <w:rsid w:val="00C14522"/>
    <w:rsid w:val="00C14567"/>
    <w:rsid w:val="00C14574"/>
    <w:rsid w:val="00C155D8"/>
    <w:rsid w:val="00C15B4B"/>
    <w:rsid w:val="00C15C37"/>
    <w:rsid w:val="00C15EEC"/>
    <w:rsid w:val="00C16A33"/>
    <w:rsid w:val="00C16B2D"/>
    <w:rsid w:val="00C16E50"/>
    <w:rsid w:val="00C20837"/>
    <w:rsid w:val="00C2097A"/>
    <w:rsid w:val="00C20AFC"/>
    <w:rsid w:val="00C2114A"/>
    <w:rsid w:val="00C221EF"/>
    <w:rsid w:val="00C231CB"/>
    <w:rsid w:val="00C24487"/>
    <w:rsid w:val="00C2499D"/>
    <w:rsid w:val="00C26A46"/>
    <w:rsid w:val="00C3088D"/>
    <w:rsid w:val="00C31484"/>
    <w:rsid w:val="00C31ED3"/>
    <w:rsid w:val="00C322D0"/>
    <w:rsid w:val="00C32BEA"/>
    <w:rsid w:val="00C32F64"/>
    <w:rsid w:val="00C3343F"/>
    <w:rsid w:val="00C342ED"/>
    <w:rsid w:val="00C34AA0"/>
    <w:rsid w:val="00C35081"/>
    <w:rsid w:val="00C37282"/>
    <w:rsid w:val="00C376EE"/>
    <w:rsid w:val="00C37C4D"/>
    <w:rsid w:val="00C402C0"/>
    <w:rsid w:val="00C40FA8"/>
    <w:rsid w:val="00C41188"/>
    <w:rsid w:val="00C4151E"/>
    <w:rsid w:val="00C41910"/>
    <w:rsid w:val="00C41B37"/>
    <w:rsid w:val="00C4306B"/>
    <w:rsid w:val="00C43CB8"/>
    <w:rsid w:val="00C43D84"/>
    <w:rsid w:val="00C441B2"/>
    <w:rsid w:val="00C46616"/>
    <w:rsid w:val="00C4699F"/>
    <w:rsid w:val="00C47470"/>
    <w:rsid w:val="00C475DE"/>
    <w:rsid w:val="00C47862"/>
    <w:rsid w:val="00C5125F"/>
    <w:rsid w:val="00C5197B"/>
    <w:rsid w:val="00C5295B"/>
    <w:rsid w:val="00C52EA6"/>
    <w:rsid w:val="00C5531F"/>
    <w:rsid w:val="00C55723"/>
    <w:rsid w:val="00C55B79"/>
    <w:rsid w:val="00C57C70"/>
    <w:rsid w:val="00C57FC5"/>
    <w:rsid w:val="00C6188C"/>
    <w:rsid w:val="00C61B51"/>
    <w:rsid w:val="00C64752"/>
    <w:rsid w:val="00C65F4A"/>
    <w:rsid w:val="00C6690C"/>
    <w:rsid w:val="00C66E38"/>
    <w:rsid w:val="00C670E8"/>
    <w:rsid w:val="00C67214"/>
    <w:rsid w:val="00C67A1F"/>
    <w:rsid w:val="00C67AB8"/>
    <w:rsid w:val="00C67D68"/>
    <w:rsid w:val="00C700BA"/>
    <w:rsid w:val="00C704B3"/>
    <w:rsid w:val="00C704FA"/>
    <w:rsid w:val="00C70980"/>
    <w:rsid w:val="00C724C8"/>
    <w:rsid w:val="00C72A53"/>
    <w:rsid w:val="00C72F05"/>
    <w:rsid w:val="00C734D6"/>
    <w:rsid w:val="00C73516"/>
    <w:rsid w:val="00C73F00"/>
    <w:rsid w:val="00C740F2"/>
    <w:rsid w:val="00C746A5"/>
    <w:rsid w:val="00C74D32"/>
    <w:rsid w:val="00C753D8"/>
    <w:rsid w:val="00C75811"/>
    <w:rsid w:val="00C76F1A"/>
    <w:rsid w:val="00C77E01"/>
    <w:rsid w:val="00C8092B"/>
    <w:rsid w:val="00C80E94"/>
    <w:rsid w:val="00C8137D"/>
    <w:rsid w:val="00C83E64"/>
    <w:rsid w:val="00C85574"/>
    <w:rsid w:val="00C857E3"/>
    <w:rsid w:val="00C85C9C"/>
    <w:rsid w:val="00C85F9F"/>
    <w:rsid w:val="00C86886"/>
    <w:rsid w:val="00C878E2"/>
    <w:rsid w:val="00C90FBD"/>
    <w:rsid w:val="00C9118F"/>
    <w:rsid w:val="00C91255"/>
    <w:rsid w:val="00C9146A"/>
    <w:rsid w:val="00C92D21"/>
    <w:rsid w:val="00C93E36"/>
    <w:rsid w:val="00C94109"/>
    <w:rsid w:val="00C942A0"/>
    <w:rsid w:val="00C9494A"/>
    <w:rsid w:val="00C958CC"/>
    <w:rsid w:val="00C95DF6"/>
    <w:rsid w:val="00C95FFB"/>
    <w:rsid w:val="00C96A6D"/>
    <w:rsid w:val="00C96BFB"/>
    <w:rsid w:val="00C97F6D"/>
    <w:rsid w:val="00CA0185"/>
    <w:rsid w:val="00CA1813"/>
    <w:rsid w:val="00CA208D"/>
    <w:rsid w:val="00CA239E"/>
    <w:rsid w:val="00CA248A"/>
    <w:rsid w:val="00CA3002"/>
    <w:rsid w:val="00CA3114"/>
    <w:rsid w:val="00CA34BA"/>
    <w:rsid w:val="00CA3725"/>
    <w:rsid w:val="00CA37BE"/>
    <w:rsid w:val="00CA3D83"/>
    <w:rsid w:val="00CA4180"/>
    <w:rsid w:val="00CA43AD"/>
    <w:rsid w:val="00CA4F7E"/>
    <w:rsid w:val="00CA4FD7"/>
    <w:rsid w:val="00CA53FC"/>
    <w:rsid w:val="00CA5C05"/>
    <w:rsid w:val="00CA6441"/>
    <w:rsid w:val="00CA66AA"/>
    <w:rsid w:val="00CA764E"/>
    <w:rsid w:val="00CB0C51"/>
    <w:rsid w:val="00CB2B12"/>
    <w:rsid w:val="00CB3209"/>
    <w:rsid w:val="00CB35A8"/>
    <w:rsid w:val="00CB39B0"/>
    <w:rsid w:val="00CB4E3F"/>
    <w:rsid w:val="00CB56B8"/>
    <w:rsid w:val="00CB599E"/>
    <w:rsid w:val="00CB638F"/>
    <w:rsid w:val="00CB6FC8"/>
    <w:rsid w:val="00CB70EA"/>
    <w:rsid w:val="00CB7383"/>
    <w:rsid w:val="00CB7D3E"/>
    <w:rsid w:val="00CC045D"/>
    <w:rsid w:val="00CC06F6"/>
    <w:rsid w:val="00CC131C"/>
    <w:rsid w:val="00CC182F"/>
    <w:rsid w:val="00CC1AC9"/>
    <w:rsid w:val="00CC3FE9"/>
    <w:rsid w:val="00CC4055"/>
    <w:rsid w:val="00CC41CC"/>
    <w:rsid w:val="00CC450B"/>
    <w:rsid w:val="00CC46EE"/>
    <w:rsid w:val="00CC60FA"/>
    <w:rsid w:val="00CC70C1"/>
    <w:rsid w:val="00CC7882"/>
    <w:rsid w:val="00CD0934"/>
    <w:rsid w:val="00CD1038"/>
    <w:rsid w:val="00CD1437"/>
    <w:rsid w:val="00CD1445"/>
    <w:rsid w:val="00CD320A"/>
    <w:rsid w:val="00CD57B3"/>
    <w:rsid w:val="00CD58C6"/>
    <w:rsid w:val="00CD5A61"/>
    <w:rsid w:val="00CD676B"/>
    <w:rsid w:val="00CD6778"/>
    <w:rsid w:val="00CD741E"/>
    <w:rsid w:val="00CE0FE7"/>
    <w:rsid w:val="00CE134B"/>
    <w:rsid w:val="00CE26E6"/>
    <w:rsid w:val="00CE2987"/>
    <w:rsid w:val="00CE2F31"/>
    <w:rsid w:val="00CE327E"/>
    <w:rsid w:val="00CE46AC"/>
    <w:rsid w:val="00CE5CB9"/>
    <w:rsid w:val="00CE6CAA"/>
    <w:rsid w:val="00CF1D48"/>
    <w:rsid w:val="00CF25D8"/>
    <w:rsid w:val="00CF466A"/>
    <w:rsid w:val="00CF481B"/>
    <w:rsid w:val="00CF5772"/>
    <w:rsid w:val="00CF5B51"/>
    <w:rsid w:val="00CF6A60"/>
    <w:rsid w:val="00CF6F5E"/>
    <w:rsid w:val="00CF7776"/>
    <w:rsid w:val="00CF77F6"/>
    <w:rsid w:val="00D01F28"/>
    <w:rsid w:val="00D02288"/>
    <w:rsid w:val="00D028C6"/>
    <w:rsid w:val="00D02B90"/>
    <w:rsid w:val="00D03856"/>
    <w:rsid w:val="00D04620"/>
    <w:rsid w:val="00D04781"/>
    <w:rsid w:val="00D05585"/>
    <w:rsid w:val="00D06CD5"/>
    <w:rsid w:val="00D06D43"/>
    <w:rsid w:val="00D07308"/>
    <w:rsid w:val="00D07DB6"/>
    <w:rsid w:val="00D07F3A"/>
    <w:rsid w:val="00D103C8"/>
    <w:rsid w:val="00D10780"/>
    <w:rsid w:val="00D11035"/>
    <w:rsid w:val="00D1111F"/>
    <w:rsid w:val="00D11582"/>
    <w:rsid w:val="00D11A78"/>
    <w:rsid w:val="00D1292A"/>
    <w:rsid w:val="00D14B49"/>
    <w:rsid w:val="00D15867"/>
    <w:rsid w:val="00D15D72"/>
    <w:rsid w:val="00D1703B"/>
    <w:rsid w:val="00D2032F"/>
    <w:rsid w:val="00D20360"/>
    <w:rsid w:val="00D2041F"/>
    <w:rsid w:val="00D20558"/>
    <w:rsid w:val="00D20714"/>
    <w:rsid w:val="00D22165"/>
    <w:rsid w:val="00D224EB"/>
    <w:rsid w:val="00D22C91"/>
    <w:rsid w:val="00D2374F"/>
    <w:rsid w:val="00D23E16"/>
    <w:rsid w:val="00D24B53"/>
    <w:rsid w:val="00D2509A"/>
    <w:rsid w:val="00D26797"/>
    <w:rsid w:val="00D278ED"/>
    <w:rsid w:val="00D279C8"/>
    <w:rsid w:val="00D32140"/>
    <w:rsid w:val="00D3290B"/>
    <w:rsid w:val="00D32D0D"/>
    <w:rsid w:val="00D33377"/>
    <w:rsid w:val="00D333B1"/>
    <w:rsid w:val="00D33535"/>
    <w:rsid w:val="00D35085"/>
    <w:rsid w:val="00D3509A"/>
    <w:rsid w:val="00D3530B"/>
    <w:rsid w:val="00D36745"/>
    <w:rsid w:val="00D36D91"/>
    <w:rsid w:val="00D36DBF"/>
    <w:rsid w:val="00D371CA"/>
    <w:rsid w:val="00D37A8E"/>
    <w:rsid w:val="00D40B34"/>
    <w:rsid w:val="00D40FC7"/>
    <w:rsid w:val="00D42052"/>
    <w:rsid w:val="00D42397"/>
    <w:rsid w:val="00D43D23"/>
    <w:rsid w:val="00D448C3"/>
    <w:rsid w:val="00D4498C"/>
    <w:rsid w:val="00D458F8"/>
    <w:rsid w:val="00D472E2"/>
    <w:rsid w:val="00D51892"/>
    <w:rsid w:val="00D52F9F"/>
    <w:rsid w:val="00D5316C"/>
    <w:rsid w:val="00D53CDC"/>
    <w:rsid w:val="00D5497E"/>
    <w:rsid w:val="00D558A6"/>
    <w:rsid w:val="00D55E55"/>
    <w:rsid w:val="00D57B32"/>
    <w:rsid w:val="00D6000B"/>
    <w:rsid w:val="00D62217"/>
    <w:rsid w:val="00D62854"/>
    <w:rsid w:val="00D62E40"/>
    <w:rsid w:val="00D64661"/>
    <w:rsid w:val="00D66B70"/>
    <w:rsid w:val="00D679DC"/>
    <w:rsid w:val="00D67D0E"/>
    <w:rsid w:val="00D70714"/>
    <w:rsid w:val="00D70A30"/>
    <w:rsid w:val="00D71501"/>
    <w:rsid w:val="00D7151A"/>
    <w:rsid w:val="00D71645"/>
    <w:rsid w:val="00D72283"/>
    <w:rsid w:val="00D7232A"/>
    <w:rsid w:val="00D73BF3"/>
    <w:rsid w:val="00D740C9"/>
    <w:rsid w:val="00D74203"/>
    <w:rsid w:val="00D7607D"/>
    <w:rsid w:val="00D776BC"/>
    <w:rsid w:val="00D77B2D"/>
    <w:rsid w:val="00D80E46"/>
    <w:rsid w:val="00D81CE0"/>
    <w:rsid w:val="00D828C8"/>
    <w:rsid w:val="00D849F1"/>
    <w:rsid w:val="00D85430"/>
    <w:rsid w:val="00D857D0"/>
    <w:rsid w:val="00D9049E"/>
    <w:rsid w:val="00D907C5"/>
    <w:rsid w:val="00D90DE8"/>
    <w:rsid w:val="00D9352C"/>
    <w:rsid w:val="00D93C6D"/>
    <w:rsid w:val="00D94049"/>
    <w:rsid w:val="00D945A6"/>
    <w:rsid w:val="00D94711"/>
    <w:rsid w:val="00D94A51"/>
    <w:rsid w:val="00D94B4E"/>
    <w:rsid w:val="00D94DE3"/>
    <w:rsid w:val="00D951E1"/>
    <w:rsid w:val="00D9748B"/>
    <w:rsid w:val="00DA0564"/>
    <w:rsid w:val="00DA14FA"/>
    <w:rsid w:val="00DA2E83"/>
    <w:rsid w:val="00DA3B24"/>
    <w:rsid w:val="00DA5025"/>
    <w:rsid w:val="00DA5621"/>
    <w:rsid w:val="00DA56C4"/>
    <w:rsid w:val="00DB045D"/>
    <w:rsid w:val="00DB0CB6"/>
    <w:rsid w:val="00DB0DF5"/>
    <w:rsid w:val="00DB0F68"/>
    <w:rsid w:val="00DB1C92"/>
    <w:rsid w:val="00DB1DEA"/>
    <w:rsid w:val="00DB4922"/>
    <w:rsid w:val="00DB5149"/>
    <w:rsid w:val="00DB5962"/>
    <w:rsid w:val="00DB5DCB"/>
    <w:rsid w:val="00DB7033"/>
    <w:rsid w:val="00DC0723"/>
    <w:rsid w:val="00DC0B26"/>
    <w:rsid w:val="00DC1155"/>
    <w:rsid w:val="00DC1F17"/>
    <w:rsid w:val="00DC1F48"/>
    <w:rsid w:val="00DC2014"/>
    <w:rsid w:val="00DC2B1F"/>
    <w:rsid w:val="00DC3995"/>
    <w:rsid w:val="00DC4B61"/>
    <w:rsid w:val="00DC59C7"/>
    <w:rsid w:val="00DC5EEB"/>
    <w:rsid w:val="00DC5F9B"/>
    <w:rsid w:val="00DC6225"/>
    <w:rsid w:val="00DC6BA2"/>
    <w:rsid w:val="00DC786F"/>
    <w:rsid w:val="00DD04EF"/>
    <w:rsid w:val="00DD0FFB"/>
    <w:rsid w:val="00DD21EC"/>
    <w:rsid w:val="00DD34CE"/>
    <w:rsid w:val="00DD3F62"/>
    <w:rsid w:val="00DD40D1"/>
    <w:rsid w:val="00DD4379"/>
    <w:rsid w:val="00DD4543"/>
    <w:rsid w:val="00DD4753"/>
    <w:rsid w:val="00DD55D6"/>
    <w:rsid w:val="00DD6121"/>
    <w:rsid w:val="00DD6DB9"/>
    <w:rsid w:val="00DD750F"/>
    <w:rsid w:val="00DD7BB2"/>
    <w:rsid w:val="00DE0D9F"/>
    <w:rsid w:val="00DE11E9"/>
    <w:rsid w:val="00DE25C3"/>
    <w:rsid w:val="00DE274C"/>
    <w:rsid w:val="00DE32E5"/>
    <w:rsid w:val="00DE39FD"/>
    <w:rsid w:val="00DE4BA8"/>
    <w:rsid w:val="00DE4EB8"/>
    <w:rsid w:val="00DE560D"/>
    <w:rsid w:val="00DE5D38"/>
    <w:rsid w:val="00DE74FA"/>
    <w:rsid w:val="00DE7B05"/>
    <w:rsid w:val="00DE7D11"/>
    <w:rsid w:val="00DF0348"/>
    <w:rsid w:val="00DF2264"/>
    <w:rsid w:val="00DF3356"/>
    <w:rsid w:val="00DF3C3F"/>
    <w:rsid w:val="00DF42F3"/>
    <w:rsid w:val="00DF680B"/>
    <w:rsid w:val="00DF789C"/>
    <w:rsid w:val="00E01390"/>
    <w:rsid w:val="00E02629"/>
    <w:rsid w:val="00E0272F"/>
    <w:rsid w:val="00E031D6"/>
    <w:rsid w:val="00E03333"/>
    <w:rsid w:val="00E05168"/>
    <w:rsid w:val="00E05938"/>
    <w:rsid w:val="00E05E81"/>
    <w:rsid w:val="00E05EBC"/>
    <w:rsid w:val="00E07631"/>
    <w:rsid w:val="00E07869"/>
    <w:rsid w:val="00E07B77"/>
    <w:rsid w:val="00E10A2C"/>
    <w:rsid w:val="00E1146D"/>
    <w:rsid w:val="00E127A8"/>
    <w:rsid w:val="00E13506"/>
    <w:rsid w:val="00E13E08"/>
    <w:rsid w:val="00E140C7"/>
    <w:rsid w:val="00E1415B"/>
    <w:rsid w:val="00E1484C"/>
    <w:rsid w:val="00E16201"/>
    <w:rsid w:val="00E1697D"/>
    <w:rsid w:val="00E16CEE"/>
    <w:rsid w:val="00E170E7"/>
    <w:rsid w:val="00E171D6"/>
    <w:rsid w:val="00E172F7"/>
    <w:rsid w:val="00E17526"/>
    <w:rsid w:val="00E20554"/>
    <w:rsid w:val="00E2185F"/>
    <w:rsid w:val="00E21E28"/>
    <w:rsid w:val="00E23859"/>
    <w:rsid w:val="00E2387B"/>
    <w:rsid w:val="00E23AC6"/>
    <w:rsid w:val="00E2663C"/>
    <w:rsid w:val="00E275BE"/>
    <w:rsid w:val="00E27FE8"/>
    <w:rsid w:val="00E30A86"/>
    <w:rsid w:val="00E32A39"/>
    <w:rsid w:val="00E335A6"/>
    <w:rsid w:val="00E33D4F"/>
    <w:rsid w:val="00E33F23"/>
    <w:rsid w:val="00E346A6"/>
    <w:rsid w:val="00E34A0B"/>
    <w:rsid w:val="00E34D75"/>
    <w:rsid w:val="00E350E7"/>
    <w:rsid w:val="00E36A76"/>
    <w:rsid w:val="00E371A1"/>
    <w:rsid w:val="00E3767E"/>
    <w:rsid w:val="00E40A99"/>
    <w:rsid w:val="00E40EDE"/>
    <w:rsid w:val="00E41EE3"/>
    <w:rsid w:val="00E4281F"/>
    <w:rsid w:val="00E43B38"/>
    <w:rsid w:val="00E44745"/>
    <w:rsid w:val="00E44D14"/>
    <w:rsid w:val="00E45847"/>
    <w:rsid w:val="00E461B8"/>
    <w:rsid w:val="00E4644A"/>
    <w:rsid w:val="00E46BBF"/>
    <w:rsid w:val="00E52C6F"/>
    <w:rsid w:val="00E53585"/>
    <w:rsid w:val="00E535F1"/>
    <w:rsid w:val="00E55741"/>
    <w:rsid w:val="00E57277"/>
    <w:rsid w:val="00E57A41"/>
    <w:rsid w:val="00E6070F"/>
    <w:rsid w:val="00E60A60"/>
    <w:rsid w:val="00E618DE"/>
    <w:rsid w:val="00E61A38"/>
    <w:rsid w:val="00E61A94"/>
    <w:rsid w:val="00E61F11"/>
    <w:rsid w:val="00E62CF3"/>
    <w:rsid w:val="00E63BEC"/>
    <w:rsid w:val="00E642C6"/>
    <w:rsid w:val="00E64484"/>
    <w:rsid w:val="00E653BD"/>
    <w:rsid w:val="00E660B0"/>
    <w:rsid w:val="00E660EF"/>
    <w:rsid w:val="00E66643"/>
    <w:rsid w:val="00E66BBA"/>
    <w:rsid w:val="00E70596"/>
    <w:rsid w:val="00E73817"/>
    <w:rsid w:val="00E74A78"/>
    <w:rsid w:val="00E75278"/>
    <w:rsid w:val="00E76B8E"/>
    <w:rsid w:val="00E8062B"/>
    <w:rsid w:val="00E81177"/>
    <w:rsid w:val="00E81B9F"/>
    <w:rsid w:val="00E8304A"/>
    <w:rsid w:val="00E83308"/>
    <w:rsid w:val="00E837F8"/>
    <w:rsid w:val="00E83D41"/>
    <w:rsid w:val="00E84927"/>
    <w:rsid w:val="00E857FB"/>
    <w:rsid w:val="00E8614B"/>
    <w:rsid w:val="00E867E7"/>
    <w:rsid w:val="00E86B0A"/>
    <w:rsid w:val="00E87271"/>
    <w:rsid w:val="00E8770D"/>
    <w:rsid w:val="00E87ED9"/>
    <w:rsid w:val="00E9061C"/>
    <w:rsid w:val="00E9081E"/>
    <w:rsid w:val="00E90919"/>
    <w:rsid w:val="00E90C22"/>
    <w:rsid w:val="00E90D89"/>
    <w:rsid w:val="00E910C0"/>
    <w:rsid w:val="00E914BC"/>
    <w:rsid w:val="00E9212A"/>
    <w:rsid w:val="00E96204"/>
    <w:rsid w:val="00E96599"/>
    <w:rsid w:val="00E969D2"/>
    <w:rsid w:val="00E977F4"/>
    <w:rsid w:val="00E97E7A"/>
    <w:rsid w:val="00EA10F2"/>
    <w:rsid w:val="00EA12BB"/>
    <w:rsid w:val="00EA1C27"/>
    <w:rsid w:val="00EA239D"/>
    <w:rsid w:val="00EA29FC"/>
    <w:rsid w:val="00EA33A5"/>
    <w:rsid w:val="00EA3795"/>
    <w:rsid w:val="00EA68B8"/>
    <w:rsid w:val="00EA6A54"/>
    <w:rsid w:val="00EB111A"/>
    <w:rsid w:val="00EB1B31"/>
    <w:rsid w:val="00EB1EB0"/>
    <w:rsid w:val="00EB2625"/>
    <w:rsid w:val="00EB2A16"/>
    <w:rsid w:val="00EB2D74"/>
    <w:rsid w:val="00EB3735"/>
    <w:rsid w:val="00EB3A43"/>
    <w:rsid w:val="00EB3D3B"/>
    <w:rsid w:val="00EB4D2F"/>
    <w:rsid w:val="00EB559B"/>
    <w:rsid w:val="00EB5F85"/>
    <w:rsid w:val="00EB6A09"/>
    <w:rsid w:val="00EB7238"/>
    <w:rsid w:val="00EC027F"/>
    <w:rsid w:val="00EC0432"/>
    <w:rsid w:val="00EC101B"/>
    <w:rsid w:val="00EC1451"/>
    <w:rsid w:val="00EC150D"/>
    <w:rsid w:val="00EC22F7"/>
    <w:rsid w:val="00EC2C5F"/>
    <w:rsid w:val="00EC311D"/>
    <w:rsid w:val="00EC384A"/>
    <w:rsid w:val="00EC38A1"/>
    <w:rsid w:val="00EC3ADC"/>
    <w:rsid w:val="00EC4157"/>
    <w:rsid w:val="00EC5839"/>
    <w:rsid w:val="00EC7B41"/>
    <w:rsid w:val="00ED049A"/>
    <w:rsid w:val="00ED0609"/>
    <w:rsid w:val="00ED06B1"/>
    <w:rsid w:val="00ED08A5"/>
    <w:rsid w:val="00ED2B24"/>
    <w:rsid w:val="00ED3179"/>
    <w:rsid w:val="00ED35A9"/>
    <w:rsid w:val="00ED4067"/>
    <w:rsid w:val="00ED44A9"/>
    <w:rsid w:val="00ED45FD"/>
    <w:rsid w:val="00ED5217"/>
    <w:rsid w:val="00ED7355"/>
    <w:rsid w:val="00EE05ED"/>
    <w:rsid w:val="00EE067A"/>
    <w:rsid w:val="00EE1AF6"/>
    <w:rsid w:val="00EE232C"/>
    <w:rsid w:val="00EE3030"/>
    <w:rsid w:val="00EE37D0"/>
    <w:rsid w:val="00EE44EB"/>
    <w:rsid w:val="00EE47CC"/>
    <w:rsid w:val="00EE49DD"/>
    <w:rsid w:val="00EE5809"/>
    <w:rsid w:val="00EE5958"/>
    <w:rsid w:val="00EE6833"/>
    <w:rsid w:val="00EE724C"/>
    <w:rsid w:val="00EE7D39"/>
    <w:rsid w:val="00EF02F3"/>
    <w:rsid w:val="00EF12FC"/>
    <w:rsid w:val="00EF1660"/>
    <w:rsid w:val="00EF1C47"/>
    <w:rsid w:val="00EF241D"/>
    <w:rsid w:val="00EF2CBB"/>
    <w:rsid w:val="00EF2D63"/>
    <w:rsid w:val="00EF2E15"/>
    <w:rsid w:val="00EF3416"/>
    <w:rsid w:val="00EF4B84"/>
    <w:rsid w:val="00EF6010"/>
    <w:rsid w:val="00EF656E"/>
    <w:rsid w:val="00EF6CB2"/>
    <w:rsid w:val="00EF6EB9"/>
    <w:rsid w:val="00EF776F"/>
    <w:rsid w:val="00EF77FC"/>
    <w:rsid w:val="00EF792A"/>
    <w:rsid w:val="00F005E7"/>
    <w:rsid w:val="00F02AC6"/>
    <w:rsid w:val="00F02C93"/>
    <w:rsid w:val="00F032C4"/>
    <w:rsid w:val="00F03637"/>
    <w:rsid w:val="00F03D4F"/>
    <w:rsid w:val="00F04E9D"/>
    <w:rsid w:val="00F0700C"/>
    <w:rsid w:val="00F07BE7"/>
    <w:rsid w:val="00F109B4"/>
    <w:rsid w:val="00F10A23"/>
    <w:rsid w:val="00F10DCE"/>
    <w:rsid w:val="00F1110E"/>
    <w:rsid w:val="00F117A9"/>
    <w:rsid w:val="00F11CE5"/>
    <w:rsid w:val="00F12120"/>
    <w:rsid w:val="00F128F1"/>
    <w:rsid w:val="00F14D62"/>
    <w:rsid w:val="00F1503E"/>
    <w:rsid w:val="00F15E3B"/>
    <w:rsid w:val="00F162A5"/>
    <w:rsid w:val="00F1702C"/>
    <w:rsid w:val="00F1727A"/>
    <w:rsid w:val="00F17385"/>
    <w:rsid w:val="00F20535"/>
    <w:rsid w:val="00F207A4"/>
    <w:rsid w:val="00F20D6A"/>
    <w:rsid w:val="00F20F5A"/>
    <w:rsid w:val="00F2108F"/>
    <w:rsid w:val="00F22167"/>
    <w:rsid w:val="00F221C6"/>
    <w:rsid w:val="00F23381"/>
    <w:rsid w:val="00F244C5"/>
    <w:rsid w:val="00F24711"/>
    <w:rsid w:val="00F256DA"/>
    <w:rsid w:val="00F2603C"/>
    <w:rsid w:val="00F27E6D"/>
    <w:rsid w:val="00F305C4"/>
    <w:rsid w:val="00F3287B"/>
    <w:rsid w:val="00F32EDD"/>
    <w:rsid w:val="00F330CC"/>
    <w:rsid w:val="00F334BA"/>
    <w:rsid w:val="00F33C9C"/>
    <w:rsid w:val="00F35DC4"/>
    <w:rsid w:val="00F3616A"/>
    <w:rsid w:val="00F3650B"/>
    <w:rsid w:val="00F367E1"/>
    <w:rsid w:val="00F36C65"/>
    <w:rsid w:val="00F36FD6"/>
    <w:rsid w:val="00F37351"/>
    <w:rsid w:val="00F4071F"/>
    <w:rsid w:val="00F411F4"/>
    <w:rsid w:val="00F41EEF"/>
    <w:rsid w:val="00F42D64"/>
    <w:rsid w:val="00F42DC6"/>
    <w:rsid w:val="00F4395A"/>
    <w:rsid w:val="00F43BBB"/>
    <w:rsid w:val="00F44180"/>
    <w:rsid w:val="00F443DE"/>
    <w:rsid w:val="00F44E49"/>
    <w:rsid w:val="00F44FDC"/>
    <w:rsid w:val="00F4763A"/>
    <w:rsid w:val="00F50BC6"/>
    <w:rsid w:val="00F50DD3"/>
    <w:rsid w:val="00F50F6B"/>
    <w:rsid w:val="00F52317"/>
    <w:rsid w:val="00F52CD0"/>
    <w:rsid w:val="00F53685"/>
    <w:rsid w:val="00F54BEE"/>
    <w:rsid w:val="00F5718A"/>
    <w:rsid w:val="00F57199"/>
    <w:rsid w:val="00F60849"/>
    <w:rsid w:val="00F631F3"/>
    <w:rsid w:val="00F63449"/>
    <w:rsid w:val="00F63797"/>
    <w:rsid w:val="00F6423D"/>
    <w:rsid w:val="00F64B6D"/>
    <w:rsid w:val="00F64F36"/>
    <w:rsid w:val="00F65C4E"/>
    <w:rsid w:val="00F65E99"/>
    <w:rsid w:val="00F6720E"/>
    <w:rsid w:val="00F67342"/>
    <w:rsid w:val="00F6740A"/>
    <w:rsid w:val="00F70362"/>
    <w:rsid w:val="00F724D1"/>
    <w:rsid w:val="00F72650"/>
    <w:rsid w:val="00F7283B"/>
    <w:rsid w:val="00F72EA7"/>
    <w:rsid w:val="00F7334E"/>
    <w:rsid w:val="00F733B7"/>
    <w:rsid w:val="00F735FB"/>
    <w:rsid w:val="00F7477B"/>
    <w:rsid w:val="00F747F5"/>
    <w:rsid w:val="00F747FC"/>
    <w:rsid w:val="00F750F5"/>
    <w:rsid w:val="00F75B88"/>
    <w:rsid w:val="00F75F94"/>
    <w:rsid w:val="00F7623B"/>
    <w:rsid w:val="00F7704B"/>
    <w:rsid w:val="00F80D04"/>
    <w:rsid w:val="00F81221"/>
    <w:rsid w:val="00F819CB"/>
    <w:rsid w:val="00F82844"/>
    <w:rsid w:val="00F85055"/>
    <w:rsid w:val="00F85253"/>
    <w:rsid w:val="00F855CF"/>
    <w:rsid w:val="00F85F29"/>
    <w:rsid w:val="00F862EE"/>
    <w:rsid w:val="00F866A8"/>
    <w:rsid w:val="00F86D63"/>
    <w:rsid w:val="00F86EC3"/>
    <w:rsid w:val="00F8732F"/>
    <w:rsid w:val="00F8773C"/>
    <w:rsid w:val="00F87973"/>
    <w:rsid w:val="00F915A2"/>
    <w:rsid w:val="00F91874"/>
    <w:rsid w:val="00F9204E"/>
    <w:rsid w:val="00F92161"/>
    <w:rsid w:val="00F92677"/>
    <w:rsid w:val="00F9353E"/>
    <w:rsid w:val="00F93BDE"/>
    <w:rsid w:val="00F93F8E"/>
    <w:rsid w:val="00F941EF"/>
    <w:rsid w:val="00F94D46"/>
    <w:rsid w:val="00F9559A"/>
    <w:rsid w:val="00F97E5F"/>
    <w:rsid w:val="00FA02A5"/>
    <w:rsid w:val="00FA0AF3"/>
    <w:rsid w:val="00FA0D64"/>
    <w:rsid w:val="00FA3575"/>
    <w:rsid w:val="00FA4440"/>
    <w:rsid w:val="00FA470C"/>
    <w:rsid w:val="00FA5896"/>
    <w:rsid w:val="00FA5FCE"/>
    <w:rsid w:val="00FA734E"/>
    <w:rsid w:val="00FB0556"/>
    <w:rsid w:val="00FB12B0"/>
    <w:rsid w:val="00FB1709"/>
    <w:rsid w:val="00FB1768"/>
    <w:rsid w:val="00FB1C93"/>
    <w:rsid w:val="00FB2442"/>
    <w:rsid w:val="00FB385E"/>
    <w:rsid w:val="00FB3A2D"/>
    <w:rsid w:val="00FB3D6A"/>
    <w:rsid w:val="00FB4391"/>
    <w:rsid w:val="00FB4C1C"/>
    <w:rsid w:val="00FB4DA2"/>
    <w:rsid w:val="00FB4FC9"/>
    <w:rsid w:val="00FB5084"/>
    <w:rsid w:val="00FB6103"/>
    <w:rsid w:val="00FB6999"/>
    <w:rsid w:val="00FC033B"/>
    <w:rsid w:val="00FC0999"/>
    <w:rsid w:val="00FC122F"/>
    <w:rsid w:val="00FC13EA"/>
    <w:rsid w:val="00FC1625"/>
    <w:rsid w:val="00FC1D6A"/>
    <w:rsid w:val="00FC3F6D"/>
    <w:rsid w:val="00FC414E"/>
    <w:rsid w:val="00FC79B4"/>
    <w:rsid w:val="00FD11B6"/>
    <w:rsid w:val="00FD133D"/>
    <w:rsid w:val="00FD1688"/>
    <w:rsid w:val="00FD2762"/>
    <w:rsid w:val="00FD436A"/>
    <w:rsid w:val="00FD6062"/>
    <w:rsid w:val="00FD75C9"/>
    <w:rsid w:val="00FD7B3A"/>
    <w:rsid w:val="00FE1019"/>
    <w:rsid w:val="00FE1A85"/>
    <w:rsid w:val="00FE2EBB"/>
    <w:rsid w:val="00FE2F1F"/>
    <w:rsid w:val="00FE3050"/>
    <w:rsid w:val="00FE336F"/>
    <w:rsid w:val="00FE41D9"/>
    <w:rsid w:val="00FE5130"/>
    <w:rsid w:val="00FE6DF3"/>
    <w:rsid w:val="00FE6F7C"/>
    <w:rsid w:val="00FE71B4"/>
    <w:rsid w:val="00FF0488"/>
    <w:rsid w:val="00FF0607"/>
    <w:rsid w:val="00FF0CC3"/>
    <w:rsid w:val="00FF0E29"/>
    <w:rsid w:val="00FF25DA"/>
    <w:rsid w:val="00FF2996"/>
    <w:rsid w:val="00FF3B74"/>
    <w:rsid w:val="00FF4CA9"/>
    <w:rsid w:val="00FF5059"/>
    <w:rsid w:val="00FF5319"/>
    <w:rsid w:val="00FF566C"/>
    <w:rsid w:val="00FF79F6"/>
    <w:rsid w:val="012A5CDE"/>
    <w:rsid w:val="02224FDE"/>
    <w:rsid w:val="024DCC3A"/>
    <w:rsid w:val="02DB0A46"/>
    <w:rsid w:val="0318B33A"/>
    <w:rsid w:val="0331003D"/>
    <w:rsid w:val="0482DE83"/>
    <w:rsid w:val="04D18886"/>
    <w:rsid w:val="050CDA8B"/>
    <w:rsid w:val="054D2F60"/>
    <w:rsid w:val="06528996"/>
    <w:rsid w:val="067B817F"/>
    <w:rsid w:val="067D1FD2"/>
    <w:rsid w:val="06943731"/>
    <w:rsid w:val="069592FD"/>
    <w:rsid w:val="069D5657"/>
    <w:rsid w:val="06D9A94B"/>
    <w:rsid w:val="072D71D2"/>
    <w:rsid w:val="07574F16"/>
    <w:rsid w:val="07F56346"/>
    <w:rsid w:val="080CCF5E"/>
    <w:rsid w:val="0818657E"/>
    <w:rsid w:val="08C8009A"/>
    <w:rsid w:val="08D03DD3"/>
    <w:rsid w:val="097374D7"/>
    <w:rsid w:val="09779311"/>
    <w:rsid w:val="09CC70AE"/>
    <w:rsid w:val="0A51E53B"/>
    <w:rsid w:val="0A6E1A6E"/>
    <w:rsid w:val="0A7CEA3A"/>
    <w:rsid w:val="0AA044BB"/>
    <w:rsid w:val="0AAC4E5C"/>
    <w:rsid w:val="0AD2B859"/>
    <w:rsid w:val="0AE2F656"/>
    <w:rsid w:val="0AFCBE93"/>
    <w:rsid w:val="0B59135B"/>
    <w:rsid w:val="0B7CDDB6"/>
    <w:rsid w:val="0BE71B89"/>
    <w:rsid w:val="0BF3E606"/>
    <w:rsid w:val="0C212FA1"/>
    <w:rsid w:val="0C79AB3B"/>
    <w:rsid w:val="0C837CD6"/>
    <w:rsid w:val="0C977C1A"/>
    <w:rsid w:val="0CD4D122"/>
    <w:rsid w:val="0D51FB43"/>
    <w:rsid w:val="0D735842"/>
    <w:rsid w:val="0D8EECC8"/>
    <w:rsid w:val="0DDD666A"/>
    <w:rsid w:val="0E770547"/>
    <w:rsid w:val="0F618AEE"/>
    <w:rsid w:val="0F6ECA3C"/>
    <w:rsid w:val="0F7341B3"/>
    <w:rsid w:val="10132068"/>
    <w:rsid w:val="1038C2FA"/>
    <w:rsid w:val="10749826"/>
    <w:rsid w:val="1101A68C"/>
    <w:rsid w:val="116A6F18"/>
    <w:rsid w:val="118D5546"/>
    <w:rsid w:val="11F39B0B"/>
    <w:rsid w:val="11FBBB10"/>
    <w:rsid w:val="123D4091"/>
    <w:rsid w:val="12591F19"/>
    <w:rsid w:val="12B9745C"/>
    <w:rsid w:val="12DBD47B"/>
    <w:rsid w:val="12DFC5D3"/>
    <w:rsid w:val="12E09C25"/>
    <w:rsid w:val="135D539D"/>
    <w:rsid w:val="142AE522"/>
    <w:rsid w:val="1476CF8F"/>
    <w:rsid w:val="14B7FAC1"/>
    <w:rsid w:val="150797E8"/>
    <w:rsid w:val="15338005"/>
    <w:rsid w:val="1542EC1C"/>
    <w:rsid w:val="16178515"/>
    <w:rsid w:val="16C43CB9"/>
    <w:rsid w:val="16E3205D"/>
    <w:rsid w:val="16F794EE"/>
    <w:rsid w:val="17032B4B"/>
    <w:rsid w:val="170CD3F6"/>
    <w:rsid w:val="17DBB604"/>
    <w:rsid w:val="17F996AB"/>
    <w:rsid w:val="18346F71"/>
    <w:rsid w:val="1897857D"/>
    <w:rsid w:val="18A8657F"/>
    <w:rsid w:val="19026A15"/>
    <w:rsid w:val="198066F9"/>
    <w:rsid w:val="198D7A17"/>
    <w:rsid w:val="19CBB4C9"/>
    <w:rsid w:val="1A3B98D1"/>
    <w:rsid w:val="1A4E73BA"/>
    <w:rsid w:val="1A7066EB"/>
    <w:rsid w:val="1AA4B0A1"/>
    <w:rsid w:val="1AC044D4"/>
    <w:rsid w:val="1B06DF8B"/>
    <w:rsid w:val="1B98C61E"/>
    <w:rsid w:val="1C6DC12C"/>
    <w:rsid w:val="1CDAF4E5"/>
    <w:rsid w:val="1D321621"/>
    <w:rsid w:val="1D323681"/>
    <w:rsid w:val="1D3A161A"/>
    <w:rsid w:val="1D5DCC65"/>
    <w:rsid w:val="1D635192"/>
    <w:rsid w:val="1DB778AC"/>
    <w:rsid w:val="1EA9641D"/>
    <w:rsid w:val="1EE9FCD6"/>
    <w:rsid w:val="1EEBC4D7"/>
    <w:rsid w:val="1F325C15"/>
    <w:rsid w:val="1F333C9A"/>
    <w:rsid w:val="1F446FB4"/>
    <w:rsid w:val="1F9145AF"/>
    <w:rsid w:val="205B6257"/>
    <w:rsid w:val="206170AF"/>
    <w:rsid w:val="20B14DF3"/>
    <w:rsid w:val="219F2B89"/>
    <w:rsid w:val="21A9266A"/>
    <w:rsid w:val="21A94143"/>
    <w:rsid w:val="21C1323F"/>
    <w:rsid w:val="228CBC5F"/>
    <w:rsid w:val="22B62834"/>
    <w:rsid w:val="22BF6342"/>
    <w:rsid w:val="23075FA9"/>
    <w:rsid w:val="230877F7"/>
    <w:rsid w:val="2341F194"/>
    <w:rsid w:val="23A4775F"/>
    <w:rsid w:val="23C05033"/>
    <w:rsid w:val="245DA3B5"/>
    <w:rsid w:val="24B68DB2"/>
    <w:rsid w:val="24F71F9D"/>
    <w:rsid w:val="251857AA"/>
    <w:rsid w:val="259C81B2"/>
    <w:rsid w:val="266031A3"/>
    <w:rsid w:val="268D0ABF"/>
    <w:rsid w:val="26C9B442"/>
    <w:rsid w:val="27E7F751"/>
    <w:rsid w:val="27F75177"/>
    <w:rsid w:val="2801C752"/>
    <w:rsid w:val="28997A70"/>
    <w:rsid w:val="28CB9460"/>
    <w:rsid w:val="290D0F53"/>
    <w:rsid w:val="29669122"/>
    <w:rsid w:val="2973DB81"/>
    <w:rsid w:val="29EC8F52"/>
    <w:rsid w:val="29F76D95"/>
    <w:rsid w:val="2A49CCF4"/>
    <w:rsid w:val="2AACB368"/>
    <w:rsid w:val="2AB4BA6B"/>
    <w:rsid w:val="2B2E47A2"/>
    <w:rsid w:val="2B7ECCF2"/>
    <w:rsid w:val="2B90211F"/>
    <w:rsid w:val="2B966563"/>
    <w:rsid w:val="2BB4FCE0"/>
    <w:rsid w:val="2BDC52C1"/>
    <w:rsid w:val="2BFC38F1"/>
    <w:rsid w:val="2C03FC2A"/>
    <w:rsid w:val="2C4ECDD3"/>
    <w:rsid w:val="2CACBE79"/>
    <w:rsid w:val="2CB3293D"/>
    <w:rsid w:val="2D9DDDE0"/>
    <w:rsid w:val="2DA30657"/>
    <w:rsid w:val="2DCE6CB3"/>
    <w:rsid w:val="2DE77A7E"/>
    <w:rsid w:val="2E220998"/>
    <w:rsid w:val="2E8224E2"/>
    <w:rsid w:val="2E887327"/>
    <w:rsid w:val="2ECD986D"/>
    <w:rsid w:val="2F33B7CD"/>
    <w:rsid w:val="2F34FF2E"/>
    <w:rsid w:val="2F50F946"/>
    <w:rsid w:val="2F661C77"/>
    <w:rsid w:val="2F9CEC42"/>
    <w:rsid w:val="2FDF80F1"/>
    <w:rsid w:val="3010C0B8"/>
    <w:rsid w:val="30925FE1"/>
    <w:rsid w:val="30974AC4"/>
    <w:rsid w:val="309E4AE0"/>
    <w:rsid w:val="312BB05B"/>
    <w:rsid w:val="314BB0A0"/>
    <w:rsid w:val="31B7448D"/>
    <w:rsid w:val="31B752DF"/>
    <w:rsid w:val="31DD5D19"/>
    <w:rsid w:val="323B437A"/>
    <w:rsid w:val="33591089"/>
    <w:rsid w:val="33875505"/>
    <w:rsid w:val="344666EB"/>
    <w:rsid w:val="3478347A"/>
    <w:rsid w:val="3491F200"/>
    <w:rsid w:val="34A62B61"/>
    <w:rsid w:val="34A8F27A"/>
    <w:rsid w:val="34C145E6"/>
    <w:rsid w:val="35070C5A"/>
    <w:rsid w:val="3508B619"/>
    <w:rsid w:val="3554D6FA"/>
    <w:rsid w:val="355AA5D7"/>
    <w:rsid w:val="35737885"/>
    <w:rsid w:val="357FC394"/>
    <w:rsid w:val="35866E66"/>
    <w:rsid w:val="3612421C"/>
    <w:rsid w:val="361FF7DD"/>
    <w:rsid w:val="36366EEF"/>
    <w:rsid w:val="36CAF4FA"/>
    <w:rsid w:val="36F840DF"/>
    <w:rsid w:val="372A9F3B"/>
    <w:rsid w:val="37851563"/>
    <w:rsid w:val="37A28810"/>
    <w:rsid w:val="37A8B1C2"/>
    <w:rsid w:val="37C83D13"/>
    <w:rsid w:val="37E9C0CB"/>
    <w:rsid w:val="3822C1ED"/>
    <w:rsid w:val="383E029D"/>
    <w:rsid w:val="387F17E4"/>
    <w:rsid w:val="38E42BAA"/>
    <w:rsid w:val="39349993"/>
    <w:rsid w:val="3A180830"/>
    <w:rsid w:val="3A2ADEE2"/>
    <w:rsid w:val="3A82647E"/>
    <w:rsid w:val="3B4F916D"/>
    <w:rsid w:val="3B5863BA"/>
    <w:rsid w:val="3B62BBA7"/>
    <w:rsid w:val="3BB5AEE0"/>
    <w:rsid w:val="3BBA61A5"/>
    <w:rsid w:val="3C60479F"/>
    <w:rsid w:val="3C64FD32"/>
    <w:rsid w:val="3D3CEC89"/>
    <w:rsid w:val="3E270673"/>
    <w:rsid w:val="3ED3EF49"/>
    <w:rsid w:val="3F140E6C"/>
    <w:rsid w:val="3F440C3B"/>
    <w:rsid w:val="3FF41479"/>
    <w:rsid w:val="4099EC09"/>
    <w:rsid w:val="40C837C1"/>
    <w:rsid w:val="4104F7A1"/>
    <w:rsid w:val="410FA34A"/>
    <w:rsid w:val="412761B0"/>
    <w:rsid w:val="4138998F"/>
    <w:rsid w:val="41B88645"/>
    <w:rsid w:val="426C9AA3"/>
    <w:rsid w:val="42A2F720"/>
    <w:rsid w:val="42D4DB7A"/>
    <w:rsid w:val="431C4B71"/>
    <w:rsid w:val="4358F99D"/>
    <w:rsid w:val="4403AA0D"/>
    <w:rsid w:val="44044704"/>
    <w:rsid w:val="448D88CC"/>
    <w:rsid w:val="44EC7FFF"/>
    <w:rsid w:val="458667EA"/>
    <w:rsid w:val="458C7F1C"/>
    <w:rsid w:val="45AA54D9"/>
    <w:rsid w:val="45E35FA3"/>
    <w:rsid w:val="4642F3D3"/>
    <w:rsid w:val="46524198"/>
    <w:rsid w:val="4697F03D"/>
    <w:rsid w:val="469AD75E"/>
    <w:rsid w:val="46F63029"/>
    <w:rsid w:val="46FE3FBA"/>
    <w:rsid w:val="47CAFEA1"/>
    <w:rsid w:val="486522DA"/>
    <w:rsid w:val="4888F7CD"/>
    <w:rsid w:val="48AA3FAC"/>
    <w:rsid w:val="48B256D5"/>
    <w:rsid w:val="494F7297"/>
    <w:rsid w:val="497FA9D4"/>
    <w:rsid w:val="49AADBF2"/>
    <w:rsid w:val="49C89F1E"/>
    <w:rsid w:val="4A5F59EE"/>
    <w:rsid w:val="4AD89FB8"/>
    <w:rsid w:val="4B470C06"/>
    <w:rsid w:val="4B53AE4A"/>
    <w:rsid w:val="4B59402E"/>
    <w:rsid w:val="4B631D64"/>
    <w:rsid w:val="4C32F16B"/>
    <w:rsid w:val="4CBD2480"/>
    <w:rsid w:val="4CED84EE"/>
    <w:rsid w:val="4DFCE689"/>
    <w:rsid w:val="4E174244"/>
    <w:rsid w:val="4E496394"/>
    <w:rsid w:val="4E5AA090"/>
    <w:rsid w:val="4F14AB1C"/>
    <w:rsid w:val="4F375DEC"/>
    <w:rsid w:val="4F80B253"/>
    <w:rsid w:val="4FADE98E"/>
    <w:rsid w:val="5001D7F3"/>
    <w:rsid w:val="50A03368"/>
    <w:rsid w:val="50B278DD"/>
    <w:rsid w:val="50D259E9"/>
    <w:rsid w:val="510C7818"/>
    <w:rsid w:val="5161B9B4"/>
    <w:rsid w:val="51BC4DC3"/>
    <w:rsid w:val="5247D9A4"/>
    <w:rsid w:val="526D6BF3"/>
    <w:rsid w:val="5276EF94"/>
    <w:rsid w:val="528BDF08"/>
    <w:rsid w:val="52E511E6"/>
    <w:rsid w:val="5368C24E"/>
    <w:rsid w:val="5403B4F6"/>
    <w:rsid w:val="540430CC"/>
    <w:rsid w:val="541A354C"/>
    <w:rsid w:val="541E8EB0"/>
    <w:rsid w:val="546CBDE6"/>
    <w:rsid w:val="54717366"/>
    <w:rsid w:val="54F506F4"/>
    <w:rsid w:val="554D5B46"/>
    <w:rsid w:val="557E9AB8"/>
    <w:rsid w:val="55B8ADF0"/>
    <w:rsid w:val="55E6D8D8"/>
    <w:rsid w:val="5638DFDE"/>
    <w:rsid w:val="567A7FFB"/>
    <w:rsid w:val="56C0FA03"/>
    <w:rsid w:val="56F8A909"/>
    <w:rsid w:val="57218519"/>
    <w:rsid w:val="57491896"/>
    <w:rsid w:val="580D6506"/>
    <w:rsid w:val="5897DD40"/>
    <w:rsid w:val="59131B9D"/>
    <w:rsid w:val="594FD90B"/>
    <w:rsid w:val="5975F053"/>
    <w:rsid w:val="59A5012B"/>
    <w:rsid w:val="59BBC0BD"/>
    <w:rsid w:val="5A081B87"/>
    <w:rsid w:val="5A19D4AF"/>
    <w:rsid w:val="5A1DB75D"/>
    <w:rsid w:val="5A2EFA35"/>
    <w:rsid w:val="5A82A80E"/>
    <w:rsid w:val="5AFD904C"/>
    <w:rsid w:val="5BCD713D"/>
    <w:rsid w:val="5BE1954D"/>
    <w:rsid w:val="5BF90E53"/>
    <w:rsid w:val="5BFC5EE7"/>
    <w:rsid w:val="5C5CA2C2"/>
    <w:rsid w:val="5C6CF4D5"/>
    <w:rsid w:val="5CD378C2"/>
    <w:rsid w:val="5CEA3EB3"/>
    <w:rsid w:val="5D0D9D1E"/>
    <w:rsid w:val="5D224FDA"/>
    <w:rsid w:val="5DF2C303"/>
    <w:rsid w:val="5E241B71"/>
    <w:rsid w:val="5E33A819"/>
    <w:rsid w:val="5E7E4015"/>
    <w:rsid w:val="5E85FB2D"/>
    <w:rsid w:val="5E9C0E2C"/>
    <w:rsid w:val="5EE81A96"/>
    <w:rsid w:val="5F59FD6E"/>
    <w:rsid w:val="5FA18770"/>
    <w:rsid w:val="60273F6D"/>
    <w:rsid w:val="6035FEED"/>
    <w:rsid w:val="604B3A65"/>
    <w:rsid w:val="61198248"/>
    <w:rsid w:val="616ACB57"/>
    <w:rsid w:val="61794B7D"/>
    <w:rsid w:val="61CB5DD6"/>
    <w:rsid w:val="61CDF091"/>
    <w:rsid w:val="61F4DFF2"/>
    <w:rsid w:val="6279C2CE"/>
    <w:rsid w:val="6316DCF8"/>
    <w:rsid w:val="6324E021"/>
    <w:rsid w:val="63369FD0"/>
    <w:rsid w:val="63A6E554"/>
    <w:rsid w:val="63FA3B1B"/>
    <w:rsid w:val="6444DA24"/>
    <w:rsid w:val="6527406A"/>
    <w:rsid w:val="653B34BC"/>
    <w:rsid w:val="656AF659"/>
    <w:rsid w:val="657373D4"/>
    <w:rsid w:val="66457F03"/>
    <w:rsid w:val="66C6912E"/>
    <w:rsid w:val="6704EBAE"/>
    <w:rsid w:val="672E52A3"/>
    <w:rsid w:val="674664C3"/>
    <w:rsid w:val="67478394"/>
    <w:rsid w:val="68D7BD95"/>
    <w:rsid w:val="6925F2FB"/>
    <w:rsid w:val="69750678"/>
    <w:rsid w:val="69E262AE"/>
    <w:rsid w:val="6A975B8B"/>
    <w:rsid w:val="6ABB5E72"/>
    <w:rsid w:val="6AD92917"/>
    <w:rsid w:val="6B3F6D38"/>
    <w:rsid w:val="6B5E6B78"/>
    <w:rsid w:val="6B9039EA"/>
    <w:rsid w:val="6B952280"/>
    <w:rsid w:val="6BA04223"/>
    <w:rsid w:val="6BB2BA48"/>
    <w:rsid w:val="6BD8B2A8"/>
    <w:rsid w:val="6C0EB681"/>
    <w:rsid w:val="6C46660F"/>
    <w:rsid w:val="6C70BBEE"/>
    <w:rsid w:val="6C7B52FC"/>
    <w:rsid w:val="6C7DA59A"/>
    <w:rsid w:val="6CF2AC9D"/>
    <w:rsid w:val="6D3CC3DD"/>
    <w:rsid w:val="6D434AF3"/>
    <w:rsid w:val="6D4F54C4"/>
    <w:rsid w:val="6DB69EFF"/>
    <w:rsid w:val="6E36F8FD"/>
    <w:rsid w:val="6E91561E"/>
    <w:rsid w:val="6ED43222"/>
    <w:rsid w:val="6F087490"/>
    <w:rsid w:val="6F60286E"/>
    <w:rsid w:val="6FAC9EA3"/>
    <w:rsid w:val="7084D898"/>
    <w:rsid w:val="7096F773"/>
    <w:rsid w:val="70CB9704"/>
    <w:rsid w:val="7116E8AD"/>
    <w:rsid w:val="712B787D"/>
    <w:rsid w:val="7159880B"/>
    <w:rsid w:val="719877A3"/>
    <w:rsid w:val="719E42E4"/>
    <w:rsid w:val="71A1B809"/>
    <w:rsid w:val="720F58D6"/>
    <w:rsid w:val="72FF10B1"/>
    <w:rsid w:val="733D6D8E"/>
    <w:rsid w:val="73FCC9CD"/>
    <w:rsid w:val="7468460D"/>
    <w:rsid w:val="747253E5"/>
    <w:rsid w:val="7481F709"/>
    <w:rsid w:val="748B3F32"/>
    <w:rsid w:val="7547BC33"/>
    <w:rsid w:val="7556B4DB"/>
    <w:rsid w:val="755A4B23"/>
    <w:rsid w:val="75941DA3"/>
    <w:rsid w:val="75CA632A"/>
    <w:rsid w:val="75F432CF"/>
    <w:rsid w:val="760CD912"/>
    <w:rsid w:val="7641F8C5"/>
    <w:rsid w:val="7658D7CC"/>
    <w:rsid w:val="76A37129"/>
    <w:rsid w:val="7736554A"/>
    <w:rsid w:val="7737FDCB"/>
    <w:rsid w:val="773E2368"/>
    <w:rsid w:val="7795D64B"/>
    <w:rsid w:val="77E28F97"/>
    <w:rsid w:val="78D6AD24"/>
    <w:rsid w:val="78DCB2BB"/>
    <w:rsid w:val="799B926A"/>
    <w:rsid w:val="79B09125"/>
    <w:rsid w:val="79E32D22"/>
    <w:rsid w:val="79EAF6CC"/>
    <w:rsid w:val="7A50D859"/>
    <w:rsid w:val="7AC467ED"/>
    <w:rsid w:val="7ACD1306"/>
    <w:rsid w:val="7B1FA69B"/>
    <w:rsid w:val="7B1FED06"/>
    <w:rsid w:val="7B4496C1"/>
    <w:rsid w:val="7B86ECDC"/>
    <w:rsid w:val="7C0DCCBC"/>
    <w:rsid w:val="7C4584FE"/>
    <w:rsid w:val="7C48C0D3"/>
    <w:rsid w:val="7CDF36EE"/>
    <w:rsid w:val="7D0CB063"/>
    <w:rsid w:val="7D71886E"/>
    <w:rsid w:val="7E000543"/>
    <w:rsid w:val="7E181844"/>
    <w:rsid w:val="7EBC10FB"/>
    <w:rsid w:val="7F051902"/>
    <w:rsid w:val="7F05BBA6"/>
    <w:rsid w:val="7F142398"/>
    <w:rsid w:val="7F534688"/>
    <w:rsid w:val="7F820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17BD"/>
  <w15:chartTrackingRefBased/>
  <w15:docId w15:val="{03C5AB4A-C733-400C-82CF-2ED5B78E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22C"/>
    <w:pPr>
      <w:spacing w:after="120" w:line="276"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01267D"/>
    <w:pPr>
      <w:spacing w:after="0" w:line="240" w:lineRule="auto"/>
      <w:ind w:left="720"/>
      <w:jc w:val="left"/>
    </w:pPr>
    <w:rPr>
      <w:rFonts w:cs="Times New Roman"/>
      <w:szCs w:val="24"/>
    </w:rPr>
  </w:style>
  <w:style w:type="paragraph" w:styleId="FootnoteText">
    <w:name w:val="footnote text"/>
    <w:basedOn w:val="Normal"/>
    <w:link w:val="FootnoteTextChar"/>
    <w:uiPriority w:val="99"/>
    <w:unhideWhenUsed/>
    <w:rsid w:val="0042771D"/>
    <w:pPr>
      <w:spacing w:after="0" w:line="240" w:lineRule="auto"/>
    </w:pPr>
    <w:rPr>
      <w:sz w:val="20"/>
      <w:szCs w:val="20"/>
    </w:rPr>
  </w:style>
  <w:style w:type="character" w:customStyle="1" w:styleId="FootnoteTextChar">
    <w:name w:val="Footnote Text Char"/>
    <w:basedOn w:val="DefaultParagraphFont"/>
    <w:link w:val="FootnoteText"/>
    <w:uiPriority w:val="99"/>
    <w:rsid w:val="0042771D"/>
    <w:rPr>
      <w:rFonts w:ascii="Times New Roman" w:hAnsi="Times New Roman"/>
      <w:sz w:val="20"/>
      <w:szCs w:val="20"/>
    </w:rPr>
  </w:style>
  <w:style w:type="character" w:styleId="FootnoteReference">
    <w:name w:val="footnote reference"/>
    <w:basedOn w:val="DefaultParagraphFont"/>
    <w:uiPriority w:val="99"/>
    <w:unhideWhenUsed/>
    <w:rsid w:val="0042771D"/>
    <w:rPr>
      <w:vertAlign w:val="superscript"/>
    </w:rPr>
  </w:style>
  <w:style w:type="character" w:styleId="Hyperlink">
    <w:name w:val="Hyperlink"/>
    <w:basedOn w:val="DefaultParagraphFont"/>
    <w:uiPriority w:val="99"/>
    <w:unhideWhenUsed/>
    <w:rsid w:val="00BB5882"/>
    <w:rPr>
      <w:color w:val="0563C1" w:themeColor="hyperlink"/>
      <w:u w:val="single"/>
    </w:rPr>
  </w:style>
  <w:style w:type="paragraph" w:styleId="ListParagraph">
    <w:name w:val="List Paragraph"/>
    <w:basedOn w:val="Normal"/>
    <w:uiPriority w:val="1"/>
    <w:qFormat/>
    <w:rsid w:val="00DB0CB6"/>
    <w:pPr>
      <w:ind w:left="720"/>
      <w:contextualSpacing/>
    </w:pPr>
  </w:style>
  <w:style w:type="paragraph" w:styleId="Title">
    <w:name w:val="Title"/>
    <w:basedOn w:val="Normal"/>
    <w:link w:val="TitleChar"/>
    <w:qFormat/>
    <w:rsid w:val="00CF7776"/>
    <w:pPr>
      <w:spacing w:after="0" w:line="240" w:lineRule="auto"/>
      <w:jc w:val="center"/>
    </w:pPr>
    <w:rPr>
      <w:rFonts w:eastAsia="Times New Roman" w:cs="Times New Roman"/>
      <w:szCs w:val="20"/>
    </w:rPr>
  </w:style>
  <w:style w:type="character" w:customStyle="1" w:styleId="TitleChar">
    <w:name w:val="Title Char"/>
    <w:basedOn w:val="DefaultParagraphFont"/>
    <w:link w:val="Title"/>
    <w:rsid w:val="00CF7776"/>
    <w:rPr>
      <w:rFonts w:ascii="Times New Roman" w:eastAsia="Times New Roman" w:hAnsi="Times New Roman" w:cs="Times New Roman"/>
      <w:sz w:val="24"/>
      <w:szCs w:val="20"/>
    </w:rPr>
  </w:style>
  <w:style w:type="paragraph" w:styleId="Caption">
    <w:name w:val="caption"/>
    <w:basedOn w:val="Normal"/>
    <w:next w:val="Normal"/>
    <w:qFormat/>
    <w:rsid w:val="00CF7776"/>
    <w:pPr>
      <w:spacing w:after="0" w:line="240" w:lineRule="auto"/>
      <w:jc w:val="center"/>
    </w:pPr>
    <w:rPr>
      <w:rFonts w:eastAsia="Times New Roman" w:cs="Times New Roman"/>
      <w:b/>
      <w:szCs w:val="20"/>
    </w:rPr>
  </w:style>
  <w:style w:type="paragraph" w:styleId="BalloonText">
    <w:name w:val="Balloon Text"/>
    <w:basedOn w:val="Normal"/>
    <w:link w:val="BalloonTextChar"/>
    <w:uiPriority w:val="99"/>
    <w:semiHidden/>
    <w:unhideWhenUsed/>
    <w:rsid w:val="00CF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76"/>
    <w:rPr>
      <w:rFonts w:ascii="Segoe UI" w:hAnsi="Segoe UI" w:cs="Segoe UI"/>
      <w:sz w:val="18"/>
      <w:szCs w:val="18"/>
    </w:rPr>
  </w:style>
  <w:style w:type="paragraph" w:styleId="Header">
    <w:name w:val="header"/>
    <w:basedOn w:val="Normal"/>
    <w:link w:val="HeaderChar"/>
    <w:uiPriority w:val="99"/>
    <w:unhideWhenUsed/>
    <w:rsid w:val="00C76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F1A"/>
    <w:rPr>
      <w:rFonts w:ascii="Times New Roman" w:hAnsi="Times New Roman"/>
      <w:sz w:val="24"/>
    </w:rPr>
  </w:style>
  <w:style w:type="paragraph" w:styleId="Footer">
    <w:name w:val="footer"/>
    <w:basedOn w:val="Normal"/>
    <w:link w:val="FooterChar"/>
    <w:uiPriority w:val="99"/>
    <w:unhideWhenUsed/>
    <w:rsid w:val="00C7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F1A"/>
    <w:rPr>
      <w:rFonts w:ascii="Times New Roman" w:hAnsi="Times New Roman"/>
      <w:sz w:val="24"/>
    </w:rPr>
  </w:style>
  <w:style w:type="character" w:styleId="CommentReference">
    <w:name w:val="annotation reference"/>
    <w:basedOn w:val="DefaultParagraphFont"/>
    <w:uiPriority w:val="99"/>
    <w:semiHidden/>
    <w:unhideWhenUsed/>
    <w:rsid w:val="00525872"/>
    <w:rPr>
      <w:sz w:val="16"/>
      <w:szCs w:val="16"/>
    </w:rPr>
  </w:style>
  <w:style w:type="paragraph" w:styleId="CommentText">
    <w:name w:val="annotation text"/>
    <w:basedOn w:val="Normal"/>
    <w:link w:val="CommentTextChar"/>
    <w:uiPriority w:val="99"/>
    <w:unhideWhenUsed/>
    <w:rsid w:val="00525872"/>
    <w:pPr>
      <w:spacing w:line="240" w:lineRule="auto"/>
    </w:pPr>
    <w:rPr>
      <w:sz w:val="20"/>
      <w:szCs w:val="20"/>
    </w:rPr>
  </w:style>
  <w:style w:type="character" w:customStyle="1" w:styleId="CommentTextChar">
    <w:name w:val="Comment Text Char"/>
    <w:basedOn w:val="DefaultParagraphFont"/>
    <w:link w:val="CommentText"/>
    <w:uiPriority w:val="99"/>
    <w:rsid w:val="005258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5872"/>
    <w:rPr>
      <w:b/>
      <w:bCs/>
    </w:rPr>
  </w:style>
  <w:style w:type="character" w:customStyle="1" w:styleId="CommentSubjectChar">
    <w:name w:val="Comment Subject Char"/>
    <w:basedOn w:val="CommentTextChar"/>
    <w:link w:val="CommentSubject"/>
    <w:uiPriority w:val="99"/>
    <w:semiHidden/>
    <w:rsid w:val="00525872"/>
    <w:rPr>
      <w:rFonts w:ascii="Times New Roman" w:hAnsi="Times New Roman"/>
      <w:b/>
      <w:bCs/>
      <w:sz w:val="20"/>
      <w:szCs w:val="20"/>
    </w:rPr>
  </w:style>
  <w:style w:type="paragraph" w:styleId="BodyText">
    <w:name w:val="Body Text"/>
    <w:basedOn w:val="Normal"/>
    <w:link w:val="BodyTextChar"/>
    <w:rsid w:val="00B62D71"/>
    <w:pPr>
      <w:spacing w:after="0" w:line="480" w:lineRule="auto"/>
    </w:pPr>
    <w:rPr>
      <w:rFonts w:eastAsia="Times New Roman" w:cs="Times New Roman"/>
      <w:szCs w:val="20"/>
    </w:rPr>
  </w:style>
  <w:style w:type="character" w:customStyle="1" w:styleId="BodyTextChar">
    <w:name w:val="Body Text Char"/>
    <w:basedOn w:val="DefaultParagraphFont"/>
    <w:link w:val="BodyText"/>
    <w:rsid w:val="00B62D71"/>
    <w:rPr>
      <w:rFonts w:ascii="Times New Roman" w:eastAsia="Times New Roman" w:hAnsi="Times New Roman" w:cs="Times New Roman"/>
      <w:sz w:val="24"/>
      <w:szCs w:val="20"/>
    </w:rPr>
  </w:style>
  <w:style w:type="paragraph" w:styleId="Signature">
    <w:name w:val="Signature"/>
    <w:basedOn w:val="Normal"/>
    <w:link w:val="SignatureChar"/>
    <w:rsid w:val="00B62D71"/>
    <w:pPr>
      <w:keepNext/>
      <w:keepLines/>
      <w:tabs>
        <w:tab w:val="right" w:pos="9360"/>
      </w:tabs>
      <w:spacing w:after="0" w:line="240" w:lineRule="auto"/>
      <w:ind w:left="4680"/>
      <w:jc w:val="left"/>
    </w:pPr>
    <w:rPr>
      <w:rFonts w:eastAsia="MS Mincho" w:cs="Times New Roman"/>
      <w:szCs w:val="20"/>
    </w:rPr>
  </w:style>
  <w:style w:type="character" w:customStyle="1" w:styleId="SignatureChar">
    <w:name w:val="Signature Char"/>
    <w:basedOn w:val="DefaultParagraphFont"/>
    <w:link w:val="Signature"/>
    <w:rsid w:val="00B62D71"/>
    <w:rPr>
      <w:rFonts w:ascii="Times New Roman" w:eastAsia="MS Mincho" w:hAnsi="Times New Roman" w:cs="Times New Roman"/>
      <w:sz w:val="24"/>
      <w:szCs w:val="20"/>
    </w:rPr>
  </w:style>
  <w:style w:type="character" w:customStyle="1" w:styleId="UnresolvedMention1">
    <w:name w:val="Unresolved Mention1"/>
    <w:basedOn w:val="DefaultParagraphFont"/>
    <w:uiPriority w:val="99"/>
    <w:semiHidden/>
    <w:unhideWhenUsed/>
    <w:rsid w:val="00360F5D"/>
    <w:rPr>
      <w:color w:val="605E5C"/>
      <w:shd w:val="clear" w:color="auto" w:fill="E1DFDD"/>
    </w:rPr>
  </w:style>
  <w:style w:type="table" w:styleId="TableGrid">
    <w:name w:val="Table Grid"/>
    <w:basedOn w:val="TableNormal"/>
    <w:uiPriority w:val="39"/>
    <w:rsid w:val="00DC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07819"/>
    <w:pPr>
      <w:spacing w:after="0" w:line="240" w:lineRule="auto"/>
      <w:jc w:val="left"/>
    </w:pPr>
    <w:rPr>
      <w:rFonts w:ascii="Calibri" w:hAnsi="Calibri" w:cs="Calibri"/>
      <w:sz w:val="22"/>
    </w:rPr>
  </w:style>
  <w:style w:type="character" w:styleId="FollowedHyperlink">
    <w:name w:val="FollowedHyperlink"/>
    <w:basedOn w:val="DefaultParagraphFont"/>
    <w:uiPriority w:val="99"/>
    <w:semiHidden/>
    <w:unhideWhenUsed/>
    <w:rsid w:val="008E537E"/>
    <w:rPr>
      <w:color w:val="954F72" w:themeColor="followedHyperlink"/>
      <w:u w:val="single"/>
    </w:rPr>
  </w:style>
  <w:style w:type="paragraph" w:styleId="Revision">
    <w:name w:val="Revision"/>
    <w:hidden/>
    <w:uiPriority w:val="99"/>
    <w:semiHidden/>
    <w:rsid w:val="006D70F5"/>
    <w:pPr>
      <w:spacing w:after="0" w:line="240" w:lineRule="auto"/>
    </w:pPr>
    <w:rPr>
      <w:rFonts w:ascii="Times New Roman" w:hAnsi="Times New Roman"/>
      <w:sz w:val="24"/>
    </w:rPr>
  </w:style>
  <w:style w:type="paragraph" w:customStyle="1" w:styleId="Default">
    <w:name w:val="Default"/>
    <w:rsid w:val="0084153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57F7A"/>
    <w:rPr>
      <w:b/>
      <w:bCs/>
    </w:rPr>
  </w:style>
  <w:style w:type="paragraph" w:styleId="NoSpacing">
    <w:name w:val="No Spacing"/>
    <w:uiPriority w:val="1"/>
    <w:qFormat/>
    <w:rsid w:val="00471640"/>
    <w:pPr>
      <w:spacing w:after="0" w:line="240" w:lineRule="auto"/>
      <w:jc w:val="both"/>
    </w:pPr>
    <w:rPr>
      <w:rFonts w:ascii="Times New Roman" w:hAnsi="Times New Roman"/>
      <w:sz w:val="24"/>
    </w:rPr>
  </w:style>
  <w:style w:type="paragraph" w:customStyle="1" w:styleId="left">
    <w:name w:val="left"/>
    <w:basedOn w:val="Normal"/>
    <w:rsid w:val="007679E4"/>
    <w:pPr>
      <w:spacing w:before="100" w:beforeAutospacing="1" w:after="100" w:afterAutospacing="1" w:line="240" w:lineRule="auto"/>
      <w:jc w:val="left"/>
    </w:pPr>
    <w:rPr>
      <w:rFonts w:eastAsia="Times New Roman" w:cs="Times New Roman"/>
      <w:szCs w:val="24"/>
    </w:rPr>
  </w:style>
  <w:style w:type="paragraph" w:customStyle="1" w:styleId="pf0">
    <w:name w:val="pf0"/>
    <w:basedOn w:val="Normal"/>
    <w:rsid w:val="00133D27"/>
    <w:pPr>
      <w:spacing w:before="100" w:beforeAutospacing="1" w:after="100" w:afterAutospacing="1" w:line="240" w:lineRule="auto"/>
      <w:jc w:val="left"/>
    </w:pPr>
    <w:rPr>
      <w:rFonts w:eastAsia="Times New Roman" w:cs="Times New Roman"/>
      <w:szCs w:val="24"/>
    </w:rPr>
  </w:style>
  <w:style w:type="character" w:customStyle="1" w:styleId="cf01">
    <w:name w:val="cf01"/>
    <w:basedOn w:val="DefaultParagraphFont"/>
    <w:rsid w:val="00133D27"/>
    <w:rPr>
      <w:rFonts w:ascii="Segoe UI" w:hAnsi="Segoe UI" w:cs="Segoe UI" w:hint="default"/>
      <w:sz w:val="18"/>
      <w:szCs w:val="18"/>
    </w:rPr>
  </w:style>
  <w:style w:type="paragraph" w:styleId="EndnoteText">
    <w:name w:val="endnote text"/>
    <w:basedOn w:val="Normal"/>
    <w:link w:val="EndnoteTextChar"/>
    <w:uiPriority w:val="99"/>
    <w:semiHidden/>
    <w:unhideWhenUsed/>
    <w:rsid w:val="002424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4DC"/>
    <w:rPr>
      <w:rFonts w:ascii="Times New Roman" w:hAnsi="Times New Roman"/>
      <w:sz w:val="20"/>
      <w:szCs w:val="20"/>
    </w:rPr>
  </w:style>
  <w:style w:type="character" w:styleId="EndnoteReference">
    <w:name w:val="endnote reference"/>
    <w:basedOn w:val="DefaultParagraphFont"/>
    <w:uiPriority w:val="99"/>
    <w:semiHidden/>
    <w:unhideWhenUsed/>
    <w:rsid w:val="002424DC"/>
    <w:rPr>
      <w:vertAlign w:val="superscript"/>
    </w:rPr>
  </w:style>
  <w:style w:type="character" w:styleId="UnresolvedMention">
    <w:name w:val="Unresolved Mention"/>
    <w:basedOn w:val="DefaultParagraphFont"/>
    <w:uiPriority w:val="99"/>
    <w:semiHidden/>
    <w:unhideWhenUsed/>
    <w:rsid w:val="001C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7685">
      <w:bodyDiv w:val="1"/>
      <w:marLeft w:val="0"/>
      <w:marRight w:val="0"/>
      <w:marTop w:val="0"/>
      <w:marBottom w:val="0"/>
      <w:divBdr>
        <w:top w:val="none" w:sz="0" w:space="0" w:color="auto"/>
        <w:left w:val="none" w:sz="0" w:space="0" w:color="auto"/>
        <w:bottom w:val="none" w:sz="0" w:space="0" w:color="auto"/>
        <w:right w:val="none" w:sz="0" w:space="0" w:color="auto"/>
      </w:divBdr>
      <w:divsChild>
        <w:div w:id="728576107">
          <w:marLeft w:val="274"/>
          <w:marRight w:val="0"/>
          <w:marTop w:val="150"/>
          <w:marBottom w:val="0"/>
          <w:divBdr>
            <w:top w:val="none" w:sz="0" w:space="0" w:color="auto"/>
            <w:left w:val="none" w:sz="0" w:space="0" w:color="auto"/>
            <w:bottom w:val="none" w:sz="0" w:space="0" w:color="auto"/>
            <w:right w:val="none" w:sz="0" w:space="0" w:color="auto"/>
          </w:divBdr>
        </w:div>
      </w:divsChild>
    </w:div>
    <w:div w:id="298075943">
      <w:bodyDiv w:val="1"/>
      <w:marLeft w:val="0"/>
      <w:marRight w:val="0"/>
      <w:marTop w:val="0"/>
      <w:marBottom w:val="0"/>
      <w:divBdr>
        <w:top w:val="none" w:sz="0" w:space="0" w:color="auto"/>
        <w:left w:val="none" w:sz="0" w:space="0" w:color="auto"/>
        <w:bottom w:val="none" w:sz="0" w:space="0" w:color="auto"/>
        <w:right w:val="none" w:sz="0" w:space="0" w:color="auto"/>
      </w:divBdr>
    </w:div>
    <w:div w:id="313342083">
      <w:bodyDiv w:val="1"/>
      <w:marLeft w:val="0"/>
      <w:marRight w:val="0"/>
      <w:marTop w:val="0"/>
      <w:marBottom w:val="0"/>
      <w:divBdr>
        <w:top w:val="none" w:sz="0" w:space="0" w:color="auto"/>
        <w:left w:val="none" w:sz="0" w:space="0" w:color="auto"/>
        <w:bottom w:val="none" w:sz="0" w:space="0" w:color="auto"/>
        <w:right w:val="none" w:sz="0" w:space="0" w:color="auto"/>
      </w:divBdr>
    </w:div>
    <w:div w:id="391926691">
      <w:bodyDiv w:val="1"/>
      <w:marLeft w:val="0"/>
      <w:marRight w:val="0"/>
      <w:marTop w:val="0"/>
      <w:marBottom w:val="0"/>
      <w:divBdr>
        <w:top w:val="none" w:sz="0" w:space="0" w:color="auto"/>
        <w:left w:val="none" w:sz="0" w:space="0" w:color="auto"/>
        <w:bottom w:val="none" w:sz="0" w:space="0" w:color="auto"/>
        <w:right w:val="none" w:sz="0" w:space="0" w:color="auto"/>
      </w:divBdr>
    </w:div>
    <w:div w:id="399787026">
      <w:bodyDiv w:val="1"/>
      <w:marLeft w:val="0"/>
      <w:marRight w:val="0"/>
      <w:marTop w:val="0"/>
      <w:marBottom w:val="0"/>
      <w:divBdr>
        <w:top w:val="none" w:sz="0" w:space="0" w:color="auto"/>
        <w:left w:val="none" w:sz="0" w:space="0" w:color="auto"/>
        <w:bottom w:val="none" w:sz="0" w:space="0" w:color="auto"/>
        <w:right w:val="none" w:sz="0" w:space="0" w:color="auto"/>
      </w:divBdr>
    </w:div>
    <w:div w:id="615479607">
      <w:bodyDiv w:val="1"/>
      <w:marLeft w:val="0"/>
      <w:marRight w:val="0"/>
      <w:marTop w:val="0"/>
      <w:marBottom w:val="0"/>
      <w:divBdr>
        <w:top w:val="none" w:sz="0" w:space="0" w:color="auto"/>
        <w:left w:val="none" w:sz="0" w:space="0" w:color="auto"/>
        <w:bottom w:val="none" w:sz="0" w:space="0" w:color="auto"/>
        <w:right w:val="none" w:sz="0" w:space="0" w:color="auto"/>
      </w:divBdr>
    </w:div>
    <w:div w:id="803350769">
      <w:bodyDiv w:val="1"/>
      <w:marLeft w:val="0"/>
      <w:marRight w:val="0"/>
      <w:marTop w:val="0"/>
      <w:marBottom w:val="0"/>
      <w:divBdr>
        <w:top w:val="none" w:sz="0" w:space="0" w:color="auto"/>
        <w:left w:val="none" w:sz="0" w:space="0" w:color="auto"/>
        <w:bottom w:val="none" w:sz="0" w:space="0" w:color="auto"/>
        <w:right w:val="none" w:sz="0" w:space="0" w:color="auto"/>
      </w:divBdr>
    </w:div>
    <w:div w:id="892234813">
      <w:bodyDiv w:val="1"/>
      <w:marLeft w:val="0"/>
      <w:marRight w:val="0"/>
      <w:marTop w:val="0"/>
      <w:marBottom w:val="0"/>
      <w:divBdr>
        <w:top w:val="none" w:sz="0" w:space="0" w:color="auto"/>
        <w:left w:val="none" w:sz="0" w:space="0" w:color="auto"/>
        <w:bottom w:val="none" w:sz="0" w:space="0" w:color="auto"/>
        <w:right w:val="none" w:sz="0" w:space="0" w:color="auto"/>
      </w:divBdr>
    </w:div>
    <w:div w:id="1007172016">
      <w:bodyDiv w:val="1"/>
      <w:marLeft w:val="0"/>
      <w:marRight w:val="0"/>
      <w:marTop w:val="0"/>
      <w:marBottom w:val="0"/>
      <w:divBdr>
        <w:top w:val="none" w:sz="0" w:space="0" w:color="auto"/>
        <w:left w:val="none" w:sz="0" w:space="0" w:color="auto"/>
        <w:bottom w:val="none" w:sz="0" w:space="0" w:color="auto"/>
        <w:right w:val="none" w:sz="0" w:space="0" w:color="auto"/>
      </w:divBdr>
    </w:div>
    <w:div w:id="1134443735">
      <w:bodyDiv w:val="1"/>
      <w:marLeft w:val="0"/>
      <w:marRight w:val="0"/>
      <w:marTop w:val="0"/>
      <w:marBottom w:val="0"/>
      <w:divBdr>
        <w:top w:val="none" w:sz="0" w:space="0" w:color="auto"/>
        <w:left w:val="none" w:sz="0" w:space="0" w:color="auto"/>
        <w:bottom w:val="none" w:sz="0" w:space="0" w:color="auto"/>
        <w:right w:val="none" w:sz="0" w:space="0" w:color="auto"/>
      </w:divBdr>
    </w:div>
    <w:div w:id="1305158317">
      <w:bodyDiv w:val="1"/>
      <w:marLeft w:val="0"/>
      <w:marRight w:val="0"/>
      <w:marTop w:val="0"/>
      <w:marBottom w:val="0"/>
      <w:divBdr>
        <w:top w:val="none" w:sz="0" w:space="0" w:color="auto"/>
        <w:left w:val="none" w:sz="0" w:space="0" w:color="auto"/>
        <w:bottom w:val="none" w:sz="0" w:space="0" w:color="auto"/>
        <w:right w:val="none" w:sz="0" w:space="0" w:color="auto"/>
      </w:divBdr>
      <w:divsChild>
        <w:div w:id="476848234">
          <w:marLeft w:val="374"/>
          <w:marRight w:val="0"/>
          <w:marTop w:val="0"/>
          <w:marBottom w:val="0"/>
          <w:divBdr>
            <w:top w:val="none" w:sz="0" w:space="0" w:color="auto"/>
            <w:left w:val="none" w:sz="0" w:space="0" w:color="auto"/>
            <w:bottom w:val="none" w:sz="0" w:space="0" w:color="auto"/>
            <w:right w:val="none" w:sz="0" w:space="0" w:color="auto"/>
          </w:divBdr>
        </w:div>
        <w:div w:id="884218209">
          <w:marLeft w:val="821"/>
          <w:marRight w:val="0"/>
          <w:marTop w:val="0"/>
          <w:marBottom w:val="0"/>
          <w:divBdr>
            <w:top w:val="none" w:sz="0" w:space="0" w:color="auto"/>
            <w:left w:val="none" w:sz="0" w:space="0" w:color="auto"/>
            <w:bottom w:val="none" w:sz="0" w:space="0" w:color="auto"/>
            <w:right w:val="none" w:sz="0" w:space="0" w:color="auto"/>
          </w:divBdr>
        </w:div>
        <w:div w:id="1048645922">
          <w:marLeft w:val="821"/>
          <w:marRight w:val="0"/>
          <w:marTop w:val="0"/>
          <w:marBottom w:val="0"/>
          <w:divBdr>
            <w:top w:val="none" w:sz="0" w:space="0" w:color="auto"/>
            <w:left w:val="none" w:sz="0" w:space="0" w:color="auto"/>
            <w:bottom w:val="none" w:sz="0" w:space="0" w:color="auto"/>
            <w:right w:val="none" w:sz="0" w:space="0" w:color="auto"/>
          </w:divBdr>
        </w:div>
        <w:div w:id="1333601023">
          <w:marLeft w:val="821"/>
          <w:marRight w:val="0"/>
          <w:marTop w:val="0"/>
          <w:marBottom w:val="0"/>
          <w:divBdr>
            <w:top w:val="none" w:sz="0" w:space="0" w:color="auto"/>
            <w:left w:val="none" w:sz="0" w:space="0" w:color="auto"/>
            <w:bottom w:val="none" w:sz="0" w:space="0" w:color="auto"/>
            <w:right w:val="none" w:sz="0" w:space="0" w:color="auto"/>
          </w:divBdr>
        </w:div>
        <w:div w:id="1699744021">
          <w:marLeft w:val="374"/>
          <w:marRight w:val="0"/>
          <w:marTop w:val="0"/>
          <w:marBottom w:val="0"/>
          <w:divBdr>
            <w:top w:val="none" w:sz="0" w:space="0" w:color="auto"/>
            <w:left w:val="none" w:sz="0" w:space="0" w:color="auto"/>
            <w:bottom w:val="none" w:sz="0" w:space="0" w:color="auto"/>
            <w:right w:val="none" w:sz="0" w:space="0" w:color="auto"/>
          </w:divBdr>
        </w:div>
        <w:div w:id="1752896087">
          <w:marLeft w:val="821"/>
          <w:marRight w:val="0"/>
          <w:marTop w:val="0"/>
          <w:marBottom w:val="0"/>
          <w:divBdr>
            <w:top w:val="none" w:sz="0" w:space="0" w:color="auto"/>
            <w:left w:val="none" w:sz="0" w:space="0" w:color="auto"/>
            <w:bottom w:val="none" w:sz="0" w:space="0" w:color="auto"/>
            <w:right w:val="none" w:sz="0" w:space="0" w:color="auto"/>
          </w:divBdr>
        </w:div>
        <w:div w:id="1994291397">
          <w:marLeft w:val="821"/>
          <w:marRight w:val="0"/>
          <w:marTop w:val="0"/>
          <w:marBottom w:val="0"/>
          <w:divBdr>
            <w:top w:val="none" w:sz="0" w:space="0" w:color="auto"/>
            <w:left w:val="none" w:sz="0" w:space="0" w:color="auto"/>
            <w:bottom w:val="none" w:sz="0" w:space="0" w:color="auto"/>
            <w:right w:val="none" w:sz="0" w:space="0" w:color="auto"/>
          </w:divBdr>
        </w:div>
      </w:divsChild>
    </w:div>
    <w:div w:id="1531340876">
      <w:bodyDiv w:val="1"/>
      <w:marLeft w:val="0"/>
      <w:marRight w:val="0"/>
      <w:marTop w:val="0"/>
      <w:marBottom w:val="0"/>
      <w:divBdr>
        <w:top w:val="none" w:sz="0" w:space="0" w:color="auto"/>
        <w:left w:val="none" w:sz="0" w:space="0" w:color="auto"/>
        <w:bottom w:val="none" w:sz="0" w:space="0" w:color="auto"/>
        <w:right w:val="none" w:sz="0" w:space="0" w:color="auto"/>
      </w:divBdr>
    </w:div>
    <w:div w:id="1691108563">
      <w:bodyDiv w:val="1"/>
      <w:marLeft w:val="0"/>
      <w:marRight w:val="0"/>
      <w:marTop w:val="0"/>
      <w:marBottom w:val="0"/>
      <w:divBdr>
        <w:top w:val="none" w:sz="0" w:space="0" w:color="auto"/>
        <w:left w:val="none" w:sz="0" w:space="0" w:color="auto"/>
        <w:bottom w:val="none" w:sz="0" w:space="0" w:color="auto"/>
        <w:right w:val="none" w:sz="0" w:space="0" w:color="auto"/>
      </w:divBdr>
    </w:div>
    <w:div w:id="1783450259">
      <w:bodyDiv w:val="1"/>
      <w:marLeft w:val="0"/>
      <w:marRight w:val="0"/>
      <w:marTop w:val="0"/>
      <w:marBottom w:val="0"/>
      <w:divBdr>
        <w:top w:val="none" w:sz="0" w:space="0" w:color="auto"/>
        <w:left w:val="none" w:sz="0" w:space="0" w:color="auto"/>
        <w:bottom w:val="none" w:sz="0" w:space="0" w:color="auto"/>
        <w:right w:val="none" w:sz="0" w:space="0" w:color="auto"/>
      </w:divBdr>
    </w:div>
    <w:div w:id="2015643315">
      <w:bodyDiv w:val="1"/>
      <w:marLeft w:val="0"/>
      <w:marRight w:val="0"/>
      <w:marTop w:val="0"/>
      <w:marBottom w:val="0"/>
      <w:divBdr>
        <w:top w:val="none" w:sz="0" w:space="0" w:color="auto"/>
        <w:left w:val="none" w:sz="0" w:space="0" w:color="auto"/>
        <w:bottom w:val="none" w:sz="0" w:space="0" w:color="auto"/>
        <w:right w:val="none" w:sz="0" w:space="0" w:color="auto"/>
      </w:divBdr>
    </w:div>
    <w:div w:id="2051608194">
      <w:bodyDiv w:val="1"/>
      <w:marLeft w:val="0"/>
      <w:marRight w:val="0"/>
      <w:marTop w:val="0"/>
      <w:marBottom w:val="0"/>
      <w:divBdr>
        <w:top w:val="none" w:sz="0" w:space="0" w:color="auto"/>
        <w:left w:val="none" w:sz="0" w:space="0" w:color="auto"/>
        <w:bottom w:val="none" w:sz="0" w:space="0" w:color="auto"/>
        <w:right w:val="none" w:sz="0" w:space="0" w:color="auto"/>
      </w:divBdr>
    </w:div>
    <w:div w:id="2070566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michele@competitivepower.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0EB27-6C5E-49FC-A46A-45C6593BE6E7}">
  <ds:schemaRefs>
    <ds:schemaRef ds:uri="http://schemas.openxmlformats.org/officeDocument/2006/bibliography"/>
  </ds:schemaRefs>
</ds:datastoreItem>
</file>

<file path=customXml/itemProps2.xml><?xml version="1.0" encoding="utf-8"?>
<ds:datastoreItem xmlns:ds="http://schemas.openxmlformats.org/officeDocument/2006/customXml" ds:itemID="{B73A202A-C076-4B5F-87EE-E6D70BE26C4B}">
  <ds:schemaRefs>
    <ds:schemaRef ds:uri="http://schemas.microsoft.com/sharepoint/v3/contenttype/forms"/>
  </ds:schemaRefs>
</ds:datastoreItem>
</file>

<file path=customXml/itemProps3.xml><?xml version="1.0" encoding="utf-8"?>
<ds:datastoreItem xmlns:ds="http://schemas.openxmlformats.org/officeDocument/2006/customXml" ds:itemID="{EF8FA485-9DA1-4A44-B8BA-02A3A2C43E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C414E9-B9AC-43FB-810B-5DDFAFF2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4133</Words>
  <Characters>23561</Characters>
  <Application>Microsoft Office Word</Application>
  <DocSecurity>0</DocSecurity>
  <Lines>196</Lines>
  <Paragraphs>55</Paragraphs>
  <ScaleCrop>false</ScaleCrop>
  <Company>Calpine</Company>
  <LinksUpToDate>false</LinksUpToDate>
  <CharactersWithSpaces>27639</CharactersWithSpaces>
  <SharedDoc>false</SharedDoc>
  <HLinks>
    <vt:vector size="6" baseType="variant">
      <vt:variant>
        <vt:i4>3407892</vt:i4>
      </vt:variant>
      <vt:variant>
        <vt:i4>0</vt:i4>
      </vt:variant>
      <vt:variant>
        <vt:i4>0</vt:i4>
      </vt:variant>
      <vt:variant>
        <vt:i4>5</vt:i4>
      </vt:variant>
      <vt:variant>
        <vt:lpwstr>mailto:michele@competitivepower.org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Schleimer</dc:creator>
  <cp:keywords/>
  <dc:description/>
  <cp:lastModifiedBy>Michele Richmond</cp:lastModifiedBy>
  <cp:revision>3</cp:revision>
  <cp:lastPrinted>2025-06-26T18:17:00Z</cp:lastPrinted>
  <dcterms:created xsi:type="dcterms:W3CDTF">2025-06-27T15:42:00Z</dcterms:created>
  <dcterms:modified xsi:type="dcterms:W3CDTF">2025-06-27T15:43:00Z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dfe1a8d7-e404-4561-a6ce-09441972395c_Enabled">
    <vt:lpwstr>true</vt:lpwstr>
  </property>
  <property fmtid="{D5CDD505-2E9C-101B-9397-08002B2CF9AE}" pid="4" name="MSIP_Label_dfe1a8d7-e404-4561-a6ce-09441972395c_SetDate">
    <vt:lpwstr>2024-07-18T16:37:33Z</vt:lpwstr>
  </property>
  <property fmtid="{D5CDD505-2E9C-101B-9397-08002B2CF9AE}" pid="5" name="MSIP_Label_dfe1a8d7-e404-4561-a6ce-09441972395c_Method">
    <vt:lpwstr>Standard</vt:lpwstr>
  </property>
  <property fmtid="{D5CDD505-2E9C-101B-9397-08002B2CF9AE}" pid="6" name="MSIP_Label_dfe1a8d7-e404-4561-a6ce-09441972395c_Name">
    <vt:lpwstr>Company Confidential Information</vt:lpwstr>
  </property>
  <property fmtid="{D5CDD505-2E9C-101B-9397-08002B2CF9AE}" pid="7" name="MSIP_Label_dfe1a8d7-e404-4561-a6ce-09441972395c_SiteId">
    <vt:lpwstr>d8fb9c07-c19e-4e8c-a1cb-717cd3cf8ffe</vt:lpwstr>
  </property>
  <property fmtid="{D5CDD505-2E9C-101B-9397-08002B2CF9AE}" pid="8" name="MSIP_Label_dfe1a8d7-e404-4561-a6ce-09441972395c_ActionId">
    <vt:lpwstr>f64c6fce-7174-4e25-99a6-106d353c1a05</vt:lpwstr>
  </property>
  <property fmtid="{D5CDD505-2E9C-101B-9397-08002B2CF9AE}" pid="9" name="MSIP_Label_dfe1a8d7-e404-4561-a6ce-09441972395c_ContentBits">
    <vt:lpwstr>0</vt:lpwstr>
  </property>
</Properties>
</file>