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45DD" w14:textId="207C581E" w:rsidR="00FF5059" w:rsidRPr="00717DCD" w:rsidRDefault="001B5E4A" w:rsidP="00B22487">
      <w:pPr>
        <w:pStyle w:val="Title"/>
        <w:rPr>
          <w:b/>
          <w:szCs w:val="24"/>
        </w:rPr>
      </w:pPr>
      <w:r w:rsidRPr="00717DCD">
        <w:rPr>
          <w:b/>
          <w:szCs w:val="24"/>
        </w:rPr>
        <w:t>PROJECT NO. 5</w:t>
      </w:r>
      <w:r w:rsidR="00903659">
        <w:rPr>
          <w:b/>
          <w:szCs w:val="24"/>
        </w:rPr>
        <w:t>79</w:t>
      </w:r>
      <w:r w:rsidR="007527B5">
        <w:rPr>
          <w:b/>
          <w:szCs w:val="24"/>
        </w:rPr>
        <w:t>28</w:t>
      </w:r>
    </w:p>
    <w:p w14:paraId="31DDE53C" w14:textId="77777777" w:rsidR="00FF5059" w:rsidRPr="00717DCD" w:rsidRDefault="00FF5059" w:rsidP="00B22487">
      <w:pPr>
        <w:pStyle w:val="Title"/>
        <w:rPr>
          <w:b/>
          <w:szCs w:val="24"/>
        </w:rPr>
      </w:pPr>
    </w:p>
    <w:tbl>
      <w:tblPr>
        <w:tblW w:w="9375" w:type="dxa"/>
        <w:tblLook w:val="04A0" w:firstRow="1" w:lastRow="0" w:firstColumn="1" w:lastColumn="0" w:noHBand="0" w:noVBand="1"/>
      </w:tblPr>
      <w:tblGrid>
        <w:gridCol w:w="4247"/>
        <w:gridCol w:w="989"/>
        <w:gridCol w:w="4139"/>
      </w:tblGrid>
      <w:tr w:rsidR="00FF5059" w:rsidRPr="00D11A78" w14:paraId="672ADAD5" w14:textId="77777777" w:rsidTr="00DB5962">
        <w:trPr>
          <w:trHeight w:val="722"/>
        </w:trPr>
        <w:tc>
          <w:tcPr>
            <w:tcW w:w="4247" w:type="dxa"/>
          </w:tcPr>
          <w:p w14:paraId="28B0003F" w14:textId="6CF0FD29" w:rsidR="001B5E4A" w:rsidRPr="00717DCD" w:rsidRDefault="00374F37" w:rsidP="00B22487">
            <w:pPr>
              <w:pStyle w:val="Title"/>
              <w:jc w:val="left"/>
              <w:rPr>
                <w:b/>
                <w:szCs w:val="24"/>
              </w:rPr>
            </w:pPr>
            <w:r>
              <w:rPr>
                <w:b/>
                <w:szCs w:val="24"/>
              </w:rPr>
              <w:t xml:space="preserve">REVIEW OF </w:t>
            </w:r>
            <w:r w:rsidR="003109CD" w:rsidRPr="00717DCD">
              <w:rPr>
                <w:b/>
                <w:szCs w:val="24"/>
              </w:rPr>
              <w:t>§</w:t>
            </w:r>
            <w:r w:rsidR="00AA67BD">
              <w:rPr>
                <w:b/>
                <w:szCs w:val="24"/>
              </w:rPr>
              <w:t xml:space="preserve"> </w:t>
            </w:r>
            <w:r w:rsidR="00903659" w:rsidRPr="00903659">
              <w:rPr>
                <w:b/>
                <w:szCs w:val="24"/>
              </w:rPr>
              <w:t>25</w:t>
            </w:r>
            <w:r w:rsidR="003109CD">
              <w:rPr>
                <w:b/>
                <w:szCs w:val="24"/>
              </w:rPr>
              <w:t>.53</w:t>
            </w:r>
            <w:r w:rsidR="00903659" w:rsidRPr="00903659">
              <w:rPr>
                <w:b/>
                <w:szCs w:val="24"/>
              </w:rPr>
              <w:t xml:space="preserve">, </w:t>
            </w:r>
            <w:r w:rsidR="003109CD">
              <w:rPr>
                <w:b/>
                <w:szCs w:val="24"/>
              </w:rPr>
              <w:t>ELECTRIC</w:t>
            </w:r>
            <w:r w:rsidR="00903659" w:rsidRPr="00903659">
              <w:rPr>
                <w:b/>
                <w:szCs w:val="24"/>
              </w:rPr>
              <w:t xml:space="preserve"> </w:t>
            </w:r>
            <w:r w:rsidR="003109CD">
              <w:rPr>
                <w:b/>
                <w:szCs w:val="24"/>
              </w:rPr>
              <w:t>SERVICE EMERGENCY OPERATIONS PLANS</w:t>
            </w:r>
          </w:p>
        </w:tc>
        <w:tc>
          <w:tcPr>
            <w:tcW w:w="989" w:type="dxa"/>
          </w:tcPr>
          <w:p w14:paraId="03063560" w14:textId="77777777" w:rsidR="00FF5059" w:rsidRPr="00717DCD" w:rsidRDefault="00FF5059" w:rsidP="00B22487">
            <w:pPr>
              <w:pStyle w:val="Title"/>
              <w:rPr>
                <w:b/>
                <w:szCs w:val="24"/>
              </w:rPr>
            </w:pPr>
            <w:r w:rsidRPr="00717DCD">
              <w:rPr>
                <w:b/>
                <w:szCs w:val="24"/>
              </w:rPr>
              <w:t>§</w:t>
            </w:r>
          </w:p>
          <w:p w14:paraId="31BB4791" w14:textId="77777777" w:rsidR="00FF5059" w:rsidRDefault="00FF5059" w:rsidP="00B22487">
            <w:pPr>
              <w:pStyle w:val="Title"/>
              <w:rPr>
                <w:b/>
                <w:szCs w:val="24"/>
              </w:rPr>
            </w:pPr>
            <w:r w:rsidRPr="00717DCD">
              <w:rPr>
                <w:b/>
                <w:szCs w:val="24"/>
              </w:rPr>
              <w:t>§</w:t>
            </w:r>
          </w:p>
          <w:p w14:paraId="65B85CD6" w14:textId="77777777" w:rsidR="00A102A0" w:rsidRDefault="00A102A0" w:rsidP="00B22487">
            <w:pPr>
              <w:pStyle w:val="Title"/>
              <w:rPr>
                <w:b/>
                <w:szCs w:val="24"/>
              </w:rPr>
            </w:pPr>
            <w:r w:rsidRPr="00717DCD">
              <w:rPr>
                <w:b/>
                <w:szCs w:val="24"/>
              </w:rPr>
              <w:t>§</w:t>
            </w:r>
          </w:p>
          <w:p w14:paraId="203A581A" w14:textId="6594C5A0" w:rsidR="00A102A0" w:rsidRPr="00717DCD" w:rsidRDefault="00A102A0" w:rsidP="00B22487">
            <w:pPr>
              <w:pStyle w:val="Title"/>
              <w:rPr>
                <w:b/>
                <w:szCs w:val="24"/>
              </w:rPr>
            </w:pPr>
          </w:p>
        </w:tc>
        <w:tc>
          <w:tcPr>
            <w:tcW w:w="4139" w:type="dxa"/>
          </w:tcPr>
          <w:p w14:paraId="7952A813" w14:textId="77777777" w:rsidR="00FF5059" w:rsidRPr="00717DCD" w:rsidRDefault="00FF5059" w:rsidP="00B22487">
            <w:pPr>
              <w:pStyle w:val="Title"/>
              <w:rPr>
                <w:b/>
                <w:szCs w:val="24"/>
              </w:rPr>
            </w:pPr>
            <w:r w:rsidRPr="00717DCD">
              <w:rPr>
                <w:b/>
                <w:szCs w:val="24"/>
              </w:rPr>
              <w:t>PUBLIC UTILITY COMMISSION</w:t>
            </w:r>
          </w:p>
          <w:p w14:paraId="068ACB33" w14:textId="77777777" w:rsidR="00FE1BF3" w:rsidRDefault="00FE1BF3" w:rsidP="00B22487">
            <w:pPr>
              <w:pStyle w:val="Title"/>
              <w:rPr>
                <w:b/>
                <w:szCs w:val="24"/>
              </w:rPr>
            </w:pPr>
          </w:p>
          <w:p w14:paraId="7306CE72" w14:textId="176E8902" w:rsidR="00FF5059" w:rsidRPr="00717DCD" w:rsidRDefault="00FF5059" w:rsidP="00B22487">
            <w:pPr>
              <w:pStyle w:val="Title"/>
              <w:rPr>
                <w:b/>
                <w:szCs w:val="24"/>
              </w:rPr>
            </w:pPr>
            <w:r w:rsidRPr="00717DCD">
              <w:rPr>
                <w:b/>
                <w:szCs w:val="24"/>
              </w:rPr>
              <w:t>OF TEXAS</w:t>
            </w:r>
          </w:p>
        </w:tc>
      </w:tr>
    </w:tbl>
    <w:p w14:paraId="7219FB1D" w14:textId="77777777" w:rsidR="00CF7776" w:rsidRDefault="00CF7776" w:rsidP="00B22487">
      <w:pPr>
        <w:pStyle w:val="Caption"/>
        <w:ind w:right="-270"/>
        <w:jc w:val="both"/>
        <w:rPr>
          <w:szCs w:val="24"/>
        </w:rPr>
      </w:pPr>
    </w:p>
    <w:p w14:paraId="1DEA1680" w14:textId="77777777" w:rsidR="00A102A0" w:rsidRPr="00A102A0" w:rsidRDefault="00A102A0" w:rsidP="00471640">
      <w:pPr>
        <w:pStyle w:val="NoSpacing"/>
      </w:pPr>
    </w:p>
    <w:p w14:paraId="54EE4522" w14:textId="53DF1ACB" w:rsidR="003109CD" w:rsidRDefault="00552F98" w:rsidP="00903659">
      <w:pPr>
        <w:pStyle w:val="Caption"/>
        <w:ind w:right="-270"/>
        <w:rPr>
          <w:caps/>
          <w:szCs w:val="24"/>
          <w:u w:val="single"/>
        </w:rPr>
      </w:pPr>
      <w:r w:rsidRPr="00717DCD">
        <w:rPr>
          <w:caps/>
          <w:szCs w:val="24"/>
          <w:u w:val="single"/>
        </w:rPr>
        <w:t>TCPA’s</w:t>
      </w:r>
      <w:r w:rsidR="00CF7776" w:rsidRPr="00717DCD">
        <w:rPr>
          <w:caps/>
          <w:szCs w:val="24"/>
          <w:u w:val="single"/>
        </w:rPr>
        <w:t xml:space="preserve"> </w:t>
      </w:r>
      <w:r w:rsidR="00903659" w:rsidRPr="00903659">
        <w:rPr>
          <w:caps/>
          <w:szCs w:val="24"/>
          <w:u w:val="single"/>
        </w:rPr>
        <w:t>COM</w:t>
      </w:r>
      <w:r w:rsidR="00903659">
        <w:rPr>
          <w:caps/>
          <w:szCs w:val="24"/>
          <w:u w:val="single"/>
        </w:rPr>
        <w:t>M</w:t>
      </w:r>
      <w:r w:rsidR="00903659" w:rsidRPr="00903659">
        <w:rPr>
          <w:caps/>
          <w:szCs w:val="24"/>
          <w:u w:val="single"/>
        </w:rPr>
        <w:t>ENTS</w:t>
      </w:r>
      <w:r w:rsidR="007527B5">
        <w:rPr>
          <w:caps/>
          <w:szCs w:val="24"/>
          <w:u w:val="single"/>
        </w:rPr>
        <w:t xml:space="preserve"> on the proposal for publication</w:t>
      </w:r>
    </w:p>
    <w:p w14:paraId="69C36A4A" w14:textId="742D0387" w:rsidR="00CF7776" w:rsidRPr="00717DCD" w:rsidRDefault="007527B5" w:rsidP="00903659">
      <w:pPr>
        <w:pStyle w:val="Caption"/>
        <w:ind w:right="-270"/>
        <w:rPr>
          <w:caps/>
          <w:szCs w:val="24"/>
          <w:u w:val="single"/>
        </w:rPr>
      </w:pPr>
      <w:r>
        <w:rPr>
          <w:caps/>
          <w:szCs w:val="24"/>
          <w:u w:val="single"/>
        </w:rPr>
        <w:t>of amendments to 16 tac</w:t>
      </w:r>
      <w:r w:rsidR="003109CD">
        <w:rPr>
          <w:caps/>
          <w:szCs w:val="24"/>
          <w:u w:val="single"/>
        </w:rPr>
        <w:t xml:space="preserve"> </w:t>
      </w:r>
      <w:r w:rsidR="003109CD" w:rsidRPr="003109CD">
        <w:rPr>
          <w:szCs w:val="24"/>
          <w:u w:val="single"/>
        </w:rPr>
        <w:t>§</w:t>
      </w:r>
      <w:r w:rsidR="00AA67BD">
        <w:rPr>
          <w:szCs w:val="24"/>
          <w:u w:val="single"/>
        </w:rPr>
        <w:t xml:space="preserve"> </w:t>
      </w:r>
      <w:r w:rsidR="003109CD" w:rsidRPr="003109CD">
        <w:rPr>
          <w:szCs w:val="24"/>
          <w:u w:val="single"/>
        </w:rPr>
        <w:t>25.53</w:t>
      </w:r>
      <w:r>
        <w:rPr>
          <w:caps/>
          <w:szCs w:val="24"/>
          <w:u w:val="single"/>
        </w:rPr>
        <w:t xml:space="preserve">  </w:t>
      </w:r>
    </w:p>
    <w:p w14:paraId="08D18250" w14:textId="4EAF3095" w:rsidR="00CF7776" w:rsidRPr="00717DCD" w:rsidRDefault="00CF7776" w:rsidP="00B22487">
      <w:pPr>
        <w:spacing w:after="0" w:line="480" w:lineRule="auto"/>
        <w:jc w:val="center"/>
        <w:rPr>
          <w:rFonts w:cs="Times New Roman"/>
          <w:szCs w:val="24"/>
        </w:rPr>
      </w:pPr>
    </w:p>
    <w:p w14:paraId="5FBABCA8" w14:textId="44E0D0B2" w:rsidR="003E0ACB" w:rsidRDefault="17AB17D3" w:rsidP="009F3A86">
      <w:pPr>
        <w:spacing w:line="480" w:lineRule="auto"/>
        <w:ind w:firstLine="720"/>
      </w:pPr>
      <w:bookmarkStart w:id="0" w:name="_Hlk194048434"/>
      <w:r w:rsidRPr="17AB17D3">
        <w:rPr>
          <w:rFonts w:cs="Times New Roman"/>
        </w:rPr>
        <w:t>Texas Competitive Power Advocates (“TCPA”) appreciates the opportunity to provide comments regarding the Proposal for Publication (“</w:t>
      </w:r>
      <w:proofErr w:type="spellStart"/>
      <w:r w:rsidRPr="17AB17D3">
        <w:rPr>
          <w:rFonts w:cs="Times New Roman"/>
        </w:rPr>
        <w:t>PfP</w:t>
      </w:r>
      <w:proofErr w:type="spellEnd"/>
      <w:r w:rsidRPr="17AB17D3">
        <w:rPr>
          <w:rFonts w:cs="Times New Roman"/>
        </w:rPr>
        <w:t xml:space="preserve">”) of Amendments to 16 Tex. Admin. Code (“TAC”) </w:t>
      </w:r>
      <w:r>
        <w:t xml:space="preserve">§ 25.53, relating to Electric Service Emergency Operations Plans (“EOPs”), proposed by the </w:t>
      </w:r>
      <w:r w:rsidRPr="17AB17D3">
        <w:rPr>
          <w:rFonts w:cs="Times New Roman"/>
        </w:rPr>
        <w:t>Public Utility Commission of Texas (“Commission”) on August 21, 2025.</w:t>
      </w:r>
    </w:p>
    <w:p w14:paraId="18118F03" w14:textId="786CE624" w:rsidR="003E0ACB" w:rsidRDefault="003E0ACB" w:rsidP="009F3A86">
      <w:pPr>
        <w:spacing w:line="480" w:lineRule="auto"/>
        <w:ind w:firstLine="720"/>
        <w:rPr>
          <w:bCs/>
          <w:szCs w:val="24"/>
        </w:rPr>
      </w:pPr>
      <w:r w:rsidRPr="003E0ACB">
        <w:rPr>
          <w:bCs/>
          <w:szCs w:val="24"/>
        </w:rPr>
        <w:t xml:space="preserve">TCPA represents thirteen companies in the ERCOT competitive market that are independent generation resource owners, independent power marketers, </w:t>
      </w:r>
      <w:proofErr w:type="gramStart"/>
      <w:r w:rsidRPr="003E0ACB">
        <w:rPr>
          <w:bCs/>
          <w:szCs w:val="24"/>
        </w:rPr>
        <w:t>or</w:t>
      </w:r>
      <w:proofErr w:type="gramEnd"/>
      <w:r w:rsidRPr="003E0ACB">
        <w:rPr>
          <w:bCs/>
          <w:szCs w:val="24"/>
        </w:rPr>
        <w:t xml:space="preserve"> both. The generation assets in our </w:t>
      </w:r>
      <w:proofErr w:type="gramStart"/>
      <w:r w:rsidRPr="003E0ACB">
        <w:rPr>
          <w:bCs/>
          <w:szCs w:val="24"/>
        </w:rPr>
        <w:t>companies’</w:t>
      </w:r>
      <w:proofErr w:type="gramEnd"/>
      <w:r w:rsidRPr="003E0ACB">
        <w:rPr>
          <w:bCs/>
          <w:szCs w:val="24"/>
        </w:rPr>
        <w:t xml:space="preserve"> portfolios are primarily thermal dispatchable generation comprised of natural gas, nuclear, coal, and some energy storage resources. Our members own approximately 56,000 megawatts (</w:t>
      </w:r>
      <w:r w:rsidR="006706F4">
        <w:rPr>
          <w:bCs/>
          <w:szCs w:val="24"/>
        </w:rPr>
        <w:t>“</w:t>
      </w:r>
      <w:r w:rsidRPr="003E0ACB">
        <w:rPr>
          <w:bCs/>
          <w:szCs w:val="24"/>
        </w:rPr>
        <w:t>MW</w:t>
      </w:r>
      <w:r w:rsidR="006706F4">
        <w:rPr>
          <w:bCs/>
          <w:szCs w:val="24"/>
        </w:rPr>
        <w:t>s”</w:t>
      </w:r>
      <w:r w:rsidRPr="003E0ACB">
        <w:rPr>
          <w:bCs/>
          <w:szCs w:val="24"/>
        </w:rPr>
        <w:t>) of generation capacity in ERCOT and represent approximately half of the MWs under due diligence review in the Texas Energy Fund (“TEF”). In addition, several TCPA member companies are also building new thermal generation resources in ERCOT through conventional market financing, outside of the TEF.</w:t>
      </w:r>
    </w:p>
    <w:p w14:paraId="79CB8D87" w14:textId="2A8573D8" w:rsidR="00683B39" w:rsidRDefault="17AB17D3">
      <w:pPr>
        <w:spacing w:line="480" w:lineRule="auto"/>
        <w:ind w:firstLine="720"/>
      </w:pPr>
      <w:r>
        <w:t xml:space="preserve">On May 28, 2025, TCPA provided comments in response to a request from Commission Staff for feedback on recommendations that informed </w:t>
      </w:r>
      <w:proofErr w:type="gramStart"/>
      <w:r>
        <w:t>the</w:t>
      </w:r>
      <w:proofErr w:type="gramEnd"/>
      <w:r>
        <w:t xml:space="preserve"> current rulemaking.</w:t>
      </w:r>
      <w:r w:rsidR="00B552A4" w:rsidRPr="17AB17D3">
        <w:rPr>
          <w:rStyle w:val="FootnoteReference"/>
        </w:rPr>
        <w:footnoteReference w:id="2"/>
      </w:r>
      <w:r>
        <w:t xml:space="preserve"> TCPA is pleased to see that the proposed rule incorporates some of our initial </w:t>
      </w:r>
      <w:r w:rsidR="000E59D5">
        <w:t>comments but</w:t>
      </w:r>
      <w:r>
        <w:t xml:space="preserve"> remains concerned by </w:t>
      </w:r>
      <w:r>
        <w:lastRenderedPageBreak/>
        <w:t xml:space="preserve">some of the new requirements included in the </w:t>
      </w:r>
      <w:proofErr w:type="spellStart"/>
      <w:r>
        <w:t>PfP</w:t>
      </w:r>
      <w:proofErr w:type="spellEnd"/>
      <w:r>
        <w:t xml:space="preserve">. Particularly, TCPA draws attention to </w:t>
      </w:r>
      <w:r w:rsidR="0E7CA39F">
        <w:t>four</w:t>
      </w:r>
      <w:r>
        <w:t xml:space="preserve"> proposed requirements that it feels would be overly burdensome for entities to comply with while providing no additional assurances to the Commission and Commission staff – (1) the comprehensive list of affiliated assets and facilities for </w:t>
      </w:r>
      <w:r w:rsidR="00FE7D58">
        <w:t>power generation companies (“</w:t>
      </w:r>
      <w:r>
        <w:t>PGCs</w:t>
      </w:r>
      <w:r w:rsidR="00FE7D58">
        <w:t>”)</w:t>
      </w:r>
      <w:r>
        <w:t xml:space="preserve"> that are included in the EOP including changes in facilities from the previous year (unless limited in scope as proposed below), (2) the requirement that entities file a “full and comprehensive version” of each annex, (3) the proposal to require the entire unredacted EOP to be provided to Staff, on request, via electronic encryption (instead of at a location designated by Staff), and (</w:t>
      </w:r>
      <w:r w:rsidR="0E7CA39F">
        <w:t>4</w:t>
      </w:r>
      <w:r>
        <w:t xml:space="preserve">) the requirement that PGCs include a flood annex for each generation resource without regard to the actual flood risk of each resource. </w:t>
      </w:r>
    </w:p>
    <w:p w14:paraId="2D4B30A2" w14:textId="480EAFF4" w:rsidR="00683B39" w:rsidRDefault="17AB17D3" w:rsidP="17AB17D3">
      <w:pPr>
        <w:spacing w:line="480" w:lineRule="auto"/>
        <w:ind w:firstLine="720"/>
      </w:pPr>
      <w:r>
        <w:t>Underpinning some of TCPA’s comments below is an overarching concern about the need to protect the security sensitive, critical infrastructure information included in EOPs. TCPA feels that information is better housed by ERCOT (which is not subject to the Texas Public Information Act</w:t>
      </w:r>
      <w:r w:rsidR="00B552A4" w:rsidRPr="17AB17D3">
        <w:rPr>
          <w:rStyle w:val="FootnoteReference"/>
        </w:rPr>
        <w:footnoteReference w:id="3"/>
      </w:r>
      <w:r>
        <w:t>) and by individual market participants, with ability for Commission staff to review that information, on request, at a location designated by Staff (as is the status quo under the existing rule).</w:t>
      </w:r>
    </w:p>
    <w:p w14:paraId="25D4A871" w14:textId="051307F9" w:rsidR="17AB17D3" w:rsidRDefault="17AB17D3" w:rsidP="00207847">
      <w:pPr>
        <w:spacing w:line="480" w:lineRule="auto"/>
        <w:jc w:val="center"/>
        <w:rPr>
          <w:rFonts w:eastAsia="Times New Roman" w:cs="Times New Roman"/>
          <w:b/>
          <w:bCs/>
          <w:caps/>
          <w:szCs w:val="24"/>
          <w:u w:val="single"/>
        </w:rPr>
      </w:pPr>
      <w:r w:rsidRPr="00207847">
        <w:rPr>
          <w:rFonts w:eastAsia="Times New Roman" w:cs="Times New Roman"/>
          <w:b/>
          <w:bCs/>
          <w:caps/>
          <w:szCs w:val="24"/>
          <w:u w:val="single"/>
        </w:rPr>
        <w:t>Comprehensive LIST OF ASSETs and Facilities</w:t>
      </w:r>
    </w:p>
    <w:p w14:paraId="72101226" w14:textId="62144680" w:rsidR="17AB17D3" w:rsidRPr="00517757" w:rsidRDefault="17AB17D3" w:rsidP="00603A35">
      <w:pPr>
        <w:widowControl w:val="0"/>
        <w:spacing w:after="0" w:line="480" w:lineRule="auto"/>
        <w:ind w:firstLine="720"/>
      </w:pPr>
      <w:r w:rsidRPr="0E7CA39F">
        <w:rPr>
          <w:rFonts w:eastAsia="Times New Roman" w:cs="Times New Roman"/>
        </w:rPr>
        <w:t>As proposed, 16 TAC § 25.53 (c)(1)(A)(</w:t>
      </w:r>
      <w:proofErr w:type="spellStart"/>
      <w:r w:rsidRPr="0E7CA39F">
        <w:rPr>
          <w:rFonts w:eastAsia="Times New Roman" w:cs="Times New Roman"/>
        </w:rPr>
        <w:t>i</w:t>
      </w:r>
      <w:proofErr w:type="spellEnd"/>
      <w:r w:rsidRPr="0E7CA39F">
        <w:rPr>
          <w:rFonts w:eastAsia="Times New Roman" w:cs="Times New Roman"/>
        </w:rPr>
        <w:t>)(III) &amp; (c)(3)(A)(</w:t>
      </w:r>
      <w:proofErr w:type="spellStart"/>
      <w:r w:rsidRPr="0E7CA39F">
        <w:rPr>
          <w:rFonts w:eastAsia="Times New Roman" w:cs="Times New Roman"/>
        </w:rPr>
        <w:t>i</w:t>
      </w:r>
      <w:proofErr w:type="spellEnd"/>
      <w:r w:rsidRPr="0E7CA39F">
        <w:rPr>
          <w:rFonts w:eastAsia="Times New Roman" w:cs="Times New Roman"/>
        </w:rPr>
        <w:t>)(III) would require entities to file a “comprehensive list of affiliated assets and facilities for PGCs that are included in the EOP including changes in facilities from the previous year such as sale of assets, relinquishments, and</w:t>
      </w:r>
      <w:r w:rsidR="00603A35" w:rsidRPr="0E7CA39F">
        <w:rPr>
          <w:rFonts w:eastAsia="Times New Roman" w:cs="Times New Roman"/>
        </w:rPr>
        <w:t xml:space="preserve"> </w:t>
      </w:r>
      <w:r w:rsidRPr="0E7CA39F">
        <w:rPr>
          <w:rFonts w:eastAsia="Times New Roman" w:cs="Times New Roman"/>
        </w:rPr>
        <w:t>n</w:t>
      </w:r>
      <w:r w:rsidRPr="00517757">
        <w:t xml:space="preserve">ame changes”.  The proposed executive summary template appears to have a more limited scope </w:t>
      </w:r>
      <w:r w:rsidRPr="00517757">
        <w:lastRenderedPageBreak/>
        <w:t>and seems to request only the names of facilities (rather than assets).</w:t>
      </w:r>
      <w:r w:rsidRPr="00FE7D58">
        <w:rPr>
          <w:vertAlign w:val="superscript"/>
        </w:rPr>
        <w:footnoteReference w:id="4"/>
      </w:r>
    </w:p>
    <w:p w14:paraId="7141306C" w14:textId="05158CFE" w:rsidR="17AB17D3" w:rsidRDefault="17AB17D3" w:rsidP="17AB17D3">
      <w:pPr>
        <w:spacing w:line="480" w:lineRule="auto"/>
        <w:ind w:firstLine="720"/>
        <w:rPr>
          <w:rFonts w:eastAsia="Times New Roman" w:cs="Times New Roman"/>
          <w:szCs w:val="24"/>
        </w:rPr>
      </w:pPr>
      <w:r w:rsidRPr="17AB17D3">
        <w:rPr>
          <w:rFonts w:eastAsia="Times New Roman" w:cs="Times New Roman"/>
          <w:szCs w:val="24"/>
        </w:rPr>
        <w:t xml:space="preserve">To the extent that the proposed rule would require a comprehensive list of all </w:t>
      </w:r>
      <w:r w:rsidRPr="17AB17D3">
        <w:rPr>
          <w:rFonts w:eastAsia="Times New Roman" w:cs="Times New Roman"/>
          <w:b/>
          <w:bCs/>
          <w:i/>
          <w:iCs/>
          <w:szCs w:val="24"/>
        </w:rPr>
        <w:t xml:space="preserve">assets </w:t>
      </w:r>
      <w:r w:rsidRPr="17AB17D3">
        <w:rPr>
          <w:rFonts w:eastAsia="Times New Roman" w:cs="Times New Roman"/>
          <w:szCs w:val="24"/>
        </w:rPr>
        <w:t>of the PGC and its affiliates (and not just generation facilities), TCPA is concerned about the detailed level of information being requested in this proposal, particularly regarding PGCs’ critical assets. This requirement is needlessly cumbersome for PGCs to comply with, and it is unclear what benefit the Commission would gain from such a detailed filing. Further, requiring disclosure of all critical assets raises confidentiality and security concerns for PGCs, as all information that the Commission holds is potentially subject to requests for public disclosure under the Texas Public Information Act (and the associated process for seeking a ruling that the information is not subject to disclosure).</w:t>
      </w:r>
    </w:p>
    <w:p w14:paraId="6081E1CB" w14:textId="1B3AA072" w:rsidR="17AB17D3" w:rsidRDefault="17AB17D3" w:rsidP="17AB17D3">
      <w:pPr>
        <w:spacing w:line="480" w:lineRule="auto"/>
        <w:ind w:firstLine="720"/>
        <w:rPr>
          <w:rFonts w:eastAsia="Times New Roman" w:cs="Times New Roman"/>
          <w:szCs w:val="24"/>
        </w:rPr>
      </w:pPr>
      <w:r w:rsidRPr="17AB17D3">
        <w:rPr>
          <w:rFonts w:eastAsia="Times New Roman" w:cs="Times New Roman"/>
          <w:szCs w:val="24"/>
        </w:rPr>
        <w:t xml:space="preserve">Instead, TCPA recommends that the list of assets be limited to listing generating units or facilities, </w:t>
      </w:r>
      <w:proofErr w:type="gramStart"/>
      <w:r w:rsidRPr="17AB17D3">
        <w:rPr>
          <w:rFonts w:eastAsia="Times New Roman" w:cs="Times New Roman"/>
          <w:szCs w:val="24"/>
        </w:rPr>
        <w:t>similar to</w:t>
      </w:r>
      <w:proofErr w:type="gramEnd"/>
      <w:r w:rsidRPr="17AB17D3">
        <w:rPr>
          <w:rFonts w:eastAsia="Times New Roman" w:cs="Times New Roman"/>
          <w:szCs w:val="24"/>
        </w:rPr>
        <w:t xml:space="preserve"> the PGC generating capacity report under 16 TAC § 25.91. As noted, that appears to be the intent of this language based on the proposed executive summary template, but the rule language should be clarified to strike the term “assets” and refer to the generating facilities included in the generating capacity report under 16 TAC § 25.91. </w:t>
      </w:r>
    </w:p>
    <w:p w14:paraId="0803A118" w14:textId="379FD5CF" w:rsidR="17AB17D3" w:rsidRDefault="17AB17D3" w:rsidP="17AB17D3">
      <w:pPr>
        <w:spacing w:line="480" w:lineRule="auto"/>
        <w:ind w:firstLine="720"/>
        <w:rPr>
          <w:rStyle w:val="FootnoteReference"/>
          <w:rFonts w:eastAsia="Times New Roman" w:cs="Times New Roman"/>
          <w:szCs w:val="24"/>
        </w:rPr>
      </w:pPr>
      <w:r w:rsidRPr="17AB17D3">
        <w:rPr>
          <w:rFonts w:eastAsia="Times New Roman" w:cs="Times New Roman"/>
          <w:szCs w:val="24"/>
        </w:rPr>
        <w:t>Proposed changes to 25.53(c)((c)(1)(A)(</w:t>
      </w:r>
      <w:proofErr w:type="spellStart"/>
      <w:r w:rsidRPr="17AB17D3">
        <w:rPr>
          <w:rFonts w:eastAsia="Times New Roman" w:cs="Times New Roman"/>
          <w:szCs w:val="24"/>
        </w:rPr>
        <w:t>i</w:t>
      </w:r>
      <w:proofErr w:type="spellEnd"/>
      <w:r w:rsidRPr="17AB17D3">
        <w:rPr>
          <w:rFonts w:eastAsia="Times New Roman" w:cs="Times New Roman"/>
          <w:szCs w:val="24"/>
        </w:rPr>
        <w:t>)(III) &amp; (c)(3)(A)(</w:t>
      </w:r>
      <w:proofErr w:type="spellStart"/>
      <w:r w:rsidRPr="17AB17D3">
        <w:rPr>
          <w:rFonts w:eastAsia="Times New Roman" w:cs="Times New Roman"/>
          <w:szCs w:val="24"/>
        </w:rPr>
        <w:t>i</w:t>
      </w:r>
      <w:proofErr w:type="spellEnd"/>
      <w:r w:rsidRPr="17AB17D3">
        <w:rPr>
          <w:rFonts w:eastAsia="Times New Roman" w:cs="Times New Roman"/>
          <w:szCs w:val="24"/>
        </w:rPr>
        <w:t>)(III):</w:t>
      </w:r>
    </w:p>
    <w:p w14:paraId="1946B0FA" w14:textId="1A29AA58" w:rsidR="17AB17D3" w:rsidRDefault="17AB17D3" w:rsidP="00E00D67">
      <w:pPr>
        <w:spacing w:line="240" w:lineRule="auto"/>
        <w:ind w:left="720"/>
        <w:rPr>
          <w:rFonts w:eastAsia="Times New Roman" w:cs="Times New Roman"/>
          <w:szCs w:val="24"/>
        </w:rPr>
      </w:pPr>
      <w:r w:rsidRPr="17AB17D3">
        <w:rPr>
          <w:rFonts w:eastAsia="Times New Roman" w:cs="Times New Roman"/>
          <w:szCs w:val="24"/>
        </w:rPr>
        <w:t>(III) includes a comprehensive list of affiliated</w:t>
      </w:r>
      <w:r w:rsidRPr="00E00D67">
        <w:rPr>
          <w:rFonts w:eastAsia="Times New Roman" w:cs="Times New Roman"/>
          <w:color w:val="FF0000"/>
          <w:szCs w:val="24"/>
        </w:rPr>
        <w:t xml:space="preserve"> </w:t>
      </w:r>
      <w:r w:rsidRPr="00E00D67">
        <w:rPr>
          <w:rFonts w:eastAsia="Times New Roman" w:cs="Times New Roman"/>
          <w:strike/>
          <w:color w:val="FF0000"/>
          <w:szCs w:val="24"/>
        </w:rPr>
        <w:t xml:space="preserve">assets and </w:t>
      </w:r>
      <w:r w:rsidRPr="00E00D67">
        <w:rPr>
          <w:rFonts w:eastAsia="Times New Roman" w:cs="Times New Roman"/>
          <w:color w:val="FF0000"/>
          <w:szCs w:val="24"/>
          <w:u w:val="single"/>
        </w:rPr>
        <w:t xml:space="preserve">generating </w:t>
      </w:r>
      <w:r w:rsidRPr="17AB17D3">
        <w:rPr>
          <w:rFonts w:eastAsia="Times New Roman" w:cs="Times New Roman"/>
          <w:szCs w:val="24"/>
        </w:rPr>
        <w:t xml:space="preserve">facilities for PGCs that are included in </w:t>
      </w:r>
      <w:r w:rsidRPr="00E00D67">
        <w:rPr>
          <w:rFonts w:eastAsia="Times New Roman" w:cs="Times New Roman"/>
          <w:color w:val="FF0000"/>
          <w:szCs w:val="24"/>
          <w:u w:val="single"/>
        </w:rPr>
        <w:t xml:space="preserve">annual generating capacity reports under </w:t>
      </w:r>
      <w:r w:rsidRPr="00E00D67">
        <w:rPr>
          <w:color w:val="FF0000"/>
          <w:u w:val="single"/>
        </w:rPr>
        <w:t xml:space="preserve">§ </w:t>
      </w:r>
      <w:r w:rsidRPr="00E00D67">
        <w:rPr>
          <w:rFonts w:eastAsia="Times New Roman" w:cs="Times New Roman"/>
          <w:color w:val="FF0000"/>
          <w:szCs w:val="24"/>
          <w:u w:val="single"/>
        </w:rPr>
        <w:t xml:space="preserve">25.91 </w:t>
      </w:r>
      <w:r w:rsidRPr="17AB17D3">
        <w:rPr>
          <w:rFonts w:eastAsia="Times New Roman" w:cs="Times New Roman"/>
          <w:color w:val="FF0000"/>
          <w:szCs w:val="24"/>
          <w:u w:val="single"/>
        </w:rPr>
        <w:t xml:space="preserve">of this title </w:t>
      </w:r>
      <w:r w:rsidRPr="00E00D67">
        <w:rPr>
          <w:rFonts w:eastAsia="Times New Roman" w:cs="Times New Roman"/>
          <w:color w:val="FF0000"/>
          <w:szCs w:val="24"/>
          <w:u w:val="single"/>
        </w:rPr>
        <w:t xml:space="preserve">and are covered by </w:t>
      </w:r>
      <w:r w:rsidRPr="17AB17D3">
        <w:rPr>
          <w:rFonts w:eastAsia="Times New Roman" w:cs="Times New Roman"/>
          <w:szCs w:val="24"/>
        </w:rPr>
        <w:t xml:space="preserve">the EOP including changes in facilities from the previous year such as sale of </w:t>
      </w:r>
      <w:r w:rsidRPr="00E00D67">
        <w:rPr>
          <w:rFonts w:eastAsia="Times New Roman" w:cs="Times New Roman"/>
          <w:color w:val="FF0000"/>
          <w:szCs w:val="24"/>
          <w:u w:val="single"/>
        </w:rPr>
        <w:t>generating facilities</w:t>
      </w:r>
      <w:r w:rsidRPr="17AB17D3">
        <w:rPr>
          <w:rFonts w:eastAsia="Times New Roman" w:cs="Times New Roman"/>
          <w:color w:val="FF0000"/>
          <w:szCs w:val="24"/>
          <w:u w:val="single"/>
        </w:rPr>
        <w:t xml:space="preserve"> </w:t>
      </w:r>
      <w:r w:rsidRPr="00E00D67">
        <w:rPr>
          <w:rFonts w:eastAsia="Times New Roman" w:cs="Times New Roman"/>
          <w:strike/>
          <w:color w:val="FF0000"/>
          <w:szCs w:val="24"/>
        </w:rPr>
        <w:t>assets</w:t>
      </w:r>
      <w:r w:rsidRPr="17AB17D3">
        <w:rPr>
          <w:rFonts w:eastAsia="Times New Roman" w:cs="Times New Roman"/>
          <w:szCs w:val="24"/>
        </w:rPr>
        <w:t xml:space="preserve">, relinquishments, and name changes </w:t>
      </w:r>
    </w:p>
    <w:p w14:paraId="0F2CF321" w14:textId="77777777" w:rsidR="00517757" w:rsidRDefault="00517757" w:rsidP="00E00D67">
      <w:pPr>
        <w:spacing w:line="240" w:lineRule="auto"/>
        <w:ind w:left="720"/>
        <w:rPr>
          <w:rFonts w:eastAsia="Times New Roman" w:cs="Times New Roman"/>
          <w:szCs w:val="24"/>
        </w:rPr>
      </w:pPr>
    </w:p>
    <w:p w14:paraId="742AB4BF" w14:textId="77777777" w:rsidR="00517757" w:rsidRDefault="00517757" w:rsidP="00E00D67">
      <w:pPr>
        <w:spacing w:line="240" w:lineRule="auto"/>
        <w:ind w:left="720"/>
        <w:rPr>
          <w:rFonts w:eastAsia="Times New Roman" w:cs="Times New Roman"/>
          <w:szCs w:val="24"/>
        </w:rPr>
      </w:pPr>
    </w:p>
    <w:p w14:paraId="460B351A" w14:textId="77777777" w:rsidR="00E00D67" w:rsidRDefault="00E00D67" w:rsidP="00E00D67">
      <w:pPr>
        <w:spacing w:line="240" w:lineRule="auto"/>
        <w:ind w:left="720"/>
        <w:rPr>
          <w:rFonts w:eastAsia="Times New Roman" w:cs="Times New Roman"/>
          <w:szCs w:val="24"/>
        </w:rPr>
      </w:pPr>
    </w:p>
    <w:p w14:paraId="27191CCF" w14:textId="4F604174" w:rsidR="00C50B95" w:rsidRDefault="00D90536" w:rsidP="00C50B95">
      <w:pPr>
        <w:spacing w:line="480" w:lineRule="auto"/>
        <w:jc w:val="center"/>
        <w:rPr>
          <w:b/>
          <w:szCs w:val="24"/>
          <w:u w:val="single"/>
        </w:rPr>
      </w:pPr>
      <w:r w:rsidRPr="00BA5D98">
        <w:rPr>
          <w:b/>
          <w:szCs w:val="24"/>
          <w:u w:val="single"/>
        </w:rPr>
        <w:lastRenderedPageBreak/>
        <w:t xml:space="preserve">FULL AND COMPREHENSIVE </w:t>
      </w:r>
      <w:r w:rsidR="00C50B95" w:rsidRPr="00BA5D98">
        <w:rPr>
          <w:b/>
          <w:szCs w:val="24"/>
          <w:u w:val="single"/>
        </w:rPr>
        <w:t>LIST OF ANNEXES</w:t>
      </w:r>
    </w:p>
    <w:p w14:paraId="43F30B8B" w14:textId="7C271F3D" w:rsidR="006E08A1" w:rsidRDefault="0033753B" w:rsidP="001F3054">
      <w:pPr>
        <w:spacing w:line="480" w:lineRule="auto"/>
        <w:ind w:firstLine="720"/>
        <w:rPr>
          <w:bCs/>
          <w:szCs w:val="24"/>
        </w:rPr>
      </w:pPr>
      <w:r>
        <w:rPr>
          <w:bCs/>
          <w:szCs w:val="24"/>
        </w:rPr>
        <w:t xml:space="preserve">The proposed language in 16 TAC </w:t>
      </w:r>
      <w:r w:rsidRPr="00D105B1">
        <w:rPr>
          <w:bCs/>
          <w:szCs w:val="24"/>
        </w:rPr>
        <w:t>§</w:t>
      </w:r>
      <w:r>
        <w:rPr>
          <w:bCs/>
          <w:szCs w:val="24"/>
        </w:rPr>
        <w:t xml:space="preserve"> </w:t>
      </w:r>
      <w:r>
        <w:rPr>
          <w:bCs/>
          <w:caps/>
          <w:szCs w:val="24"/>
        </w:rPr>
        <w:t>25.53</w:t>
      </w:r>
      <w:r w:rsidR="006E08A1">
        <w:rPr>
          <w:bCs/>
          <w:szCs w:val="24"/>
        </w:rPr>
        <w:t xml:space="preserve">(d)(6) </w:t>
      </w:r>
      <w:r>
        <w:rPr>
          <w:bCs/>
          <w:szCs w:val="24"/>
        </w:rPr>
        <w:t>would require</w:t>
      </w:r>
      <w:r w:rsidR="00BA5D98">
        <w:rPr>
          <w:bCs/>
          <w:szCs w:val="24"/>
        </w:rPr>
        <w:t xml:space="preserve"> the filing of</w:t>
      </w:r>
      <w:r w:rsidR="006E08A1">
        <w:rPr>
          <w:bCs/>
          <w:szCs w:val="24"/>
        </w:rPr>
        <w:t xml:space="preserve"> “Each relevant annex </w:t>
      </w:r>
      <w:r w:rsidR="006E08A1">
        <w:rPr>
          <w:bCs/>
          <w:szCs w:val="24"/>
          <w:u w:val="single"/>
        </w:rPr>
        <w:t xml:space="preserve">presented in its full and comprehensive version, </w:t>
      </w:r>
      <w:r w:rsidR="006E08A1">
        <w:rPr>
          <w:bCs/>
          <w:szCs w:val="24"/>
        </w:rPr>
        <w:t>as detailed in subsection (e) of this section and other annexes applicable to an entity.”</w:t>
      </w:r>
    </w:p>
    <w:p w14:paraId="3E23231F" w14:textId="0AA2988A" w:rsidR="0033753B" w:rsidRDefault="46192914">
      <w:pPr>
        <w:spacing w:line="480" w:lineRule="auto"/>
        <w:ind w:firstLine="720"/>
        <w:rPr>
          <w:rFonts w:cs="Times New Roman"/>
        </w:rPr>
      </w:pPr>
      <w:r w:rsidRPr="46192914">
        <w:rPr>
          <w:rFonts w:cs="Times New Roman"/>
        </w:rPr>
        <w:t xml:space="preserve">TCPA is concerned about this proposal because requiring the “full and comprehensive version” of each annex could add thousands of pages to an entity’s EOP filing and would include numerous pages of sensitive security and confidential information that PGCs likely would need to remove (or redact entirely) from the filing anyway, under </w:t>
      </w:r>
      <w:r>
        <w:t>§ 25.53(c)(1)(A)(ii) and (c)(3)(A)(ii) (which rightfully remain unchanged in the proposed rule)</w:t>
      </w:r>
      <w:r w:rsidRPr="46192914">
        <w:rPr>
          <w:rFonts w:cs="Times New Roman"/>
        </w:rPr>
        <w:t>. While cumbersome for filing entities, it appears unnecessary given that Commission Staff can already view these annexes in their entirety upon request.</w:t>
      </w:r>
    </w:p>
    <w:p w14:paraId="7E03959D" w14:textId="12818CEA" w:rsidR="006A2616" w:rsidRDefault="0E7CA39F" w:rsidP="001F3054">
      <w:pPr>
        <w:spacing w:line="480" w:lineRule="auto"/>
        <w:ind w:firstLine="720"/>
      </w:pPr>
      <w:r w:rsidRPr="0E7CA39F">
        <w:rPr>
          <w:rFonts w:cs="Times New Roman"/>
        </w:rPr>
        <w:t xml:space="preserve">Entities should only be required to provide the amount of information necessary for the Commission to be able to have assurance that emergencies will be handled appropriately. Additionally, voluminous filings could increase the administrative burden on Commission Staff. Therefore, TCPA suggests leaving </w:t>
      </w:r>
      <w:r>
        <w:t xml:space="preserve">16 TAC § </w:t>
      </w:r>
      <w:r w:rsidRPr="0E7CA39F">
        <w:rPr>
          <w:caps/>
        </w:rPr>
        <w:t>25.53</w:t>
      </w:r>
      <w:r>
        <w:t>(d)(6) as its present state and not including the underlined language above in the final rule.</w:t>
      </w:r>
    </w:p>
    <w:p w14:paraId="5AC989EB" w14:textId="0E936D99" w:rsidR="0E7CA39F" w:rsidRDefault="0E7CA39F" w:rsidP="00FE7D58">
      <w:pPr>
        <w:spacing w:line="480" w:lineRule="auto"/>
        <w:jc w:val="center"/>
        <w:rPr>
          <w:b/>
          <w:bCs/>
          <w:caps/>
          <w:u w:val="single"/>
        </w:rPr>
      </w:pPr>
      <w:r w:rsidRPr="0E7CA39F">
        <w:rPr>
          <w:b/>
          <w:bCs/>
          <w:caps/>
          <w:u w:val="single"/>
        </w:rPr>
        <w:t>Review of full unredacted eop</w:t>
      </w:r>
    </w:p>
    <w:p w14:paraId="628C6B2E" w14:textId="203D8607" w:rsidR="0E7CA39F" w:rsidRDefault="46192914" w:rsidP="00FE7D58">
      <w:pPr>
        <w:spacing w:line="480" w:lineRule="auto"/>
        <w:ind w:firstLine="720"/>
        <w:rPr>
          <w:rStyle w:val="FootnoteReference"/>
          <w:rFonts w:cs="Times New Roman"/>
          <w:vertAlign w:val="baseline"/>
        </w:rPr>
      </w:pPr>
      <w:r w:rsidRPr="46192914">
        <w:rPr>
          <w:rFonts w:cs="Times New Roman"/>
        </w:rPr>
        <w:t xml:space="preserve">TCPA is also concerned by the Staff’s proposal to require the full unredacted EOP to be provided to Staff via electronic encryption, rather than at a physical location designated by Staff. The rationale for the rule’s not requiring market participants to file the full unredacted EOP with the Commission (even under seal) is that EOPs contain sensitive security information, and providing the full EOP to the Commission would potentially make it subject to requests for </w:t>
      </w:r>
      <w:r w:rsidRPr="46192914">
        <w:rPr>
          <w:rFonts w:cs="Times New Roman"/>
        </w:rPr>
        <w:lastRenderedPageBreak/>
        <w:t>disclosure under the Texas Public Information Act.</w:t>
      </w:r>
      <w:r w:rsidR="0E7CA39F" w:rsidRPr="0E7CA39F">
        <w:rPr>
          <w:rStyle w:val="FootnoteReference"/>
          <w:rFonts w:cs="Times New Roman"/>
        </w:rPr>
        <w:footnoteReference w:id="5"/>
      </w:r>
      <w:r w:rsidRPr="46192914">
        <w:rPr>
          <w:rStyle w:val="FootnoteReference"/>
          <w:rFonts w:cs="Times New Roman"/>
        </w:rPr>
        <w:t xml:space="preserve"> </w:t>
      </w:r>
      <w:r w:rsidRPr="46192914">
        <w:rPr>
          <w:rStyle w:val="FootnoteReference"/>
          <w:rFonts w:cs="Times New Roman"/>
          <w:vertAlign w:val="baseline"/>
        </w:rPr>
        <w:t>A requirement to provide the full unredacted EOP to the Commission Staff for review, even if encrypted, would raise the same concerns. Therefore, TCPA recommends that the rule language (in proposed subsection (c)(3)(E)) either remain unchanged or be revised to allow market entities to opt to provide the full EOP to the Staff via an encrypted electronic method but otherwise to provide for the review to occur at a physical offsite location designated by Staff.</w:t>
      </w:r>
    </w:p>
    <w:p w14:paraId="6ABFE9AC" w14:textId="76EA3A03" w:rsidR="0E7CA39F" w:rsidRDefault="0E7CA39F" w:rsidP="0E7CA39F">
      <w:pPr>
        <w:spacing w:line="480" w:lineRule="auto"/>
        <w:ind w:firstLine="720"/>
      </w:pPr>
      <w:r w:rsidRPr="0E7CA39F">
        <w:rPr>
          <w:rStyle w:val="FootnoteReference"/>
          <w:rFonts w:cs="Times New Roman"/>
          <w:vertAlign w:val="baseline"/>
        </w:rPr>
        <w:t xml:space="preserve">Proposed alternative language for 16 TAC </w:t>
      </w:r>
      <w:r>
        <w:t>§ 25.53(c)(3)(E):</w:t>
      </w:r>
    </w:p>
    <w:p w14:paraId="7BA42FBB" w14:textId="62EFCFA6" w:rsidR="0E7CA39F" w:rsidRPr="00FE7D58" w:rsidRDefault="0E7CA39F" w:rsidP="00FE7D58">
      <w:pPr>
        <w:spacing w:line="240" w:lineRule="auto"/>
        <w:ind w:left="720"/>
        <w:rPr>
          <w:rFonts w:eastAsia="Times New Roman" w:cs="Times New Roman"/>
        </w:rPr>
      </w:pPr>
      <w:r w:rsidRPr="0E7CA39F">
        <w:rPr>
          <w:rStyle w:val="FootnoteReference"/>
          <w:rFonts w:cs="Times New Roman"/>
          <w:vertAlign w:val="baseline"/>
        </w:rPr>
        <w:t xml:space="preserve">(E) An entity must make a revised unredacted EOP available in its entirety to commission staff on request </w:t>
      </w:r>
      <w:r w:rsidRPr="00FE7D58">
        <w:rPr>
          <w:rStyle w:val="FootnoteReference"/>
          <w:rFonts w:cs="Times New Roman"/>
          <w:strike/>
          <w:color w:val="FF0000"/>
          <w:u w:val="single"/>
          <w:vertAlign w:val="baseline"/>
        </w:rPr>
        <w:t xml:space="preserve">through an encrypted </w:t>
      </w:r>
      <w:r w:rsidRPr="00FE7D58">
        <w:rPr>
          <w:rFonts w:eastAsia="Times New Roman"/>
          <w:strike/>
          <w:color w:val="FF0000"/>
          <w:u w:val="single"/>
        </w:rPr>
        <w:t>electronic</w:t>
      </w:r>
      <w:r w:rsidRPr="00FE7D58">
        <w:rPr>
          <w:rStyle w:val="FootnoteReference"/>
          <w:rFonts w:cs="Times New Roman"/>
          <w:strike/>
          <w:color w:val="FF0000"/>
          <w:u w:val="single"/>
          <w:vertAlign w:val="baseline"/>
        </w:rPr>
        <w:t xml:space="preserve"> method</w:t>
      </w:r>
      <w:r w:rsidRPr="0E7CA39F">
        <w:rPr>
          <w:rStyle w:val="FootnoteReference"/>
          <w:rFonts w:cs="Times New Roman"/>
          <w:vertAlign w:val="baseline"/>
        </w:rPr>
        <w:t xml:space="preserve"> </w:t>
      </w:r>
      <w:r w:rsidRPr="00FE7D58">
        <w:rPr>
          <w:rStyle w:val="FootnoteReference"/>
          <w:rFonts w:cs="Times New Roman"/>
          <w:strike/>
          <w:vertAlign w:val="baseline"/>
        </w:rPr>
        <w:t xml:space="preserve">at a location </w:t>
      </w:r>
      <w:r w:rsidRPr="0E7CA39F">
        <w:rPr>
          <w:rStyle w:val="FootnoteReference"/>
          <w:rFonts w:cs="Times New Roman"/>
          <w:strike/>
          <w:vertAlign w:val="baseline"/>
        </w:rPr>
        <w:t xml:space="preserve"> </w:t>
      </w:r>
      <w:r w:rsidRPr="0E7CA39F">
        <w:rPr>
          <w:rStyle w:val="FootnoteReference"/>
          <w:rFonts w:cs="Times New Roman"/>
          <w:color w:val="FF0000"/>
          <w:u w:val="single"/>
          <w:vertAlign w:val="baseline"/>
        </w:rPr>
        <w:t xml:space="preserve">at a location </w:t>
      </w:r>
      <w:r w:rsidRPr="0E7CA39F">
        <w:rPr>
          <w:rStyle w:val="FootnoteReference"/>
          <w:rFonts w:cs="Times New Roman"/>
          <w:vertAlign w:val="baseline"/>
        </w:rPr>
        <w:t>designated by commission staff</w:t>
      </w:r>
      <w:r w:rsidRPr="00FE7D58">
        <w:rPr>
          <w:rStyle w:val="FootnoteReference"/>
          <w:rFonts w:cs="Times New Roman"/>
          <w:color w:val="FF0000"/>
          <w:u w:val="single"/>
          <w:vertAlign w:val="baseline"/>
        </w:rPr>
        <w:t>, or at the option of the entity, through an encrypted electronic method</w:t>
      </w:r>
      <w:r w:rsidRPr="00FE7D58">
        <w:rPr>
          <w:rStyle w:val="FootnoteReference"/>
          <w:rFonts w:cs="Times New Roman"/>
          <w:color w:val="FF0000"/>
          <w:vertAlign w:val="baseline"/>
        </w:rPr>
        <w:t>.</w:t>
      </w:r>
    </w:p>
    <w:p w14:paraId="5904B973" w14:textId="43AA4DFE" w:rsidR="007B11F7" w:rsidRDefault="007B11F7" w:rsidP="00E402C4">
      <w:pPr>
        <w:spacing w:line="480" w:lineRule="auto"/>
        <w:jc w:val="center"/>
        <w:rPr>
          <w:b/>
          <w:caps/>
          <w:szCs w:val="24"/>
          <w:u w:val="single"/>
        </w:rPr>
      </w:pPr>
      <w:r w:rsidRPr="006218E2">
        <w:rPr>
          <w:b/>
          <w:caps/>
          <w:szCs w:val="24"/>
          <w:u w:val="single"/>
        </w:rPr>
        <w:t xml:space="preserve">Flood </w:t>
      </w:r>
      <w:bookmarkEnd w:id="0"/>
      <w:r w:rsidR="00FD77C8" w:rsidRPr="006218E2">
        <w:rPr>
          <w:b/>
          <w:caps/>
          <w:szCs w:val="24"/>
          <w:u w:val="single"/>
        </w:rPr>
        <w:t>ANNEX</w:t>
      </w:r>
    </w:p>
    <w:p w14:paraId="14D09047" w14:textId="0DEBED2D" w:rsidR="00FD77C8" w:rsidRDefault="00FD77C8" w:rsidP="001F3054">
      <w:pPr>
        <w:spacing w:line="480" w:lineRule="auto"/>
        <w:ind w:firstLine="720"/>
        <w:rPr>
          <w:bCs/>
          <w:szCs w:val="24"/>
        </w:rPr>
      </w:pPr>
      <w:r>
        <w:rPr>
          <w:bCs/>
          <w:szCs w:val="24"/>
        </w:rPr>
        <w:t xml:space="preserve">As proposed, 16 TAC </w:t>
      </w:r>
      <w:r w:rsidRPr="00D105B1">
        <w:rPr>
          <w:bCs/>
          <w:szCs w:val="24"/>
        </w:rPr>
        <w:t>§</w:t>
      </w:r>
      <w:r w:rsidR="00AA67BD">
        <w:rPr>
          <w:bCs/>
          <w:szCs w:val="24"/>
        </w:rPr>
        <w:t xml:space="preserve"> </w:t>
      </w:r>
      <w:r>
        <w:rPr>
          <w:bCs/>
          <w:caps/>
          <w:szCs w:val="24"/>
        </w:rPr>
        <w:t>25.53</w:t>
      </w:r>
      <w:r>
        <w:rPr>
          <w:bCs/>
          <w:szCs w:val="24"/>
        </w:rPr>
        <w:t xml:space="preserve">(e)(3) would require PGCs to include a flood annex in the EOP. TCPA believes that as a general matter it is unnecessary to add weather specific annexes which could be addressed in an all-hazards annex or the existing applicable annexes, especially for entities to which a specific weather hazard may not be applicable. </w:t>
      </w:r>
    </w:p>
    <w:p w14:paraId="2CF1D6A6" w14:textId="652DEAAA" w:rsidR="00FD77C8" w:rsidRPr="00C0261A" w:rsidRDefault="00C0261A" w:rsidP="001F3054">
      <w:pPr>
        <w:spacing w:line="480" w:lineRule="auto"/>
        <w:ind w:firstLine="720"/>
        <w:rPr>
          <w:bCs/>
          <w:szCs w:val="24"/>
        </w:rPr>
      </w:pPr>
      <w:r>
        <w:rPr>
          <w:bCs/>
          <w:szCs w:val="24"/>
        </w:rPr>
        <w:t>Regarding</w:t>
      </w:r>
      <w:r w:rsidR="006218E2">
        <w:rPr>
          <w:bCs/>
          <w:szCs w:val="24"/>
        </w:rPr>
        <w:t xml:space="preserve"> flood annexes specifically</w:t>
      </w:r>
      <w:r w:rsidR="00FD77C8">
        <w:rPr>
          <w:bCs/>
          <w:szCs w:val="24"/>
        </w:rPr>
        <w:t xml:space="preserve">, TCPA recommends that such an annex </w:t>
      </w:r>
      <w:r w:rsidR="0026493C">
        <w:rPr>
          <w:bCs/>
          <w:szCs w:val="24"/>
        </w:rPr>
        <w:t xml:space="preserve">only be required for generation resources that </w:t>
      </w:r>
      <w:r>
        <w:rPr>
          <w:bCs/>
          <w:szCs w:val="24"/>
        </w:rPr>
        <w:t>are in</w:t>
      </w:r>
      <w:r w:rsidR="003549D7">
        <w:rPr>
          <w:bCs/>
          <w:szCs w:val="24"/>
        </w:rPr>
        <w:t xml:space="preserve"> </w:t>
      </w:r>
      <w:r w:rsidR="0026493C">
        <w:rPr>
          <w:bCs/>
          <w:szCs w:val="24"/>
        </w:rPr>
        <w:t>identified flood plains or high-risk flood areas</w:t>
      </w:r>
      <w:r>
        <w:rPr>
          <w:bCs/>
          <w:szCs w:val="24"/>
        </w:rPr>
        <w:t xml:space="preserve">. </w:t>
      </w:r>
      <w:r>
        <w:rPr>
          <w:bCs/>
          <w:szCs w:val="24"/>
        </w:rPr>
        <w:lastRenderedPageBreak/>
        <w:t xml:space="preserve">Requiring a flood annex for </w:t>
      </w:r>
      <w:r>
        <w:rPr>
          <w:bCs/>
          <w:i/>
          <w:iCs/>
          <w:szCs w:val="24"/>
        </w:rPr>
        <w:t xml:space="preserve">all </w:t>
      </w:r>
      <w:r>
        <w:rPr>
          <w:bCs/>
          <w:szCs w:val="24"/>
        </w:rPr>
        <w:t xml:space="preserve">resources, regardless of risk, is unnecessary and would not benefit the Commission’s efforts to ensure grid reliability. </w:t>
      </w:r>
      <w:r w:rsidR="002B6381">
        <w:rPr>
          <w:bCs/>
          <w:szCs w:val="24"/>
        </w:rPr>
        <w:t>Accordingly, t</w:t>
      </w:r>
      <w:r w:rsidR="00B105FD">
        <w:rPr>
          <w:bCs/>
          <w:szCs w:val="24"/>
        </w:rPr>
        <w:t xml:space="preserve">he final rule should </w:t>
      </w:r>
      <w:r w:rsidR="00C11ADC">
        <w:rPr>
          <w:bCs/>
          <w:szCs w:val="24"/>
        </w:rPr>
        <w:t xml:space="preserve">limit the requirement of filing a flood plain annex to those generation resources located in high-risk “A” or “V” flood zones. </w:t>
      </w:r>
    </w:p>
    <w:p w14:paraId="64233288" w14:textId="539011B9" w:rsidR="00474F4C" w:rsidRPr="007B11F7" w:rsidRDefault="00474F4C" w:rsidP="007E534E">
      <w:pPr>
        <w:spacing w:line="480" w:lineRule="auto"/>
        <w:jc w:val="center"/>
        <w:rPr>
          <w:b/>
          <w:caps/>
          <w:szCs w:val="24"/>
          <w:u w:val="single"/>
        </w:rPr>
      </w:pPr>
      <w:r w:rsidRPr="005A4F8D">
        <w:rPr>
          <w:rFonts w:cs="Times New Roman"/>
          <w:b/>
          <w:bCs/>
          <w:szCs w:val="24"/>
          <w:u w:val="single"/>
        </w:rPr>
        <w:t>CONCLUSION</w:t>
      </w:r>
    </w:p>
    <w:p w14:paraId="4DFBB318" w14:textId="5FE438E0" w:rsidR="00AB1CEC" w:rsidRDefault="008E7489" w:rsidP="00AB1CEC">
      <w:pPr>
        <w:spacing w:line="480" w:lineRule="auto"/>
        <w:ind w:firstLine="720"/>
        <w:rPr>
          <w:bCs/>
          <w:szCs w:val="24"/>
        </w:rPr>
      </w:pPr>
      <w:r w:rsidRPr="00717DCD">
        <w:rPr>
          <w:rFonts w:cs="Times New Roman"/>
          <w:szCs w:val="24"/>
        </w:rPr>
        <w:tab/>
      </w:r>
      <w:r w:rsidRPr="000A6695">
        <w:rPr>
          <w:rFonts w:cs="Times New Roman"/>
          <w:szCs w:val="24"/>
        </w:rPr>
        <w:t xml:space="preserve">TCPA appreciates </w:t>
      </w:r>
      <w:r w:rsidR="00852E14" w:rsidRPr="000A6695">
        <w:rPr>
          <w:rFonts w:cs="Times New Roman"/>
          <w:szCs w:val="24"/>
        </w:rPr>
        <w:t>the opportunity to provide these comments</w:t>
      </w:r>
      <w:r w:rsidR="00D02430" w:rsidRPr="000A6695">
        <w:rPr>
          <w:rFonts w:cs="Times New Roman"/>
          <w:szCs w:val="24"/>
        </w:rPr>
        <w:t>.</w:t>
      </w:r>
      <w:r w:rsidR="00AB1CEC">
        <w:rPr>
          <w:rFonts w:cs="Times New Roman"/>
          <w:szCs w:val="24"/>
        </w:rPr>
        <w:t xml:space="preserve"> </w:t>
      </w:r>
      <w:r w:rsidR="00AB1CEC" w:rsidRPr="003A4425">
        <w:rPr>
          <w:bCs/>
          <w:szCs w:val="24"/>
        </w:rPr>
        <w:t xml:space="preserve">TCPA continues to support the objective of ensuring the Commission has adequate access to the information needed to ensure the reliability of the electric system but urges the adoption of a final rule that balances the value of that information with the burdens placed on the </w:t>
      </w:r>
      <w:r w:rsidR="00AB1CEC">
        <w:rPr>
          <w:bCs/>
          <w:szCs w:val="24"/>
        </w:rPr>
        <w:t xml:space="preserve">covered </w:t>
      </w:r>
      <w:r w:rsidR="00AB1CEC" w:rsidRPr="003A4425">
        <w:rPr>
          <w:bCs/>
          <w:szCs w:val="24"/>
        </w:rPr>
        <w:t>entities to provide it.</w:t>
      </w:r>
    </w:p>
    <w:p w14:paraId="7179C457" w14:textId="7C8B4F52" w:rsidR="008E7489" w:rsidRDefault="009979AC" w:rsidP="009979AC">
      <w:pPr>
        <w:pStyle w:val="BodyText"/>
        <w:keepNext/>
        <w:keepLines/>
        <w:jc w:val="left"/>
        <w:rPr>
          <w:szCs w:val="24"/>
        </w:rPr>
      </w:pPr>
      <w:r w:rsidRPr="00717DCD">
        <w:rPr>
          <w:szCs w:val="24"/>
        </w:rPr>
        <w:tab/>
        <w:t xml:space="preserve">Dated: </w:t>
      </w:r>
      <w:r w:rsidR="005766C3">
        <w:rPr>
          <w:szCs w:val="24"/>
        </w:rPr>
        <w:t>October 2</w:t>
      </w:r>
      <w:r w:rsidR="00666221">
        <w:rPr>
          <w:szCs w:val="24"/>
        </w:rPr>
        <w:t>, 2025</w:t>
      </w:r>
    </w:p>
    <w:p w14:paraId="6F878CCF" w14:textId="633D7CDD" w:rsidR="00B24F5A" w:rsidRPr="00717DCD" w:rsidRDefault="008E7489" w:rsidP="00B24F5A">
      <w:pPr>
        <w:pStyle w:val="BodyText"/>
        <w:keepNext/>
        <w:keepLines/>
        <w:ind w:left="3330" w:firstLine="720"/>
        <w:rPr>
          <w:szCs w:val="24"/>
        </w:rPr>
      </w:pPr>
      <w:r w:rsidRPr="00717DCD">
        <w:rPr>
          <w:szCs w:val="24"/>
        </w:rPr>
        <w:t xml:space="preserve">   </w:t>
      </w:r>
      <w:r w:rsidR="00B24F5A" w:rsidRPr="00717DCD">
        <w:rPr>
          <w:szCs w:val="24"/>
        </w:rPr>
        <w:t>Respectfully submitted,</w:t>
      </w:r>
    </w:p>
    <w:p w14:paraId="55E43467" w14:textId="18B92F0C" w:rsidR="008C0126" w:rsidRPr="008C0126" w:rsidRDefault="008C0126" w:rsidP="008C0126">
      <w:pPr>
        <w:widowControl w:val="0"/>
        <w:spacing w:after="240" w:line="240" w:lineRule="auto"/>
        <w:ind w:left="4320"/>
        <w:jc w:val="left"/>
        <w:rPr>
          <w:rFonts w:eastAsia="Calibri" w:cs="Times New Roman"/>
          <w:szCs w:val="24"/>
        </w:rPr>
      </w:pPr>
      <w:r w:rsidRPr="008C0126">
        <w:rPr>
          <w:rFonts w:eastAsia="Calibri" w:cs="Times New Roman"/>
          <w:noProof/>
          <w:szCs w:val="24"/>
        </w:rPr>
        <w:drawing>
          <wp:inline distT="0" distB="0" distL="0" distR="0" wp14:anchorId="477A98A1" wp14:editId="782D0C85">
            <wp:extent cx="1843405" cy="721360"/>
            <wp:effectExtent l="0" t="0" r="4445" b="2540"/>
            <wp:docPr id="3" name="Picture 506178181"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178181" descr="A black signature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3405" cy="721360"/>
                    </a:xfrm>
                    <a:prstGeom prst="rect">
                      <a:avLst/>
                    </a:prstGeom>
                    <a:noFill/>
                    <a:ln>
                      <a:noFill/>
                    </a:ln>
                  </pic:spPr>
                </pic:pic>
              </a:graphicData>
            </a:graphic>
          </wp:inline>
        </w:drawing>
      </w:r>
    </w:p>
    <w:p w14:paraId="2EBB35A6" w14:textId="77777777" w:rsidR="008C0126" w:rsidRPr="008C0126" w:rsidRDefault="008C0126" w:rsidP="008C0126">
      <w:pPr>
        <w:spacing w:after="0" w:line="240" w:lineRule="auto"/>
        <w:ind w:left="3600" w:firstLine="720"/>
        <w:jc w:val="left"/>
        <w:outlineLvl w:val="0"/>
        <w:rPr>
          <w:rFonts w:eastAsia="Calibri" w:cs="Times New Roman"/>
          <w:szCs w:val="24"/>
        </w:rPr>
      </w:pPr>
      <w:r w:rsidRPr="008C0126">
        <w:rPr>
          <w:rFonts w:eastAsia="Calibri" w:cs="Times New Roman"/>
          <w:szCs w:val="24"/>
        </w:rPr>
        <w:t>Paul Townsend</w:t>
      </w:r>
    </w:p>
    <w:p w14:paraId="5F06002A" w14:textId="77777777" w:rsidR="008C0126" w:rsidRPr="008C0126" w:rsidRDefault="008C0126" w:rsidP="008C0126">
      <w:pPr>
        <w:spacing w:after="0" w:line="240" w:lineRule="auto"/>
        <w:ind w:left="3600" w:firstLine="720"/>
        <w:jc w:val="left"/>
        <w:outlineLvl w:val="0"/>
        <w:rPr>
          <w:rFonts w:eastAsia="Calibri" w:cs="Times New Roman"/>
          <w:szCs w:val="24"/>
        </w:rPr>
      </w:pPr>
      <w:r w:rsidRPr="008C0126">
        <w:rPr>
          <w:rFonts w:eastAsia="Calibri" w:cs="Times New Roman"/>
          <w:szCs w:val="24"/>
        </w:rPr>
        <w:t>Director of Communications &amp; Administration</w:t>
      </w:r>
    </w:p>
    <w:p w14:paraId="04412374" w14:textId="77777777" w:rsidR="008C0126" w:rsidRPr="008C0126" w:rsidRDefault="008C0126" w:rsidP="008C0126">
      <w:pPr>
        <w:spacing w:after="0" w:line="240" w:lineRule="auto"/>
        <w:ind w:left="3600" w:firstLine="720"/>
        <w:jc w:val="left"/>
        <w:outlineLvl w:val="0"/>
        <w:rPr>
          <w:rFonts w:eastAsia="Calibri" w:cs="Times New Roman"/>
          <w:szCs w:val="24"/>
        </w:rPr>
      </w:pPr>
      <w:r w:rsidRPr="008C0126">
        <w:rPr>
          <w:rFonts w:eastAsia="Calibri" w:cs="Times New Roman"/>
          <w:szCs w:val="24"/>
        </w:rPr>
        <w:t>Texas Competitive Power Advocates (TCPA)</w:t>
      </w:r>
    </w:p>
    <w:p w14:paraId="4F9F7300" w14:textId="77777777" w:rsidR="008C0126" w:rsidRPr="008C0126" w:rsidRDefault="008C0126" w:rsidP="008C0126">
      <w:pPr>
        <w:spacing w:after="0" w:line="240" w:lineRule="auto"/>
        <w:ind w:left="3600" w:firstLine="720"/>
        <w:jc w:val="left"/>
        <w:rPr>
          <w:rFonts w:eastAsia="Calibri" w:cs="Times New Roman"/>
          <w:szCs w:val="24"/>
        </w:rPr>
      </w:pPr>
      <w:r w:rsidRPr="008C0126">
        <w:rPr>
          <w:rFonts w:eastAsia="Calibri" w:cs="Times New Roman"/>
          <w:szCs w:val="24"/>
        </w:rPr>
        <w:t>(512) 853-0655</w:t>
      </w:r>
    </w:p>
    <w:p w14:paraId="51F9C499" w14:textId="77777777" w:rsidR="008C0126" w:rsidRPr="008C0126" w:rsidRDefault="008C0126" w:rsidP="008C0126">
      <w:pPr>
        <w:spacing w:after="0" w:line="240" w:lineRule="auto"/>
        <w:ind w:left="3600" w:firstLine="720"/>
        <w:jc w:val="left"/>
        <w:rPr>
          <w:rFonts w:eastAsia="Calibri" w:cs="Times New Roman"/>
          <w:szCs w:val="24"/>
        </w:rPr>
      </w:pPr>
      <w:hyperlink r:id="rId12" w:history="1">
        <w:r w:rsidRPr="008C0126">
          <w:rPr>
            <w:rFonts w:eastAsia="Calibri" w:cs="Times New Roman"/>
            <w:color w:val="0563C1"/>
            <w:szCs w:val="24"/>
            <w:u w:val="single"/>
          </w:rPr>
          <w:t>paul@competitivepower.org</w:t>
        </w:r>
      </w:hyperlink>
    </w:p>
    <w:p w14:paraId="16A7C7B5" w14:textId="08BB8B9A" w:rsidR="008E7489" w:rsidRPr="00D11A78" w:rsidRDefault="008E7489" w:rsidP="008E7489">
      <w:pPr>
        <w:tabs>
          <w:tab w:val="left" w:pos="4320"/>
        </w:tabs>
        <w:ind w:right="-540"/>
        <w:rPr>
          <w:rFonts w:eastAsia="Times New Roman" w:cs="Times New Roman"/>
          <w:szCs w:val="24"/>
        </w:rPr>
      </w:pPr>
      <w:r w:rsidRPr="00D11A78">
        <w:rPr>
          <w:rFonts w:eastAsia="Times New Roman" w:cs="Times New Roman"/>
          <w:szCs w:val="24"/>
        </w:rPr>
        <w:tab/>
      </w:r>
      <w:r w:rsidRPr="00D11A78">
        <w:rPr>
          <w:rFonts w:eastAsia="Times New Roman" w:cs="Times New Roman"/>
          <w:noProof/>
          <w:szCs w:val="24"/>
        </w:rPr>
        <w:drawing>
          <wp:inline distT="0" distB="0" distL="0" distR="0" wp14:anchorId="17F0DEE9" wp14:editId="0EA4605F">
            <wp:extent cx="1925320" cy="505460"/>
            <wp:effectExtent l="0" t="0" r="0" b="889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3"/>
                    <a:stretch>
                      <a:fillRect/>
                    </a:stretch>
                  </pic:blipFill>
                  <pic:spPr>
                    <a:xfrm>
                      <a:off x="0" y="0"/>
                      <a:ext cx="1943645" cy="510271"/>
                    </a:xfrm>
                    <a:prstGeom prst="rect">
                      <a:avLst/>
                    </a:prstGeom>
                  </pic:spPr>
                </pic:pic>
              </a:graphicData>
            </a:graphic>
          </wp:inline>
        </w:drawing>
      </w:r>
    </w:p>
    <w:p w14:paraId="3DA537A1" w14:textId="77777777" w:rsidR="008E7489" w:rsidRPr="00D11A78" w:rsidRDefault="008E7489" w:rsidP="002249D8">
      <w:pPr>
        <w:spacing w:after="0" w:line="240" w:lineRule="auto"/>
        <w:outlineLvl w:val="0"/>
        <w:rPr>
          <w:rFonts w:eastAsia="Times New Roman" w:cs="Times New Roman"/>
          <w:szCs w:val="24"/>
        </w:rPr>
      </w:pP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t>Michele Richmond</w:t>
      </w:r>
    </w:p>
    <w:p w14:paraId="06540345" w14:textId="77777777" w:rsidR="008E7489" w:rsidRPr="00D11A78" w:rsidRDefault="008E7489" w:rsidP="002249D8">
      <w:pPr>
        <w:spacing w:after="0" w:line="240" w:lineRule="auto"/>
        <w:outlineLvl w:val="0"/>
        <w:rPr>
          <w:rFonts w:eastAsia="Times New Roman" w:cs="Times New Roman"/>
          <w:szCs w:val="24"/>
        </w:rPr>
      </w:pP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t>Executive Director</w:t>
      </w:r>
    </w:p>
    <w:p w14:paraId="600E1122" w14:textId="77777777" w:rsidR="008E7489" w:rsidRPr="00D11A78" w:rsidRDefault="008E7489" w:rsidP="002249D8">
      <w:pPr>
        <w:spacing w:after="0" w:line="240" w:lineRule="auto"/>
        <w:outlineLvl w:val="0"/>
        <w:rPr>
          <w:rFonts w:eastAsia="Times New Roman" w:cs="Times New Roman"/>
          <w:szCs w:val="24"/>
        </w:rPr>
      </w:pP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t>Texas Competitive Power Advocates (TCPA)</w:t>
      </w:r>
    </w:p>
    <w:p w14:paraId="16B41F7E" w14:textId="77777777" w:rsidR="008E7489" w:rsidRPr="00D11A78" w:rsidRDefault="008E7489" w:rsidP="002249D8">
      <w:pPr>
        <w:spacing w:after="0" w:line="240" w:lineRule="auto"/>
        <w:outlineLvl w:val="0"/>
        <w:rPr>
          <w:rFonts w:eastAsia="Times New Roman" w:cs="Times New Roman"/>
          <w:szCs w:val="24"/>
        </w:rPr>
      </w:pP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t>(512) 653-7447</w:t>
      </w:r>
    </w:p>
    <w:p w14:paraId="43D22956" w14:textId="77C731C9" w:rsidR="00A23EAC" w:rsidRPr="00D11A78" w:rsidRDefault="008E7489" w:rsidP="002249D8">
      <w:pPr>
        <w:spacing w:after="0" w:line="240" w:lineRule="auto"/>
        <w:ind w:firstLine="720"/>
        <w:rPr>
          <w:rStyle w:val="Hyperlink"/>
          <w:rFonts w:eastAsia="Times New Roman" w:cs="Times New Roman"/>
          <w:szCs w:val="24"/>
        </w:rPr>
      </w:pP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r w:rsidRPr="00D11A78">
        <w:rPr>
          <w:rFonts w:eastAsia="Times New Roman" w:cs="Times New Roman"/>
          <w:szCs w:val="24"/>
        </w:rPr>
        <w:tab/>
      </w:r>
      <w:hyperlink r:id="rId14" w:history="1">
        <w:r w:rsidRPr="00D11A78">
          <w:rPr>
            <w:rStyle w:val="Hyperlink"/>
            <w:rFonts w:eastAsia="Times New Roman" w:cs="Times New Roman"/>
            <w:szCs w:val="24"/>
          </w:rPr>
          <w:t>michele@competitivepower.org</w:t>
        </w:r>
      </w:hyperlink>
    </w:p>
    <w:p w14:paraId="46840B6F" w14:textId="77777777" w:rsidR="00200BA0" w:rsidRDefault="00200BA0" w:rsidP="00440056">
      <w:pPr>
        <w:spacing w:after="160" w:line="259" w:lineRule="auto"/>
        <w:jc w:val="left"/>
        <w:rPr>
          <w:rStyle w:val="Hyperlink"/>
          <w:rFonts w:eastAsia="Times New Roman" w:cs="Times New Roman"/>
          <w:szCs w:val="24"/>
        </w:rPr>
      </w:pPr>
    </w:p>
    <w:p w14:paraId="28714C19" w14:textId="77777777" w:rsidR="00FB1E50" w:rsidRDefault="00FB1E50" w:rsidP="008540C3">
      <w:pPr>
        <w:pStyle w:val="Title"/>
        <w:rPr>
          <w:b/>
          <w:szCs w:val="24"/>
        </w:rPr>
      </w:pPr>
    </w:p>
    <w:p w14:paraId="7EFDC8BE" w14:textId="77777777" w:rsidR="00FB1E50" w:rsidRDefault="00FB1E50" w:rsidP="008540C3">
      <w:pPr>
        <w:pStyle w:val="Title"/>
        <w:rPr>
          <w:b/>
          <w:szCs w:val="24"/>
        </w:rPr>
      </w:pPr>
    </w:p>
    <w:p w14:paraId="695FF2C0" w14:textId="77777777" w:rsidR="00FB1E50" w:rsidRDefault="00FB1E50" w:rsidP="008540C3">
      <w:pPr>
        <w:pStyle w:val="Title"/>
        <w:rPr>
          <w:b/>
          <w:szCs w:val="24"/>
        </w:rPr>
      </w:pPr>
    </w:p>
    <w:p w14:paraId="10671F2B" w14:textId="690B1636" w:rsidR="008540C3" w:rsidRPr="00717DCD" w:rsidRDefault="008540C3" w:rsidP="008540C3">
      <w:pPr>
        <w:pStyle w:val="Title"/>
        <w:rPr>
          <w:b/>
          <w:szCs w:val="24"/>
        </w:rPr>
      </w:pPr>
      <w:r w:rsidRPr="00717DCD">
        <w:rPr>
          <w:b/>
          <w:szCs w:val="24"/>
        </w:rPr>
        <w:lastRenderedPageBreak/>
        <w:t>PROJECT NO. 5</w:t>
      </w:r>
      <w:r>
        <w:rPr>
          <w:b/>
          <w:szCs w:val="24"/>
        </w:rPr>
        <w:t>7928</w:t>
      </w:r>
    </w:p>
    <w:p w14:paraId="5F237184" w14:textId="77777777" w:rsidR="008540C3" w:rsidRPr="00717DCD" w:rsidRDefault="008540C3" w:rsidP="008540C3">
      <w:pPr>
        <w:pStyle w:val="Title"/>
        <w:rPr>
          <w:b/>
          <w:szCs w:val="24"/>
        </w:rPr>
      </w:pPr>
    </w:p>
    <w:tbl>
      <w:tblPr>
        <w:tblW w:w="9375" w:type="dxa"/>
        <w:tblLook w:val="04A0" w:firstRow="1" w:lastRow="0" w:firstColumn="1" w:lastColumn="0" w:noHBand="0" w:noVBand="1"/>
      </w:tblPr>
      <w:tblGrid>
        <w:gridCol w:w="4247"/>
        <w:gridCol w:w="989"/>
        <w:gridCol w:w="4139"/>
      </w:tblGrid>
      <w:tr w:rsidR="008540C3" w:rsidRPr="00D11A78" w14:paraId="26C70A00" w14:textId="77777777">
        <w:trPr>
          <w:trHeight w:val="722"/>
        </w:trPr>
        <w:tc>
          <w:tcPr>
            <w:tcW w:w="4247" w:type="dxa"/>
          </w:tcPr>
          <w:p w14:paraId="6DC6D07D" w14:textId="2EF6904B" w:rsidR="008540C3" w:rsidRPr="00717DCD" w:rsidRDefault="008540C3">
            <w:pPr>
              <w:pStyle w:val="Title"/>
              <w:jc w:val="left"/>
              <w:rPr>
                <w:b/>
                <w:szCs w:val="24"/>
              </w:rPr>
            </w:pPr>
            <w:r>
              <w:rPr>
                <w:b/>
                <w:szCs w:val="24"/>
              </w:rPr>
              <w:t xml:space="preserve">REVIEW OF </w:t>
            </w:r>
            <w:r w:rsidRPr="00717DCD">
              <w:rPr>
                <w:b/>
                <w:szCs w:val="24"/>
              </w:rPr>
              <w:t>§</w:t>
            </w:r>
            <w:r w:rsidR="00AA67BD">
              <w:rPr>
                <w:b/>
                <w:szCs w:val="24"/>
              </w:rPr>
              <w:t xml:space="preserve"> </w:t>
            </w:r>
            <w:r w:rsidRPr="00903659">
              <w:rPr>
                <w:b/>
                <w:szCs w:val="24"/>
              </w:rPr>
              <w:t>25</w:t>
            </w:r>
            <w:r>
              <w:rPr>
                <w:b/>
                <w:szCs w:val="24"/>
              </w:rPr>
              <w:t>.53</w:t>
            </w:r>
            <w:r w:rsidRPr="00903659">
              <w:rPr>
                <w:b/>
                <w:szCs w:val="24"/>
              </w:rPr>
              <w:t xml:space="preserve">, </w:t>
            </w:r>
            <w:r>
              <w:rPr>
                <w:b/>
                <w:szCs w:val="24"/>
              </w:rPr>
              <w:t>ELECTRIC</w:t>
            </w:r>
            <w:r w:rsidRPr="00903659">
              <w:rPr>
                <w:b/>
                <w:szCs w:val="24"/>
              </w:rPr>
              <w:t xml:space="preserve"> </w:t>
            </w:r>
            <w:r>
              <w:rPr>
                <w:b/>
                <w:szCs w:val="24"/>
              </w:rPr>
              <w:t>SERVICE EMERGENCY OPERATIONS PLANS</w:t>
            </w:r>
          </w:p>
        </w:tc>
        <w:tc>
          <w:tcPr>
            <w:tcW w:w="989" w:type="dxa"/>
          </w:tcPr>
          <w:p w14:paraId="7F394145" w14:textId="77777777" w:rsidR="008540C3" w:rsidRPr="00717DCD" w:rsidRDefault="008540C3">
            <w:pPr>
              <w:pStyle w:val="Title"/>
              <w:rPr>
                <w:b/>
                <w:szCs w:val="24"/>
              </w:rPr>
            </w:pPr>
            <w:r w:rsidRPr="00717DCD">
              <w:rPr>
                <w:b/>
                <w:szCs w:val="24"/>
              </w:rPr>
              <w:t>§</w:t>
            </w:r>
          </w:p>
          <w:p w14:paraId="5289E9A1" w14:textId="77777777" w:rsidR="008540C3" w:rsidRDefault="008540C3">
            <w:pPr>
              <w:pStyle w:val="Title"/>
              <w:rPr>
                <w:b/>
                <w:szCs w:val="24"/>
              </w:rPr>
            </w:pPr>
            <w:r w:rsidRPr="00717DCD">
              <w:rPr>
                <w:b/>
                <w:szCs w:val="24"/>
              </w:rPr>
              <w:t>§</w:t>
            </w:r>
          </w:p>
          <w:p w14:paraId="0FD49F2E" w14:textId="77777777" w:rsidR="008540C3" w:rsidRDefault="008540C3">
            <w:pPr>
              <w:pStyle w:val="Title"/>
              <w:rPr>
                <w:b/>
                <w:szCs w:val="24"/>
              </w:rPr>
            </w:pPr>
            <w:r w:rsidRPr="00717DCD">
              <w:rPr>
                <w:b/>
                <w:szCs w:val="24"/>
              </w:rPr>
              <w:t>§</w:t>
            </w:r>
          </w:p>
          <w:p w14:paraId="6AEB6B72" w14:textId="77777777" w:rsidR="008540C3" w:rsidRPr="00717DCD" w:rsidRDefault="008540C3">
            <w:pPr>
              <w:pStyle w:val="Title"/>
              <w:rPr>
                <w:b/>
                <w:szCs w:val="24"/>
              </w:rPr>
            </w:pPr>
          </w:p>
        </w:tc>
        <w:tc>
          <w:tcPr>
            <w:tcW w:w="4139" w:type="dxa"/>
          </w:tcPr>
          <w:p w14:paraId="6485D60B" w14:textId="77777777" w:rsidR="008540C3" w:rsidRPr="00717DCD" w:rsidRDefault="008540C3">
            <w:pPr>
              <w:pStyle w:val="Title"/>
              <w:rPr>
                <w:b/>
                <w:szCs w:val="24"/>
              </w:rPr>
            </w:pPr>
            <w:r w:rsidRPr="00717DCD">
              <w:rPr>
                <w:b/>
                <w:szCs w:val="24"/>
              </w:rPr>
              <w:t>PUBLIC UTILITY COMMISSION</w:t>
            </w:r>
          </w:p>
          <w:p w14:paraId="7D7157E8" w14:textId="77777777" w:rsidR="008540C3" w:rsidRDefault="008540C3">
            <w:pPr>
              <w:pStyle w:val="Title"/>
              <w:rPr>
                <w:b/>
                <w:szCs w:val="24"/>
              </w:rPr>
            </w:pPr>
          </w:p>
          <w:p w14:paraId="00465F6A" w14:textId="77777777" w:rsidR="008540C3" w:rsidRPr="00717DCD" w:rsidRDefault="008540C3">
            <w:pPr>
              <w:pStyle w:val="Title"/>
              <w:rPr>
                <w:b/>
                <w:szCs w:val="24"/>
              </w:rPr>
            </w:pPr>
            <w:r w:rsidRPr="00717DCD">
              <w:rPr>
                <w:b/>
                <w:szCs w:val="24"/>
              </w:rPr>
              <w:t>OF TEXAS</w:t>
            </w:r>
          </w:p>
        </w:tc>
      </w:tr>
    </w:tbl>
    <w:p w14:paraId="1A671839" w14:textId="77777777" w:rsidR="00D5497E" w:rsidRDefault="00D5497E" w:rsidP="00AE1B92">
      <w:pPr>
        <w:spacing w:after="0" w:line="240" w:lineRule="auto"/>
        <w:ind w:firstLine="720"/>
        <w:jc w:val="center"/>
        <w:rPr>
          <w:rStyle w:val="Hyperlink"/>
          <w:rFonts w:eastAsia="Times New Roman" w:cs="Times New Roman"/>
          <w:color w:val="auto"/>
          <w:szCs w:val="24"/>
        </w:rPr>
      </w:pPr>
    </w:p>
    <w:p w14:paraId="4E852265" w14:textId="77777777" w:rsidR="00D5497E" w:rsidRDefault="00D5497E" w:rsidP="00AE1B92">
      <w:pPr>
        <w:spacing w:after="0" w:line="240" w:lineRule="auto"/>
        <w:ind w:firstLine="720"/>
        <w:jc w:val="center"/>
        <w:rPr>
          <w:rStyle w:val="Hyperlink"/>
          <w:rFonts w:eastAsia="Times New Roman" w:cs="Times New Roman"/>
          <w:color w:val="auto"/>
          <w:szCs w:val="24"/>
        </w:rPr>
      </w:pPr>
    </w:p>
    <w:p w14:paraId="7D50016A" w14:textId="2FA65066" w:rsidR="00AE1B92" w:rsidRPr="004964B0" w:rsidRDefault="00AE1B92" w:rsidP="00AE1B92">
      <w:pPr>
        <w:spacing w:after="0" w:line="240" w:lineRule="auto"/>
        <w:ind w:firstLine="720"/>
        <w:jc w:val="center"/>
        <w:rPr>
          <w:rStyle w:val="Hyperlink"/>
          <w:rFonts w:eastAsia="Times New Roman" w:cs="Times New Roman"/>
          <w:b/>
          <w:bCs/>
          <w:color w:val="auto"/>
          <w:szCs w:val="24"/>
        </w:rPr>
      </w:pPr>
      <w:r w:rsidRPr="004964B0">
        <w:rPr>
          <w:rStyle w:val="Hyperlink"/>
          <w:rFonts w:eastAsia="Times New Roman" w:cs="Times New Roman"/>
          <w:b/>
          <w:bCs/>
          <w:color w:val="auto"/>
          <w:szCs w:val="24"/>
        </w:rPr>
        <w:t>EXECUTIVE SUMMARY OF TCPA COMMENTS</w:t>
      </w:r>
    </w:p>
    <w:p w14:paraId="064C4822" w14:textId="77777777" w:rsidR="00AE1B92" w:rsidRDefault="00AE1B92" w:rsidP="00AE1B92">
      <w:pPr>
        <w:spacing w:after="0" w:line="240" w:lineRule="auto"/>
        <w:ind w:firstLine="720"/>
        <w:jc w:val="center"/>
        <w:rPr>
          <w:rStyle w:val="Hyperlink"/>
          <w:rFonts w:eastAsia="Times New Roman" w:cs="Times New Roman"/>
          <w:szCs w:val="24"/>
        </w:rPr>
      </w:pPr>
    </w:p>
    <w:p w14:paraId="2CDA917E" w14:textId="728AD950" w:rsidR="17AB17D3" w:rsidRDefault="0E7CA39F" w:rsidP="00E87A0F">
      <w:pPr>
        <w:pStyle w:val="ListParagraph"/>
        <w:numPr>
          <w:ilvl w:val="0"/>
          <w:numId w:val="62"/>
        </w:numPr>
        <w:spacing w:after="240" w:line="360" w:lineRule="auto"/>
      </w:pPr>
      <w:r>
        <w:t>TCPA is pleased to see that the proposed rule incorporates some of our initial comments but remains concerned by four of the proposed new requirements included in the Proposal for Publication.</w:t>
      </w:r>
    </w:p>
    <w:p w14:paraId="54FE4CED" w14:textId="0655968A" w:rsidR="17AB17D3" w:rsidRDefault="17AB17D3" w:rsidP="00E87A0F">
      <w:pPr>
        <w:pStyle w:val="ListParagraph"/>
        <w:numPr>
          <w:ilvl w:val="1"/>
          <w:numId w:val="62"/>
        </w:numPr>
        <w:spacing w:after="240" w:line="360" w:lineRule="auto"/>
      </w:pPr>
      <w:r>
        <w:t xml:space="preserve">Underpinning some of TCPA’s comments is an overarching concern about the need to protect the security sensitive, critical infrastructure information included in emergency operations plans (“EOPs”). </w:t>
      </w:r>
    </w:p>
    <w:p w14:paraId="05674BB2" w14:textId="51076C7D" w:rsidR="17AB17D3" w:rsidRDefault="17AB17D3">
      <w:pPr>
        <w:pStyle w:val="ListParagraph"/>
        <w:numPr>
          <w:ilvl w:val="1"/>
          <w:numId w:val="62"/>
        </w:numPr>
        <w:spacing w:after="240" w:line="360" w:lineRule="auto"/>
        <w:rPr>
          <w:szCs w:val="24"/>
        </w:rPr>
      </w:pPr>
      <w:r>
        <w:t>TCPA feels that information is better housed by ERCOT (which is not subject to the Texas Public Information Act</w:t>
      </w:r>
      <w:r w:rsidRPr="17AB17D3">
        <w:rPr>
          <w:rStyle w:val="FootnoteReference"/>
        </w:rPr>
        <w:footnoteReference w:id="6"/>
      </w:r>
      <w:r>
        <w:t xml:space="preserve">) and by individual market participants, with ability for Commission staff to review that information, on request, </w:t>
      </w:r>
      <w:r w:rsidR="0E7CA39F">
        <w:t>at a location designated by Staff</w:t>
      </w:r>
      <w:r>
        <w:t xml:space="preserve"> (as is the status quo under the existing rule).</w:t>
      </w:r>
    </w:p>
    <w:p w14:paraId="049D73FA" w14:textId="22581179" w:rsidR="00D06251" w:rsidRDefault="17AB17D3" w:rsidP="00E87A0F">
      <w:pPr>
        <w:pStyle w:val="ListParagraph"/>
        <w:numPr>
          <w:ilvl w:val="0"/>
          <w:numId w:val="62"/>
        </w:numPr>
        <w:spacing w:after="240" w:line="360" w:lineRule="auto"/>
        <w:rPr>
          <w:rFonts w:eastAsia="Times New Roman" w:cs="Times New Roman"/>
          <w:szCs w:val="24"/>
        </w:rPr>
      </w:pPr>
      <w:r w:rsidRPr="17AB17D3">
        <w:rPr>
          <w:rFonts w:cs="Times New Roman"/>
        </w:rPr>
        <w:t>First, filing a comprehensive list of generation assets and facilities would be needlessly cumbersome and would be of little value to the Commission. It would also create</w:t>
      </w:r>
      <w:r w:rsidRPr="17AB17D3">
        <w:rPr>
          <w:rFonts w:eastAsia="Times New Roman" w:cs="Times New Roman"/>
          <w:szCs w:val="24"/>
        </w:rPr>
        <w:t xml:space="preserve"> a confidentiality and security concern for PGCs</w:t>
      </w:r>
      <w:r w:rsidRPr="17AB17D3">
        <w:rPr>
          <w:rFonts w:cs="Times New Roman"/>
        </w:rPr>
        <w:t xml:space="preserve">. Instead, the Commission should limit the </w:t>
      </w:r>
      <w:r w:rsidRPr="17AB17D3">
        <w:rPr>
          <w:rFonts w:eastAsia="Times New Roman" w:cs="Times New Roman"/>
          <w:szCs w:val="24"/>
        </w:rPr>
        <w:t xml:space="preserve">list to generating units or facilities, </w:t>
      </w:r>
      <w:proofErr w:type="gramStart"/>
      <w:r w:rsidRPr="17AB17D3">
        <w:rPr>
          <w:rFonts w:eastAsia="Times New Roman" w:cs="Times New Roman"/>
          <w:szCs w:val="24"/>
        </w:rPr>
        <w:t>similar to</w:t>
      </w:r>
      <w:proofErr w:type="gramEnd"/>
      <w:r w:rsidRPr="17AB17D3">
        <w:rPr>
          <w:rFonts w:eastAsia="Times New Roman" w:cs="Times New Roman"/>
          <w:szCs w:val="24"/>
        </w:rPr>
        <w:t xml:space="preserve"> the PGC generating capacity report (which appears to be the intent of the requirement based on the proposed executive summary template, but which should be clarified in the rule language). </w:t>
      </w:r>
    </w:p>
    <w:p w14:paraId="29609794" w14:textId="77777777" w:rsidR="00983725" w:rsidRDefault="0E7CA39F" w:rsidP="00E87A0F">
      <w:pPr>
        <w:pStyle w:val="ListParagraph"/>
        <w:numPr>
          <w:ilvl w:val="0"/>
          <w:numId w:val="62"/>
        </w:numPr>
        <w:spacing w:after="240" w:line="360" w:lineRule="auto"/>
        <w:rPr>
          <w:rFonts w:cs="Times New Roman"/>
        </w:rPr>
      </w:pPr>
      <w:r w:rsidRPr="0E7CA39F">
        <w:rPr>
          <w:rFonts w:cs="Times New Roman"/>
        </w:rPr>
        <w:t xml:space="preserve">Second, a full and comprehensive list of annexes is similarly cumbersome and of limited benefit to the Commission </w:t>
      </w:r>
      <w:proofErr w:type="gramStart"/>
      <w:r w:rsidRPr="0E7CA39F">
        <w:rPr>
          <w:rFonts w:cs="Times New Roman"/>
        </w:rPr>
        <w:t>and also</w:t>
      </w:r>
      <w:proofErr w:type="gramEnd"/>
      <w:r w:rsidRPr="0E7CA39F">
        <w:rPr>
          <w:rFonts w:cs="Times New Roman"/>
        </w:rPr>
        <w:t xml:space="preserve"> raises confidentiality and security concerns (or would require substantial redaction and/or removal of pages with confidential information). </w:t>
      </w:r>
    </w:p>
    <w:p w14:paraId="37B104D2" w14:textId="2AFC1E50" w:rsidR="0E7CA39F" w:rsidRDefault="0E7CA39F">
      <w:pPr>
        <w:pStyle w:val="ListParagraph"/>
        <w:numPr>
          <w:ilvl w:val="0"/>
          <w:numId w:val="62"/>
        </w:numPr>
        <w:spacing w:after="240" w:line="360" w:lineRule="auto"/>
        <w:rPr>
          <w:rFonts w:cs="Times New Roman"/>
          <w:szCs w:val="24"/>
        </w:rPr>
      </w:pPr>
      <w:r w:rsidRPr="0E7CA39F">
        <w:rPr>
          <w:rFonts w:cs="Times New Roman"/>
        </w:rPr>
        <w:t xml:space="preserve">Third, requiring full unredacted EOPs to be provided via electronic encryption would raise the same confidentiality concerns as a requirement to file the entire unredacted EOP with the Commission, under seal, which the existing rule rightfully does not do (with the </w:t>
      </w:r>
      <w:r w:rsidRPr="0E7CA39F">
        <w:rPr>
          <w:rFonts w:cs="Times New Roman"/>
        </w:rPr>
        <w:lastRenderedPageBreak/>
        <w:t xml:space="preserve">concern being that providing the full unredacted EOP to the Commission, in whatever format, could create a public record that is then subject to requests under the Texas Public Information Act and the associated process for objecting to such requests). </w:t>
      </w:r>
    </w:p>
    <w:p w14:paraId="432C0A2B" w14:textId="37810A85" w:rsidR="0E7CA39F" w:rsidRDefault="0E7CA39F" w:rsidP="00FB1E50">
      <w:pPr>
        <w:pStyle w:val="ListParagraph"/>
        <w:numPr>
          <w:ilvl w:val="1"/>
          <w:numId w:val="62"/>
        </w:numPr>
        <w:spacing w:after="240" w:line="360" w:lineRule="auto"/>
        <w:rPr>
          <w:rFonts w:cs="Times New Roman"/>
        </w:rPr>
      </w:pPr>
      <w:r w:rsidRPr="0E7CA39F">
        <w:rPr>
          <w:rFonts w:cs="Times New Roman"/>
        </w:rPr>
        <w:t>TCPA recommends that either the existing rule language (allowing Staff to designate a location for review) be retained or alternatively, that the rule be amended to allow the market entity to opt to provide the entire EOP via electronic encryption if it does not have confidentiality concerns with doing so (but otherwise maintaining the status quo of having the review take place at an offsite location designated by Staff).</w:t>
      </w:r>
    </w:p>
    <w:p w14:paraId="42BAC643" w14:textId="0C846F20" w:rsidR="00BB1F01" w:rsidRPr="00983725" w:rsidRDefault="0E7CA39F">
      <w:pPr>
        <w:pStyle w:val="ListParagraph"/>
        <w:numPr>
          <w:ilvl w:val="0"/>
          <w:numId w:val="62"/>
        </w:numPr>
        <w:spacing w:after="240" w:line="360" w:lineRule="auto"/>
        <w:rPr>
          <w:rStyle w:val="Hyperlink"/>
          <w:rFonts w:cs="Times New Roman"/>
          <w:color w:val="auto"/>
          <w:szCs w:val="24"/>
          <w:u w:val="none"/>
        </w:rPr>
      </w:pPr>
      <w:r w:rsidRPr="0E7CA39F">
        <w:rPr>
          <w:rFonts w:cs="Times New Roman"/>
        </w:rPr>
        <w:t xml:space="preserve">Fourth, flood annexes should be required only for entities that </w:t>
      </w:r>
      <w:proofErr w:type="gramStart"/>
      <w:r w:rsidRPr="0E7CA39F">
        <w:rPr>
          <w:rFonts w:cs="Times New Roman"/>
        </w:rPr>
        <w:t>are located in</w:t>
      </w:r>
      <w:proofErr w:type="gramEnd"/>
      <w:r w:rsidRPr="0E7CA39F">
        <w:rPr>
          <w:rFonts w:cs="Times New Roman"/>
        </w:rPr>
        <w:t xml:space="preserve"> </w:t>
      </w:r>
      <w:proofErr w:type="gramStart"/>
      <w:r w:rsidRPr="0E7CA39F">
        <w:rPr>
          <w:rFonts w:cs="Times New Roman"/>
        </w:rPr>
        <w:t>high risk</w:t>
      </w:r>
      <w:proofErr w:type="gramEnd"/>
      <w:r w:rsidRPr="0E7CA39F">
        <w:rPr>
          <w:rFonts w:cs="Times New Roman"/>
        </w:rPr>
        <w:t xml:space="preserve"> flood zones. </w:t>
      </w:r>
    </w:p>
    <w:sectPr w:rsidR="00BB1F01" w:rsidRPr="00983725" w:rsidSect="0029549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7C18" w14:textId="77777777" w:rsidR="003F6495" w:rsidRDefault="003F6495" w:rsidP="0042771D">
      <w:pPr>
        <w:spacing w:after="0" w:line="240" w:lineRule="auto"/>
      </w:pPr>
      <w:r>
        <w:separator/>
      </w:r>
    </w:p>
  </w:endnote>
  <w:endnote w:type="continuationSeparator" w:id="0">
    <w:p w14:paraId="2B149AD5" w14:textId="77777777" w:rsidR="003F6495" w:rsidRDefault="003F6495" w:rsidP="0042771D">
      <w:pPr>
        <w:spacing w:after="0" w:line="240" w:lineRule="auto"/>
      </w:pPr>
      <w:r>
        <w:continuationSeparator/>
      </w:r>
    </w:p>
  </w:endnote>
  <w:endnote w:type="continuationNotice" w:id="1">
    <w:p w14:paraId="0C310B25" w14:textId="77777777" w:rsidR="003F6495" w:rsidRDefault="003F6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06768"/>
      <w:docPartObj>
        <w:docPartGallery w:val="Page Numbers (Bottom of Page)"/>
        <w:docPartUnique/>
      </w:docPartObj>
    </w:sdtPr>
    <w:sdtEndPr>
      <w:rPr>
        <w:noProof/>
      </w:rPr>
    </w:sdtEndPr>
    <w:sdtContent>
      <w:p w14:paraId="4AEF83AE" w14:textId="3C35C418" w:rsidR="000D4A46" w:rsidRDefault="000D4A46">
        <w:pPr>
          <w:pStyle w:val="Footer"/>
          <w:jc w:val="right"/>
        </w:pPr>
        <w:r>
          <w:fldChar w:fldCharType="begin"/>
        </w:r>
        <w:r>
          <w:instrText xml:space="preserve"> PAGE   \* MERGEFORMAT </w:instrText>
        </w:r>
        <w:r>
          <w:fldChar w:fldCharType="separate"/>
        </w:r>
        <w:r w:rsidR="00560269">
          <w:rPr>
            <w:noProof/>
          </w:rPr>
          <w:t>1</w:t>
        </w:r>
        <w:r>
          <w:rPr>
            <w:noProof/>
          </w:rPr>
          <w:fldChar w:fldCharType="end"/>
        </w:r>
      </w:p>
    </w:sdtContent>
  </w:sdt>
  <w:p w14:paraId="619B8001" w14:textId="77777777" w:rsidR="000D4A46" w:rsidRDefault="000D4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D316" w14:textId="77777777" w:rsidR="003F6495" w:rsidRDefault="003F6495" w:rsidP="0042771D">
      <w:pPr>
        <w:spacing w:after="0" w:line="240" w:lineRule="auto"/>
      </w:pPr>
      <w:r>
        <w:separator/>
      </w:r>
    </w:p>
  </w:footnote>
  <w:footnote w:type="continuationSeparator" w:id="0">
    <w:p w14:paraId="1019C682" w14:textId="77777777" w:rsidR="003F6495" w:rsidRDefault="003F6495" w:rsidP="0042771D">
      <w:pPr>
        <w:spacing w:after="0" w:line="240" w:lineRule="auto"/>
      </w:pPr>
      <w:r>
        <w:continuationSeparator/>
      </w:r>
    </w:p>
  </w:footnote>
  <w:footnote w:type="continuationNotice" w:id="1">
    <w:p w14:paraId="205F2ADA" w14:textId="77777777" w:rsidR="003F6495" w:rsidRDefault="003F6495">
      <w:pPr>
        <w:spacing w:after="0" w:line="240" w:lineRule="auto"/>
      </w:pPr>
    </w:p>
  </w:footnote>
  <w:footnote w:id="2">
    <w:p w14:paraId="0F0266D4" w14:textId="5357ABB2" w:rsidR="17AB17D3" w:rsidRDefault="17AB17D3" w:rsidP="000E59D5">
      <w:pPr>
        <w:pStyle w:val="FootnoteText"/>
        <w:spacing w:after="160"/>
      </w:pPr>
      <w:r w:rsidRPr="17AB17D3">
        <w:rPr>
          <w:rStyle w:val="FootnoteReference"/>
        </w:rPr>
        <w:footnoteRef/>
      </w:r>
      <w:r>
        <w:t xml:space="preserve"> </w:t>
      </w:r>
      <w:r w:rsidRPr="17AB17D3">
        <w:rPr>
          <w:i/>
          <w:iCs/>
        </w:rPr>
        <w:t xml:space="preserve">Review of </w:t>
      </w:r>
      <w:r w:rsidRPr="000E59D5">
        <w:rPr>
          <w:rFonts w:eastAsia="Times New Roman" w:cs="Times New Roman"/>
          <w:i/>
          <w:iCs/>
        </w:rPr>
        <w:t>§</w:t>
      </w:r>
      <w:r w:rsidRPr="17AB17D3">
        <w:rPr>
          <w:rFonts w:eastAsia="Times New Roman" w:cs="Times New Roman"/>
          <w:i/>
          <w:iCs/>
        </w:rPr>
        <w:t>25.53, Electric Service Emergency Operations Plans</w:t>
      </w:r>
      <w:r w:rsidRPr="17AB17D3">
        <w:rPr>
          <w:rFonts w:eastAsia="Times New Roman" w:cs="Times New Roman"/>
        </w:rPr>
        <w:t xml:space="preserve">, Project No. 57928, TCPA Comments on EOP Consultant Recommendations (May 28, 2025), </w:t>
      </w:r>
      <w:r w:rsidRPr="17AB17D3">
        <w:rPr>
          <w:rFonts w:eastAsia="Times New Roman" w:cs="Times New Roman"/>
          <w:i/>
          <w:iCs/>
        </w:rPr>
        <w:t>available at</w:t>
      </w:r>
      <w:r w:rsidRPr="17AB17D3">
        <w:rPr>
          <w:rFonts w:eastAsia="Times New Roman" w:cs="Times New Roman"/>
        </w:rPr>
        <w:t xml:space="preserve">: </w:t>
      </w:r>
      <w:hyperlink r:id="rId1" w:history="1">
        <w:r w:rsidR="000E59D5" w:rsidRPr="000E59D5">
          <w:rPr>
            <w:rStyle w:val="Hyperlink"/>
          </w:rPr>
          <w:t>https://interchange.puc.texas.gov/Documents/</w:t>
        </w:r>
        <w:r w:rsidRPr="000E59D5">
          <w:rPr>
            <w:rStyle w:val="Hyperlink"/>
          </w:rPr>
          <w:br/>
          <w:t>57928_6_1502732.PDF</w:t>
        </w:r>
      </w:hyperlink>
      <w:r w:rsidRPr="17AB17D3">
        <w:t>.</w:t>
      </w:r>
    </w:p>
  </w:footnote>
  <w:footnote w:id="3">
    <w:p w14:paraId="4722EABE" w14:textId="35320122" w:rsidR="17AB17D3" w:rsidRDefault="17AB17D3" w:rsidP="00FE7D58">
      <w:pPr>
        <w:pStyle w:val="FootnoteText"/>
        <w:widowControl w:val="0"/>
      </w:pPr>
      <w:r w:rsidRPr="17AB17D3">
        <w:rPr>
          <w:rStyle w:val="FootnoteReference"/>
        </w:rPr>
        <w:footnoteRef/>
      </w:r>
      <w:r>
        <w:t xml:space="preserve"> </w:t>
      </w:r>
      <w:r w:rsidRPr="17AB17D3">
        <w:rPr>
          <w:i/>
          <w:iCs/>
        </w:rPr>
        <w:t>See</w:t>
      </w:r>
      <w:r w:rsidRPr="17AB17D3">
        <w:t xml:space="preserve"> Tex. </w:t>
      </w:r>
      <w:proofErr w:type="spellStart"/>
      <w:r w:rsidRPr="17AB17D3">
        <w:t>Att’y</w:t>
      </w:r>
      <w:proofErr w:type="spellEnd"/>
      <w:r w:rsidRPr="17AB17D3">
        <w:t xml:space="preserve"> Gen. OR2021-13253 (May 19, 2021) (agreeing with the requestor that </w:t>
      </w:r>
      <w:proofErr w:type="spellStart"/>
      <w:r w:rsidRPr="17AB17D3">
        <w:t>ERCOTis</w:t>
      </w:r>
      <w:proofErr w:type="spellEnd"/>
      <w:r w:rsidRPr="17AB17D3">
        <w:t xml:space="preserve"> not subject to the Public</w:t>
      </w:r>
      <w:r w:rsidR="00207847">
        <w:t xml:space="preserve"> </w:t>
      </w:r>
      <w:r w:rsidRPr="17AB17D3">
        <w:t xml:space="preserve">Information Act), </w:t>
      </w:r>
      <w:r w:rsidRPr="17AB17D3">
        <w:rPr>
          <w:i/>
          <w:iCs/>
        </w:rPr>
        <w:t>available at</w:t>
      </w:r>
      <w:r w:rsidRPr="17AB17D3">
        <w:t>:</w:t>
      </w:r>
      <w:r w:rsidR="00207847">
        <w:t xml:space="preserve"> </w:t>
      </w:r>
      <w:hyperlink r:id="rId2" w:history="1">
        <w:r w:rsidR="00207847" w:rsidRPr="000A5E47">
          <w:rPr>
            <w:rStyle w:val="Hyperlink"/>
          </w:rPr>
          <w:t>https://www2.texasattorneygeneral.gov/opinions/openrecords/51paxton/orl/2021/pdf/or202113253.pdf</w:t>
        </w:r>
      </w:hyperlink>
      <w:r w:rsidRPr="17AB17D3">
        <w:t>.</w:t>
      </w:r>
    </w:p>
  </w:footnote>
  <w:footnote w:id="4">
    <w:p w14:paraId="328B94FD" w14:textId="53AD02FD" w:rsidR="17AB17D3" w:rsidRDefault="17AB17D3" w:rsidP="000E59D5">
      <w:pPr>
        <w:pStyle w:val="FootnoteText"/>
      </w:pPr>
      <w:r w:rsidRPr="17AB17D3">
        <w:rPr>
          <w:rStyle w:val="FootnoteReference"/>
        </w:rPr>
        <w:footnoteRef/>
      </w:r>
      <w:r>
        <w:t xml:space="preserve"> Project No. 57928, Proposed Executive Summary Template (Aug. 18, 2025), </w:t>
      </w:r>
      <w:r w:rsidRPr="00E00D67">
        <w:rPr>
          <w:i/>
          <w:iCs/>
        </w:rPr>
        <w:t>available at:</w:t>
      </w:r>
      <w:r>
        <w:t xml:space="preserve"> </w:t>
      </w:r>
      <w:hyperlink r:id="rId3" w:history="1">
        <w:r w:rsidRPr="00E00D67">
          <w:rPr>
            <w:rStyle w:val="Hyperlink"/>
          </w:rPr>
          <w:t>https://interchange.puc.texas.gov/Documents/57928_22_1531342.PDF</w:t>
        </w:r>
      </w:hyperlink>
      <w:r>
        <w:t>.</w:t>
      </w:r>
    </w:p>
    <w:p w14:paraId="140FB0F6" w14:textId="74C149D9" w:rsidR="17AB17D3" w:rsidRDefault="17AB17D3" w:rsidP="17AB17D3">
      <w:pPr>
        <w:pStyle w:val="FootnoteText"/>
      </w:pPr>
    </w:p>
  </w:footnote>
  <w:footnote w:id="5">
    <w:p w14:paraId="4656525D" w14:textId="136B3D44" w:rsidR="0E7CA39F" w:rsidRDefault="0E7CA39F" w:rsidP="00FB1E50">
      <w:pPr>
        <w:pStyle w:val="FootnoteText"/>
        <w:spacing w:after="160" w:line="276" w:lineRule="auto"/>
        <w:rPr>
          <w:rFonts w:eastAsia="Times New Roman" w:cs="Times New Roman"/>
        </w:rPr>
      </w:pPr>
      <w:r w:rsidRPr="0E7CA39F">
        <w:rPr>
          <w:rStyle w:val="FootnoteReference"/>
        </w:rPr>
        <w:footnoteRef/>
      </w:r>
      <w:r>
        <w:t xml:space="preserve"> </w:t>
      </w:r>
      <w:r w:rsidRPr="0E7CA39F">
        <w:rPr>
          <w:i/>
          <w:iCs/>
        </w:rPr>
        <w:t>Review of 16 TAC</w:t>
      </w:r>
      <w:r w:rsidRPr="00FB1E50">
        <w:rPr>
          <w:rFonts w:eastAsia="Times New Roman" w:cs="Times New Roman"/>
          <w:i/>
          <w:iCs/>
        </w:rPr>
        <w:t>§</w:t>
      </w:r>
      <w:r w:rsidRPr="0E7CA39F">
        <w:rPr>
          <w:rFonts w:eastAsia="Times New Roman" w:cs="Times New Roman"/>
          <w:i/>
          <w:iCs/>
        </w:rPr>
        <w:t xml:space="preserve"> 25.53 Relating to Electric Service Emergency Operations Plans</w:t>
      </w:r>
      <w:r w:rsidRPr="0E7CA39F">
        <w:rPr>
          <w:rFonts w:eastAsia="Times New Roman" w:cs="Times New Roman"/>
        </w:rPr>
        <w:t>, Project No. 51841, Order at 25 (Feb. 25, 2022)</w:t>
      </w:r>
      <w:r w:rsidRPr="0E7CA39F">
        <w:rPr>
          <w:i/>
          <w:iCs/>
        </w:rPr>
        <w:t xml:space="preserve"> </w:t>
      </w:r>
      <w:r>
        <w:t xml:space="preserve">“The commission disagrees with OCSC’s comments in favor of full disclosure of unredacted EOPs. An EOP is a written plan detailing an entity’s processes and actions utilized for response to emergencies and for safeguarding health, property, and continuity of service in such events. It is not, as OCSC suggests, a “tool for customers.” </w:t>
      </w:r>
      <w:r w:rsidRPr="00FB1E50">
        <w:rPr>
          <w:b/>
          <w:bCs/>
        </w:rPr>
        <w:t>The inadvertent release of confidential information in an EOP could represent a threat to grid security and reliability. In consideration of other commenters’ proposals and recommendations, the commission removes the requirement to file unredacted plans with the commission under adopted subparagraph (c)(1)(A) and instead permits entities to file a summary of its EOP and a complete EOP with confidential portions removed with the commission</w:t>
      </w:r>
      <w:r>
        <w:t>. The commission agrees with OCSC that the commission’s review of EOPs may provide valuable insights that inform future policy initiatives.”</w:t>
      </w:r>
    </w:p>
    <w:p w14:paraId="16D42369" w14:textId="6D4CD1CD" w:rsidR="0E7CA39F" w:rsidRDefault="0E7CA39F" w:rsidP="0E7CA39F">
      <w:pPr>
        <w:pStyle w:val="FootnoteText"/>
      </w:pPr>
    </w:p>
  </w:footnote>
  <w:footnote w:id="6">
    <w:p w14:paraId="37D58540" w14:textId="1445B194" w:rsidR="17AB17D3" w:rsidRDefault="17AB17D3" w:rsidP="17AB17D3">
      <w:pPr>
        <w:pStyle w:val="FootnoteText"/>
      </w:pPr>
      <w:r w:rsidRPr="17AB17D3">
        <w:rPr>
          <w:rStyle w:val="FootnoteReference"/>
        </w:rPr>
        <w:footnoteRef/>
      </w:r>
      <w:r>
        <w:t xml:space="preserve"> </w:t>
      </w:r>
      <w:r w:rsidRPr="17AB17D3">
        <w:rPr>
          <w:i/>
          <w:iCs/>
        </w:rPr>
        <w:t>See</w:t>
      </w:r>
      <w:r w:rsidRPr="17AB17D3">
        <w:t xml:space="preserve"> Tex. </w:t>
      </w:r>
      <w:proofErr w:type="spellStart"/>
      <w:r w:rsidRPr="17AB17D3">
        <w:t>Att’y</w:t>
      </w:r>
      <w:proofErr w:type="spellEnd"/>
      <w:r w:rsidRPr="17AB17D3">
        <w:t xml:space="preserve"> Gen. OR2021-13253 (May 19, 2021) (agreeing with the requestor that ERCOT is not subject to the Public Information Act), </w:t>
      </w:r>
      <w:r w:rsidRPr="17AB17D3">
        <w:rPr>
          <w:i/>
          <w:iCs/>
        </w:rPr>
        <w:t>available at</w:t>
      </w:r>
      <w:r w:rsidRPr="17AB17D3">
        <w:t>:</w:t>
      </w:r>
      <w:r w:rsidR="006C17C2">
        <w:t xml:space="preserve"> </w:t>
      </w:r>
      <w:hyperlink r:id="rId4" w:history="1">
        <w:r w:rsidR="006C17C2" w:rsidRPr="000A5E47">
          <w:rPr>
            <w:rStyle w:val="Hyperlink"/>
          </w:rPr>
          <w:t>https://www2.texasattorneygeneral.gov/opinions/openrecords/51paxton/orl/2021/pdf/or202113253.pdf</w:t>
        </w:r>
      </w:hyperlink>
      <w:r w:rsidRPr="17AB17D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4E26" w14:textId="7FC79E9C" w:rsidR="00DE39FD" w:rsidRDefault="00DE3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30A"/>
    <w:multiLevelType w:val="hybridMultilevel"/>
    <w:tmpl w:val="9A3A0EDC"/>
    <w:lvl w:ilvl="0" w:tplc="5FC6BAD6">
      <w:start w:val="8"/>
      <w:numFmt w:val="decimal"/>
      <w:lvlText w:val="(%1)"/>
      <w:lvlJc w:val="left"/>
    </w:lvl>
    <w:lvl w:ilvl="1" w:tplc="2C1A36AE">
      <w:start w:val="1"/>
      <w:numFmt w:val="upperLetter"/>
      <w:lvlText w:val="(%2)"/>
      <w:lvlJc w:val="left"/>
    </w:lvl>
    <w:lvl w:ilvl="2" w:tplc="235E1056">
      <w:numFmt w:val="decimal"/>
      <w:lvlText w:val=""/>
      <w:lvlJc w:val="left"/>
    </w:lvl>
    <w:lvl w:ilvl="3" w:tplc="FA0436D0">
      <w:numFmt w:val="decimal"/>
      <w:lvlText w:val=""/>
      <w:lvlJc w:val="left"/>
    </w:lvl>
    <w:lvl w:ilvl="4" w:tplc="1AFED3D2">
      <w:numFmt w:val="decimal"/>
      <w:lvlText w:val=""/>
      <w:lvlJc w:val="left"/>
    </w:lvl>
    <w:lvl w:ilvl="5" w:tplc="C5AE3D4C">
      <w:numFmt w:val="decimal"/>
      <w:lvlText w:val=""/>
      <w:lvlJc w:val="left"/>
    </w:lvl>
    <w:lvl w:ilvl="6" w:tplc="E1D065D0">
      <w:numFmt w:val="decimal"/>
      <w:lvlText w:val=""/>
      <w:lvlJc w:val="left"/>
    </w:lvl>
    <w:lvl w:ilvl="7" w:tplc="784EBCC6">
      <w:numFmt w:val="decimal"/>
      <w:lvlText w:val=""/>
      <w:lvlJc w:val="left"/>
    </w:lvl>
    <w:lvl w:ilvl="8" w:tplc="7BA01ABC">
      <w:numFmt w:val="decimal"/>
      <w:lvlText w:val=""/>
      <w:lvlJc w:val="left"/>
    </w:lvl>
  </w:abstractNum>
  <w:abstractNum w:abstractNumId="1" w15:restartNumberingAfterBreak="0">
    <w:nsid w:val="00001238"/>
    <w:multiLevelType w:val="hybridMultilevel"/>
    <w:tmpl w:val="329E622C"/>
    <w:lvl w:ilvl="0" w:tplc="BEAC6872">
      <w:start w:val="2"/>
      <w:numFmt w:val="lowerLetter"/>
      <w:lvlText w:val="(%1)"/>
      <w:lvlJc w:val="left"/>
    </w:lvl>
    <w:lvl w:ilvl="1" w:tplc="4C50F9FC">
      <w:start w:val="1"/>
      <w:numFmt w:val="decimal"/>
      <w:lvlText w:val="(%2)"/>
      <w:lvlJc w:val="left"/>
    </w:lvl>
    <w:lvl w:ilvl="2" w:tplc="BE52DD5C">
      <w:start w:val="1"/>
      <w:numFmt w:val="upperLetter"/>
      <w:lvlText w:val="(%3)"/>
      <w:lvlJc w:val="left"/>
    </w:lvl>
    <w:lvl w:ilvl="3" w:tplc="9AA43070">
      <w:start w:val="1"/>
      <w:numFmt w:val="lowerRoman"/>
      <w:lvlText w:val="(%4)"/>
      <w:lvlJc w:val="left"/>
    </w:lvl>
    <w:lvl w:ilvl="4" w:tplc="A2948692">
      <w:numFmt w:val="decimal"/>
      <w:lvlText w:val=""/>
      <w:lvlJc w:val="left"/>
    </w:lvl>
    <w:lvl w:ilvl="5" w:tplc="36A02A18">
      <w:numFmt w:val="decimal"/>
      <w:lvlText w:val=""/>
      <w:lvlJc w:val="left"/>
    </w:lvl>
    <w:lvl w:ilvl="6" w:tplc="3FDE89E6">
      <w:numFmt w:val="decimal"/>
      <w:lvlText w:val=""/>
      <w:lvlJc w:val="left"/>
    </w:lvl>
    <w:lvl w:ilvl="7" w:tplc="D6727E00">
      <w:numFmt w:val="decimal"/>
      <w:lvlText w:val=""/>
      <w:lvlJc w:val="left"/>
    </w:lvl>
    <w:lvl w:ilvl="8" w:tplc="5A689CAE">
      <w:numFmt w:val="decimal"/>
      <w:lvlText w:val=""/>
      <w:lvlJc w:val="left"/>
    </w:lvl>
  </w:abstractNum>
  <w:abstractNum w:abstractNumId="2" w15:restartNumberingAfterBreak="0">
    <w:nsid w:val="00001AD4"/>
    <w:multiLevelType w:val="hybridMultilevel"/>
    <w:tmpl w:val="2878F61C"/>
    <w:lvl w:ilvl="0" w:tplc="567E7BFC">
      <w:start w:val="2"/>
      <w:numFmt w:val="decimal"/>
      <w:lvlText w:val="(%1)"/>
      <w:lvlJc w:val="left"/>
    </w:lvl>
    <w:lvl w:ilvl="1" w:tplc="E2B82818">
      <w:start w:val="1"/>
      <w:numFmt w:val="upperLetter"/>
      <w:lvlText w:val="(%2)"/>
      <w:lvlJc w:val="left"/>
    </w:lvl>
    <w:lvl w:ilvl="2" w:tplc="725EFFCE">
      <w:start w:val="1"/>
      <w:numFmt w:val="lowerRoman"/>
      <w:lvlText w:val="(%3)"/>
      <w:lvlJc w:val="left"/>
    </w:lvl>
    <w:lvl w:ilvl="3" w:tplc="1F660850">
      <w:numFmt w:val="decimal"/>
      <w:lvlText w:val=""/>
      <w:lvlJc w:val="left"/>
    </w:lvl>
    <w:lvl w:ilvl="4" w:tplc="4F40A6F4">
      <w:numFmt w:val="decimal"/>
      <w:lvlText w:val=""/>
      <w:lvlJc w:val="left"/>
    </w:lvl>
    <w:lvl w:ilvl="5" w:tplc="4746AB46">
      <w:numFmt w:val="decimal"/>
      <w:lvlText w:val=""/>
      <w:lvlJc w:val="left"/>
    </w:lvl>
    <w:lvl w:ilvl="6" w:tplc="0B948D64">
      <w:numFmt w:val="decimal"/>
      <w:lvlText w:val=""/>
      <w:lvlJc w:val="left"/>
    </w:lvl>
    <w:lvl w:ilvl="7" w:tplc="BD027392">
      <w:numFmt w:val="decimal"/>
      <w:lvlText w:val=""/>
      <w:lvlJc w:val="left"/>
    </w:lvl>
    <w:lvl w:ilvl="8" w:tplc="06DEC606">
      <w:numFmt w:val="decimal"/>
      <w:lvlText w:val=""/>
      <w:lvlJc w:val="left"/>
    </w:lvl>
  </w:abstractNum>
  <w:abstractNum w:abstractNumId="3" w15:restartNumberingAfterBreak="0">
    <w:nsid w:val="00001E1F"/>
    <w:multiLevelType w:val="hybridMultilevel"/>
    <w:tmpl w:val="71AA1508"/>
    <w:lvl w:ilvl="0" w:tplc="385C734A">
      <w:start w:val="3"/>
      <w:numFmt w:val="lowerLetter"/>
      <w:lvlText w:val="(%1)"/>
      <w:lvlJc w:val="left"/>
    </w:lvl>
    <w:lvl w:ilvl="1" w:tplc="6CD214BE">
      <w:start w:val="1"/>
      <w:numFmt w:val="decimal"/>
      <w:lvlText w:val="(%2)"/>
      <w:lvlJc w:val="left"/>
    </w:lvl>
    <w:lvl w:ilvl="2" w:tplc="227C62A8">
      <w:start w:val="1"/>
      <w:numFmt w:val="decimal"/>
      <w:lvlText w:val="%3"/>
      <w:lvlJc w:val="left"/>
    </w:lvl>
    <w:lvl w:ilvl="3" w:tplc="5CAE1B24">
      <w:start w:val="1"/>
      <w:numFmt w:val="upperLetter"/>
      <w:lvlText w:val="(%4)"/>
      <w:lvlJc w:val="left"/>
    </w:lvl>
    <w:lvl w:ilvl="4" w:tplc="75A49F9A">
      <w:start w:val="1"/>
      <w:numFmt w:val="lowerRoman"/>
      <w:lvlText w:val="(%5)"/>
      <w:lvlJc w:val="left"/>
    </w:lvl>
    <w:lvl w:ilvl="5" w:tplc="669863E0">
      <w:numFmt w:val="decimal"/>
      <w:lvlText w:val=""/>
      <w:lvlJc w:val="left"/>
    </w:lvl>
    <w:lvl w:ilvl="6" w:tplc="E5C8CEBC">
      <w:numFmt w:val="decimal"/>
      <w:lvlText w:val=""/>
      <w:lvlJc w:val="left"/>
    </w:lvl>
    <w:lvl w:ilvl="7" w:tplc="B5BCA264">
      <w:numFmt w:val="decimal"/>
      <w:lvlText w:val=""/>
      <w:lvlJc w:val="left"/>
    </w:lvl>
    <w:lvl w:ilvl="8" w:tplc="61D472A4">
      <w:numFmt w:val="decimal"/>
      <w:lvlText w:val=""/>
      <w:lvlJc w:val="left"/>
    </w:lvl>
  </w:abstractNum>
  <w:abstractNum w:abstractNumId="4" w15:restartNumberingAfterBreak="0">
    <w:nsid w:val="00002213"/>
    <w:multiLevelType w:val="hybridMultilevel"/>
    <w:tmpl w:val="2C3C56CE"/>
    <w:lvl w:ilvl="0" w:tplc="B78E6386">
      <w:start w:val="3"/>
      <w:numFmt w:val="upperLetter"/>
      <w:lvlText w:val="(%1)"/>
      <w:lvlJc w:val="left"/>
      <w:rPr>
        <w:strike w:val="0"/>
      </w:rPr>
    </w:lvl>
    <w:lvl w:ilvl="1" w:tplc="4D925044">
      <w:start w:val="1"/>
      <w:numFmt w:val="lowerRoman"/>
      <w:lvlText w:val="%2"/>
      <w:lvlJc w:val="left"/>
    </w:lvl>
    <w:lvl w:ilvl="2" w:tplc="C7F4806C">
      <w:numFmt w:val="decimal"/>
      <w:lvlText w:val=""/>
      <w:lvlJc w:val="left"/>
    </w:lvl>
    <w:lvl w:ilvl="3" w:tplc="2EF4D56E">
      <w:numFmt w:val="decimal"/>
      <w:lvlText w:val=""/>
      <w:lvlJc w:val="left"/>
    </w:lvl>
    <w:lvl w:ilvl="4" w:tplc="64AEBC38">
      <w:numFmt w:val="decimal"/>
      <w:lvlText w:val=""/>
      <w:lvlJc w:val="left"/>
    </w:lvl>
    <w:lvl w:ilvl="5" w:tplc="6870EF24">
      <w:numFmt w:val="decimal"/>
      <w:lvlText w:val=""/>
      <w:lvlJc w:val="left"/>
    </w:lvl>
    <w:lvl w:ilvl="6" w:tplc="FD8EC652">
      <w:numFmt w:val="decimal"/>
      <w:lvlText w:val=""/>
      <w:lvlJc w:val="left"/>
    </w:lvl>
    <w:lvl w:ilvl="7" w:tplc="F3CEF0E8">
      <w:numFmt w:val="decimal"/>
      <w:lvlText w:val=""/>
      <w:lvlJc w:val="left"/>
    </w:lvl>
    <w:lvl w:ilvl="8" w:tplc="AECAE986">
      <w:numFmt w:val="decimal"/>
      <w:lvlText w:val=""/>
      <w:lvlJc w:val="left"/>
    </w:lvl>
  </w:abstractNum>
  <w:abstractNum w:abstractNumId="5" w15:restartNumberingAfterBreak="0">
    <w:nsid w:val="0000260D"/>
    <w:multiLevelType w:val="hybridMultilevel"/>
    <w:tmpl w:val="87C89DFC"/>
    <w:lvl w:ilvl="0" w:tplc="51EEB02C">
      <w:start w:val="5"/>
      <w:numFmt w:val="decimal"/>
      <w:lvlText w:val="(%1)"/>
      <w:lvlJc w:val="left"/>
    </w:lvl>
    <w:lvl w:ilvl="1" w:tplc="00C2769E">
      <w:start w:val="1"/>
      <w:numFmt w:val="upperLetter"/>
      <w:lvlText w:val="(%2)"/>
      <w:lvlJc w:val="left"/>
    </w:lvl>
    <w:lvl w:ilvl="2" w:tplc="EC504444">
      <w:numFmt w:val="decimal"/>
      <w:lvlText w:val=""/>
      <w:lvlJc w:val="left"/>
    </w:lvl>
    <w:lvl w:ilvl="3" w:tplc="4E9C2100">
      <w:numFmt w:val="decimal"/>
      <w:lvlText w:val=""/>
      <w:lvlJc w:val="left"/>
    </w:lvl>
    <w:lvl w:ilvl="4" w:tplc="4EF43642">
      <w:numFmt w:val="decimal"/>
      <w:lvlText w:val=""/>
      <w:lvlJc w:val="left"/>
    </w:lvl>
    <w:lvl w:ilvl="5" w:tplc="E74AC3FE">
      <w:numFmt w:val="decimal"/>
      <w:lvlText w:val=""/>
      <w:lvlJc w:val="left"/>
    </w:lvl>
    <w:lvl w:ilvl="6" w:tplc="58B8017E">
      <w:numFmt w:val="decimal"/>
      <w:lvlText w:val=""/>
      <w:lvlJc w:val="left"/>
    </w:lvl>
    <w:lvl w:ilvl="7" w:tplc="9B42C536">
      <w:numFmt w:val="decimal"/>
      <w:lvlText w:val=""/>
      <w:lvlJc w:val="left"/>
    </w:lvl>
    <w:lvl w:ilvl="8" w:tplc="4FE45324">
      <w:numFmt w:val="decimal"/>
      <w:lvlText w:val=""/>
      <w:lvlJc w:val="left"/>
    </w:lvl>
  </w:abstractNum>
  <w:abstractNum w:abstractNumId="6" w15:restartNumberingAfterBreak="0">
    <w:nsid w:val="0000301C"/>
    <w:multiLevelType w:val="hybridMultilevel"/>
    <w:tmpl w:val="20B071B0"/>
    <w:lvl w:ilvl="0" w:tplc="05CEE924">
      <w:start w:val="1"/>
      <w:numFmt w:val="lowerLetter"/>
      <w:lvlText w:val="%1"/>
      <w:lvlJc w:val="left"/>
    </w:lvl>
    <w:lvl w:ilvl="1" w:tplc="A0AEC236">
      <w:start w:val="1"/>
      <w:numFmt w:val="decimal"/>
      <w:lvlText w:val="%2"/>
      <w:lvlJc w:val="left"/>
    </w:lvl>
    <w:lvl w:ilvl="2" w:tplc="4ACE0EF8">
      <w:start w:val="7"/>
      <w:numFmt w:val="upperLetter"/>
      <w:lvlText w:val="(%3)"/>
      <w:lvlJc w:val="left"/>
    </w:lvl>
    <w:lvl w:ilvl="3" w:tplc="C0BED0E0">
      <w:numFmt w:val="decimal"/>
      <w:lvlText w:val=""/>
      <w:lvlJc w:val="left"/>
    </w:lvl>
    <w:lvl w:ilvl="4" w:tplc="AB36D26C">
      <w:numFmt w:val="decimal"/>
      <w:lvlText w:val=""/>
      <w:lvlJc w:val="left"/>
    </w:lvl>
    <w:lvl w:ilvl="5" w:tplc="FAAC6130">
      <w:numFmt w:val="decimal"/>
      <w:lvlText w:val=""/>
      <w:lvlJc w:val="left"/>
    </w:lvl>
    <w:lvl w:ilvl="6" w:tplc="FE127EF4">
      <w:numFmt w:val="decimal"/>
      <w:lvlText w:val=""/>
      <w:lvlJc w:val="left"/>
    </w:lvl>
    <w:lvl w:ilvl="7" w:tplc="E4F2AF94">
      <w:numFmt w:val="decimal"/>
      <w:lvlText w:val=""/>
      <w:lvlJc w:val="left"/>
    </w:lvl>
    <w:lvl w:ilvl="8" w:tplc="3E4AF1D6">
      <w:numFmt w:val="decimal"/>
      <w:lvlText w:val=""/>
      <w:lvlJc w:val="left"/>
    </w:lvl>
  </w:abstractNum>
  <w:abstractNum w:abstractNumId="7" w15:restartNumberingAfterBreak="0">
    <w:nsid w:val="0000323B"/>
    <w:multiLevelType w:val="hybridMultilevel"/>
    <w:tmpl w:val="27F08970"/>
    <w:lvl w:ilvl="0" w:tplc="02C6C8DC">
      <w:start w:val="1"/>
      <w:numFmt w:val="upperLetter"/>
      <w:lvlText w:val="%1"/>
      <w:lvlJc w:val="left"/>
    </w:lvl>
    <w:lvl w:ilvl="1" w:tplc="3FE6D17A">
      <w:start w:val="5"/>
      <w:numFmt w:val="lowerRoman"/>
      <w:lvlText w:val="(%2)"/>
      <w:lvlJc w:val="left"/>
    </w:lvl>
    <w:lvl w:ilvl="2" w:tplc="B8F89ACA">
      <w:numFmt w:val="decimal"/>
      <w:lvlText w:val=""/>
      <w:lvlJc w:val="left"/>
    </w:lvl>
    <w:lvl w:ilvl="3" w:tplc="AA1EBEF4">
      <w:numFmt w:val="decimal"/>
      <w:lvlText w:val=""/>
      <w:lvlJc w:val="left"/>
    </w:lvl>
    <w:lvl w:ilvl="4" w:tplc="134A3C58">
      <w:numFmt w:val="decimal"/>
      <w:lvlText w:val=""/>
      <w:lvlJc w:val="left"/>
    </w:lvl>
    <w:lvl w:ilvl="5" w:tplc="705E2DD8">
      <w:numFmt w:val="decimal"/>
      <w:lvlText w:val=""/>
      <w:lvlJc w:val="left"/>
    </w:lvl>
    <w:lvl w:ilvl="6" w:tplc="037ABBE8">
      <w:numFmt w:val="decimal"/>
      <w:lvlText w:val=""/>
      <w:lvlJc w:val="left"/>
    </w:lvl>
    <w:lvl w:ilvl="7" w:tplc="6A5A9184">
      <w:numFmt w:val="decimal"/>
      <w:lvlText w:val=""/>
      <w:lvlJc w:val="left"/>
    </w:lvl>
    <w:lvl w:ilvl="8" w:tplc="0BD08318">
      <w:numFmt w:val="decimal"/>
      <w:lvlText w:val=""/>
      <w:lvlJc w:val="left"/>
    </w:lvl>
  </w:abstractNum>
  <w:abstractNum w:abstractNumId="8" w15:restartNumberingAfterBreak="0">
    <w:nsid w:val="00003B25"/>
    <w:multiLevelType w:val="hybridMultilevel"/>
    <w:tmpl w:val="BD503DB8"/>
    <w:lvl w:ilvl="0" w:tplc="1C8C7222">
      <w:start w:val="1"/>
      <w:numFmt w:val="lowerLetter"/>
      <w:lvlText w:val="%1"/>
      <w:lvlJc w:val="left"/>
    </w:lvl>
    <w:lvl w:ilvl="1" w:tplc="E16C782C">
      <w:start w:val="1"/>
      <w:numFmt w:val="decimal"/>
      <w:lvlText w:val="%2"/>
      <w:lvlJc w:val="left"/>
    </w:lvl>
    <w:lvl w:ilvl="2" w:tplc="913C1AFE">
      <w:start w:val="2"/>
      <w:numFmt w:val="decimal"/>
      <w:lvlText w:val="(%3)"/>
      <w:lvlJc w:val="left"/>
    </w:lvl>
    <w:lvl w:ilvl="3" w:tplc="C2A490D4">
      <w:start w:val="1"/>
      <w:numFmt w:val="upperLetter"/>
      <w:lvlText w:val="%4"/>
      <w:lvlJc w:val="left"/>
    </w:lvl>
    <w:lvl w:ilvl="4" w:tplc="A4D4F03A">
      <w:start w:val="1"/>
      <w:numFmt w:val="lowerRoman"/>
      <w:lvlText w:val="%5"/>
      <w:lvlJc w:val="left"/>
    </w:lvl>
    <w:lvl w:ilvl="5" w:tplc="A31A9CD2">
      <w:numFmt w:val="decimal"/>
      <w:lvlText w:val=""/>
      <w:lvlJc w:val="left"/>
    </w:lvl>
    <w:lvl w:ilvl="6" w:tplc="C508676E">
      <w:numFmt w:val="decimal"/>
      <w:lvlText w:val=""/>
      <w:lvlJc w:val="left"/>
    </w:lvl>
    <w:lvl w:ilvl="7" w:tplc="785E4590">
      <w:numFmt w:val="decimal"/>
      <w:lvlText w:val=""/>
      <w:lvlJc w:val="left"/>
    </w:lvl>
    <w:lvl w:ilvl="8" w:tplc="F59AD34A">
      <w:numFmt w:val="decimal"/>
      <w:lvlText w:val=""/>
      <w:lvlJc w:val="left"/>
    </w:lvl>
  </w:abstractNum>
  <w:abstractNum w:abstractNumId="9" w15:restartNumberingAfterBreak="0">
    <w:nsid w:val="00004509"/>
    <w:multiLevelType w:val="hybridMultilevel"/>
    <w:tmpl w:val="D67E3D40"/>
    <w:lvl w:ilvl="0" w:tplc="1FD22F8C">
      <w:start w:val="1"/>
      <w:numFmt w:val="lowerLetter"/>
      <w:lvlText w:val="(%1)"/>
      <w:lvlJc w:val="left"/>
    </w:lvl>
    <w:lvl w:ilvl="1" w:tplc="7466F9CC">
      <w:numFmt w:val="decimal"/>
      <w:lvlText w:val=""/>
      <w:lvlJc w:val="left"/>
    </w:lvl>
    <w:lvl w:ilvl="2" w:tplc="9C8C5442">
      <w:numFmt w:val="decimal"/>
      <w:lvlText w:val=""/>
      <w:lvlJc w:val="left"/>
    </w:lvl>
    <w:lvl w:ilvl="3" w:tplc="F31E825A">
      <w:numFmt w:val="decimal"/>
      <w:lvlText w:val=""/>
      <w:lvlJc w:val="left"/>
    </w:lvl>
    <w:lvl w:ilvl="4" w:tplc="26D41EC0">
      <w:numFmt w:val="decimal"/>
      <w:lvlText w:val=""/>
      <w:lvlJc w:val="left"/>
    </w:lvl>
    <w:lvl w:ilvl="5" w:tplc="F482C34A">
      <w:numFmt w:val="decimal"/>
      <w:lvlText w:val=""/>
      <w:lvlJc w:val="left"/>
    </w:lvl>
    <w:lvl w:ilvl="6" w:tplc="942AAB72">
      <w:numFmt w:val="decimal"/>
      <w:lvlText w:val=""/>
      <w:lvlJc w:val="left"/>
    </w:lvl>
    <w:lvl w:ilvl="7" w:tplc="CA6047BC">
      <w:numFmt w:val="decimal"/>
      <w:lvlText w:val=""/>
      <w:lvlJc w:val="left"/>
    </w:lvl>
    <w:lvl w:ilvl="8" w:tplc="876EE7E8">
      <w:numFmt w:val="decimal"/>
      <w:lvlText w:val=""/>
      <w:lvlJc w:val="left"/>
    </w:lvl>
  </w:abstractNum>
  <w:abstractNum w:abstractNumId="10" w15:restartNumberingAfterBreak="0">
    <w:nsid w:val="00004E45"/>
    <w:multiLevelType w:val="hybridMultilevel"/>
    <w:tmpl w:val="AEB6EE3E"/>
    <w:lvl w:ilvl="0" w:tplc="69B22A76">
      <w:start w:val="4"/>
      <w:numFmt w:val="decimal"/>
      <w:lvlText w:val="(%1)"/>
      <w:lvlJc w:val="left"/>
    </w:lvl>
    <w:lvl w:ilvl="1" w:tplc="4F0A942C">
      <w:start w:val="1"/>
      <w:numFmt w:val="upperLetter"/>
      <w:lvlText w:val="(%2)"/>
      <w:lvlJc w:val="left"/>
    </w:lvl>
    <w:lvl w:ilvl="2" w:tplc="C276E47E">
      <w:start w:val="1"/>
      <w:numFmt w:val="lowerRoman"/>
      <w:lvlText w:val="(%3)"/>
      <w:lvlJc w:val="left"/>
    </w:lvl>
    <w:lvl w:ilvl="3" w:tplc="683C61E0">
      <w:numFmt w:val="decimal"/>
      <w:lvlText w:val=""/>
      <w:lvlJc w:val="left"/>
    </w:lvl>
    <w:lvl w:ilvl="4" w:tplc="551A19E0">
      <w:numFmt w:val="decimal"/>
      <w:lvlText w:val=""/>
      <w:lvlJc w:val="left"/>
    </w:lvl>
    <w:lvl w:ilvl="5" w:tplc="F3FA62FC">
      <w:numFmt w:val="decimal"/>
      <w:lvlText w:val=""/>
      <w:lvlJc w:val="left"/>
    </w:lvl>
    <w:lvl w:ilvl="6" w:tplc="C900945C">
      <w:numFmt w:val="decimal"/>
      <w:lvlText w:val=""/>
      <w:lvlJc w:val="left"/>
    </w:lvl>
    <w:lvl w:ilvl="7" w:tplc="FF947186">
      <w:numFmt w:val="decimal"/>
      <w:lvlText w:val=""/>
      <w:lvlJc w:val="left"/>
    </w:lvl>
    <w:lvl w:ilvl="8" w:tplc="B6B61238">
      <w:numFmt w:val="decimal"/>
      <w:lvlText w:val=""/>
      <w:lvlJc w:val="left"/>
    </w:lvl>
  </w:abstractNum>
  <w:abstractNum w:abstractNumId="11" w15:restartNumberingAfterBreak="0">
    <w:nsid w:val="00006B89"/>
    <w:multiLevelType w:val="hybridMultilevel"/>
    <w:tmpl w:val="40AA2174"/>
    <w:lvl w:ilvl="0" w:tplc="E462339E">
      <w:start w:val="1"/>
      <w:numFmt w:val="decimal"/>
      <w:lvlText w:val="%1"/>
      <w:lvlJc w:val="left"/>
    </w:lvl>
    <w:lvl w:ilvl="1" w:tplc="BA1C36EE">
      <w:start w:val="2"/>
      <w:numFmt w:val="upperLetter"/>
      <w:lvlText w:val="(%2)"/>
      <w:lvlJc w:val="left"/>
    </w:lvl>
    <w:lvl w:ilvl="2" w:tplc="99E0A8DC">
      <w:numFmt w:val="decimal"/>
      <w:lvlText w:val=""/>
      <w:lvlJc w:val="left"/>
    </w:lvl>
    <w:lvl w:ilvl="3" w:tplc="AE127D14">
      <w:numFmt w:val="decimal"/>
      <w:lvlText w:val=""/>
      <w:lvlJc w:val="left"/>
    </w:lvl>
    <w:lvl w:ilvl="4" w:tplc="05806296">
      <w:numFmt w:val="decimal"/>
      <w:lvlText w:val=""/>
      <w:lvlJc w:val="left"/>
    </w:lvl>
    <w:lvl w:ilvl="5" w:tplc="9648F1A4">
      <w:numFmt w:val="decimal"/>
      <w:lvlText w:val=""/>
      <w:lvlJc w:val="left"/>
    </w:lvl>
    <w:lvl w:ilvl="6" w:tplc="D65C44FC">
      <w:numFmt w:val="decimal"/>
      <w:lvlText w:val=""/>
      <w:lvlJc w:val="left"/>
    </w:lvl>
    <w:lvl w:ilvl="7" w:tplc="D3EE0B72">
      <w:numFmt w:val="decimal"/>
      <w:lvlText w:val=""/>
      <w:lvlJc w:val="left"/>
    </w:lvl>
    <w:lvl w:ilvl="8" w:tplc="85824622">
      <w:numFmt w:val="decimal"/>
      <w:lvlText w:val=""/>
      <w:lvlJc w:val="left"/>
    </w:lvl>
  </w:abstractNum>
  <w:abstractNum w:abstractNumId="12" w15:restartNumberingAfterBreak="0">
    <w:nsid w:val="00006BFC"/>
    <w:multiLevelType w:val="hybridMultilevel"/>
    <w:tmpl w:val="67023DE4"/>
    <w:lvl w:ilvl="0" w:tplc="9F4836E8">
      <w:start w:val="4"/>
      <w:numFmt w:val="lowerLetter"/>
      <w:lvlText w:val="(%1)"/>
      <w:lvlJc w:val="left"/>
    </w:lvl>
    <w:lvl w:ilvl="1" w:tplc="B476A4D4">
      <w:start w:val="1"/>
      <w:numFmt w:val="decimal"/>
      <w:lvlText w:val="(%2)"/>
      <w:lvlJc w:val="left"/>
    </w:lvl>
    <w:lvl w:ilvl="2" w:tplc="07801804">
      <w:start w:val="1"/>
      <w:numFmt w:val="upperLetter"/>
      <w:lvlText w:val="%3"/>
      <w:lvlJc w:val="left"/>
    </w:lvl>
    <w:lvl w:ilvl="3" w:tplc="C8225360">
      <w:numFmt w:val="decimal"/>
      <w:lvlText w:val=""/>
      <w:lvlJc w:val="left"/>
    </w:lvl>
    <w:lvl w:ilvl="4" w:tplc="1BAAC6BC">
      <w:numFmt w:val="decimal"/>
      <w:lvlText w:val=""/>
      <w:lvlJc w:val="left"/>
    </w:lvl>
    <w:lvl w:ilvl="5" w:tplc="AD984832">
      <w:numFmt w:val="decimal"/>
      <w:lvlText w:val=""/>
      <w:lvlJc w:val="left"/>
    </w:lvl>
    <w:lvl w:ilvl="6" w:tplc="218A2046">
      <w:numFmt w:val="decimal"/>
      <w:lvlText w:val=""/>
      <w:lvlJc w:val="left"/>
    </w:lvl>
    <w:lvl w:ilvl="7" w:tplc="9076732E">
      <w:numFmt w:val="decimal"/>
      <w:lvlText w:val=""/>
      <w:lvlJc w:val="left"/>
    </w:lvl>
    <w:lvl w:ilvl="8" w:tplc="28D832C2">
      <w:numFmt w:val="decimal"/>
      <w:lvlText w:val=""/>
      <w:lvlJc w:val="left"/>
    </w:lvl>
  </w:abstractNum>
  <w:abstractNum w:abstractNumId="13" w15:restartNumberingAfterBreak="0">
    <w:nsid w:val="00006E5D"/>
    <w:multiLevelType w:val="hybridMultilevel"/>
    <w:tmpl w:val="05F61D0A"/>
    <w:lvl w:ilvl="0" w:tplc="82BE1178">
      <w:start w:val="1"/>
      <w:numFmt w:val="decimal"/>
      <w:lvlText w:val="%1"/>
      <w:lvlJc w:val="left"/>
    </w:lvl>
    <w:lvl w:ilvl="1" w:tplc="858024D8">
      <w:start w:val="3"/>
      <w:numFmt w:val="upperLetter"/>
      <w:lvlText w:val="(%2)"/>
      <w:lvlJc w:val="left"/>
    </w:lvl>
    <w:lvl w:ilvl="2" w:tplc="CC5EAA3E">
      <w:start w:val="1"/>
      <w:numFmt w:val="lowerRoman"/>
      <w:lvlText w:val="%3"/>
      <w:lvlJc w:val="left"/>
    </w:lvl>
    <w:lvl w:ilvl="3" w:tplc="7B9A4D54">
      <w:numFmt w:val="decimal"/>
      <w:lvlText w:val=""/>
      <w:lvlJc w:val="left"/>
    </w:lvl>
    <w:lvl w:ilvl="4" w:tplc="0B46FFE2">
      <w:numFmt w:val="decimal"/>
      <w:lvlText w:val=""/>
      <w:lvlJc w:val="left"/>
    </w:lvl>
    <w:lvl w:ilvl="5" w:tplc="2C14638A">
      <w:numFmt w:val="decimal"/>
      <w:lvlText w:val=""/>
      <w:lvlJc w:val="left"/>
    </w:lvl>
    <w:lvl w:ilvl="6" w:tplc="259675DA">
      <w:numFmt w:val="decimal"/>
      <w:lvlText w:val=""/>
      <w:lvlJc w:val="left"/>
    </w:lvl>
    <w:lvl w:ilvl="7" w:tplc="8C1A4916">
      <w:numFmt w:val="decimal"/>
      <w:lvlText w:val=""/>
      <w:lvlJc w:val="left"/>
    </w:lvl>
    <w:lvl w:ilvl="8" w:tplc="4880D3D0">
      <w:numFmt w:val="decimal"/>
      <w:lvlText w:val=""/>
      <w:lvlJc w:val="left"/>
    </w:lvl>
  </w:abstractNum>
  <w:abstractNum w:abstractNumId="14" w15:restartNumberingAfterBreak="0">
    <w:nsid w:val="0000767D"/>
    <w:multiLevelType w:val="hybridMultilevel"/>
    <w:tmpl w:val="2C2CF4E0"/>
    <w:lvl w:ilvl="0" w:tplc="E82428C4">
      <w:start w:val="2"/>
      <w:numFmt w:val="decimal"/>
      <w:lvlText w:val="%1."/>
      <w:lvlJc w:val="left"/>
    </w:lvl>
    <w:lvl w:ilvl="1" w:tplc="5DC82F2E">
      <w:start w:val="1"/>
      <w:numFmt w:val="lowerLetter"/>
      <w:lvlText w:val="%2."/>
      <w:lvlJc w:val="left"/>
    </w:lvl>
    <w:lvl w:ilvl="2" w:tplc="3F343B20">
      <w:numFmt w:val="decimal"/>
      <w:lvlText w:val=""/>
      <w:lvlJc w:val="left"/>
    </w:lvl>
    <w:lvl w:ilvl="3" w:tplc="B0F2B810">
      <w:numFmt w:val="decimal"/>
      <w:lvlText w:val=""/>
      <w:lvlJc w:val="left"/>
    </w:lvl>
    <w:lvl w:ilvl="4" w:tplc="CE18191E">
      <w:numFmt w:val="decimal"/>
      <w:lvlText w:val=""/>
      <w:lvlJc w:val="left"/>
    </w:lvl>
    <w:lvl w:ilvl="5" w:tplc="F6B2CC14">
      <w:numFmt w:val="decimal"/>
      <w:lvlText w:val=""/>
      <w:lvlJc w:val="left"/>
    </w:lvl>
    <w:lvl w:ilvl="6" w:tplc="C90428D0">
      <w:numFmt w:val="decimal"/>
      <w:lvlText w:val=""/>
      <w:lvlJc w:val="left"/>
    </w:lvl>
    <w:lvl w:ilvl="7" w:tplc="3DFC4796">
      <w:numFmt w:val="decimal"/>
      <w:lvlText w:val=""/>
      <w:lvlJc w:val="left"/>
    </w:lvl>
    <w:lvl w:ilvl="8" w:tplc="BDE8EF58">
      <w:numFmt w:val="decimal"/>
      <w:lvlText w:val=""/>
      <w:lvlJc w:val="left"/>
    </w:lvl>
  </w:abstractNum>
  <w:abstractNum w:abstractNumId="15" w15:restartNumberingAfterBreak="0">
    <w:nsid w:val="00007F96"/>
    <w:multiLevelType w:val="hybridMultilevel"/>
    <w:tmpl w:val="99B8C376"/>
    <w:lvl w:ilvl="0" w:tplc="FF70F900">
      <w:start w:val="1"/>
      <w:numFmt w:val="lowerLetter"/>
      <w:lvlText w:val="%1"/>
      <w:lvlJc w:val="left"/>
    </w:lvl>
    <w:lvl w:ilvl="1" w:tplc="2DEE73CA">
      <w:start w:val="2"/>
      <w:numFmt w:val="decimal"/>
      <w:lvlText w:val="(%2)"/>
      <w:lvlJc w:val="left"/>
    </w:lvl>
    <w:lvl w:ilvl="2" w:tplc="A51CD042">
      <w:start w:val="1"/>
      <w:numFmt w:val="upperLetter"/>
      <w:lvlText w:val="%3"/>
      <w:lvlJc w:val="left"/>
    </w:lvl>
    <w:lvl w:ilvl="3" w:tplc="248A2DE2">
      <w:numFmt w:val="decimal"/>
      <w:lvlText w:val=""/>
      <w:lvlJc w:val="left"/>
    </w:lvl>
    <w:lvl w:ilvl="4" w:tplc="AAE82142">
      <w:numFmt w:val="decimal"/>
      <w:lvlText w:val=""/>
      <w:lvlJc w:val="left"/>
    </w:lvl>
    <w:lvl w:ilvl="5" w:tplc="41DABF6E">
      <w:numFmt w:val="decimal"/>
      <w:lvlText w:val=""/>
      <w:lvlJc w:val="left"/>
    </w:lvl>
    <w:lvl w:ilvl="6" w:tplc="70FCF060">
      <w:numFmt w:val="decimal"/>
      <w:lvlText w:val=""/>
      <w:lvlJc w:val="left"/>
    </w:lvl>
    <w:lvl w:ilvl="7" w:tplc="42A2D246">
      <w:numFmt w:val="decimal"/>
      <w:lvlText w:val=""/>
      <w:lvlJc w:val="left"/>
    </w:lvl>
    <w:lvl w:ilvl="8" w:tplc="82963446">
      <w:numFmt w:val="decimal"/>
      <w:lvlText w:val=""/>
      <w:lvlJc w:val="left"/>
    </w:lvl>
  </w:abstractNum>
  <w:abstractNum w:abstractNumId="16" w15:restartNumberingAfterBreak="0">
    <w:nsid w:val="00007FF5"/>
    <w:multiLevelType w:val="hybridMultilevel"/>
    <w:tmpl w:val="7BE8D830"/>
    <w:lvl w:ilvl="0" w:tplc="57E6A60A">
      <w:start w:val="6"/>
      <w:numFmt w:val="lowerLetter"/>
      <w:lvlText w:val="(%1)"/>
      <w:lvlJc w:val="left"/>
    </w:lvl>
    <w:lvl w:ilvl="1" w:tplc="600AF2E4">
      <w:start w:val="1"/>
      <w:numFmt w:val="decimal"/>
      <w:lvlText w:val="(%2)"/>
      <w:lvlJc w:val="left"/>
    </w:lvl>
    <w:lvl w:ilvl="2" w:tplc="98383A78">
      <w:start w:val="1"/>
      <w:numFmt w:val="upperLetter"/>
      <w:lvlText w:val="(%3)"/>
      <w:lvlJc w:val="left"/>
    </w:lvl>
    <w:lvl w:ilvl="3" w:tplc="86E6CCAE">
      <w:numFmt w:val="decimal"/>
      <w:lvlText w:val=""/>
      <w:lvlJc w:val="left"/>
    </w:lvl>
    <w:lvl w:ilvl="4" w:tplc="E676E4C2">
      <w:numFmt w:val="decimal"/>
      <w:lvlText w:val=""/>
      <w:lvlJc w:val="left"/>
    </w:lvl>
    <w:lvl w:ilvl="5" w:tplc="69405384">
      <w:numFmt w:val="decimal"/>
      <w:lvlText w:val=""/>
      <w:lvlJc w:val="left"/>
    </w:lvl>
    <w:lvl w:ilvl="6" w:tplc="4C20ECC0">
      <w:numFmt w:val="decimal"/>
      <w:lvlText w:val=""/>
      <w:lvlJc w:val="left"/>
    </w:lvl>
    <w:lvl w:ilvl="7" w:tplc="185497CA">
      <w:numFmt w:val="decimal"/>
      <w:lvlText w:val=""/>
      <w:lvlJc w:val="left"/>
    </w:lvl>
    <w:lvl w:ilvl="8" w:tplc="8F482C3A">
      <w:numFmt w:val="decimal"/>
      <w:lvlText w:val=""/>
      <w:lvlJc w:val="left"/>
    </w:lvl>
  </w:abstractNum>
  <w:abstractNum w:abstractNumId="17" w15:restartNumberingAfterBreak="0">
    <w:nsid w:val="02622840"/>
    <w:multiLevelType w:val="hybridMultilevel"/>
    <w:tmpl w:val="FC82BE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7C0886"/>
    <w:multiLevelType w:val="hybridMultilevel"/>
    <w:tmpl w:val="5CFC9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E37317"/>
    <w:multiLevelType w:val="hybridMultilevel"/>
    <w:tmpl w:val="626AFF66"/>
    <w:lvl w:ilvl="0" w:tplc="AD82FC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6E6F75"/>
    <w:multiLevelType w:val="hybridMultilevel"/>
    <w:tmpl w:val="F6DE6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A842C13"/>
    <w:multiLevelType w:val="hybridMultilevel"/>
    <w:tmpl w:val="4614E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C8459E1"/>
    <w:multiLevelType w:val="hybridMultilevel"/>
    <w:tmpl w:val="D138E550"/>
    <w:lvl w:ilvl="0" w:tplc="2ACA1154">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12CE14FA"/>
    <w:multiLevelType w:val="hybridMultilevel"/>
    <w:tmpl w:val="0C22C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F93F74"/>
    <w:multiLevelType w:val="hybridMultilevel"/>
    <w:tmpl w:val="2C5A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0C0A14"/>
    <w:multiLevelType w:val="hybridMultilevel"/>
    <w:tmpl w:val="9D0C814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4311FA8"/>
    <w:multiLevelType w:val="hybridMultilevel"/>
    <w:tmpl w:val="6890D0D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45454C4"/>
    <w:multiLevelType w:val="hybridMultilevel"/>
    <w:tmpl w:val="04FA2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082E7D"/>
    <w:multiLevelType w:val="hybridMultilevel"/>
    <w:tmpl w:val="412A7112"/>
    <w:lvl w:ilvl="0" w:tplc="2C1A36AE">
      <w:start w:val="1"/>
      <w:numFmt w:val="upperLetter"/>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030F9B"/>
    <w:multiLevelType w:val="hybridMultilevel"/>
    <w:tmpl w:val="F8822D0C"/>
    <w:lvl w:ilvl="0" w:tplc="36A824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2B66F9"/>
    <w:multiLevelType w:val="hybridMultilevel"/>
    <w:tmpl w:val="5B7CF6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40D1D3E"/>
    <w:multiLevelType w:val="hybridMultilevel"/>
    <w:tmpl w:val="15A0EB6A"/>
    <w:lvl w:ilvl="0" w:tplc="01F8EA62">
      <w:start w:val="1"/>
      <w:numFmt w:val="bullet"/>
      <w:lvlText w:val="•"/>
      <w:lvlJc w:val="left"/>
      <w:pPr>
        <w:tabs>
          <w:tab w:val="num" w:pos="720"/>
        </w:tabs>
        <w:ind w:left="720" w:hanging="360"/>
      </w:pPr>
      <w:rPr>
        <w:rFonts w:ascii="Arial" w:hAnsi="Arial" w:hint="default"/>
      </w:rPr>
    </w:lvl>
    <w:lvl w:ilvl="1" w:tplc="3214AE98">
      <w:numFmt w:val="bullet"/>
      <w:lvlText w:val="–"/>
      <w:lvlJc w:val="left"/>
      <w:pPr>
        <w:tabs>
          <w:tab w:val="num" w:pos="1440"/>
        </w:tabs>
        <w:ind w:left="1440" w:hanging="360"/>
      </w:pPr>
      <w:rPr>
        <w:rFonts w:ascii="Arial" w:hAnsi="Arial" w:hint="default"/>
      </w:rPr>
    </w:lvl>
    <w:lvl w:ilvl="2" w:tplc="952649A0" w:tentative="1">
      <w:start w:val="1"/>
      <w:numFmt w:val="bullet"/>
      <w:lvlText w:val="•"/>
      <w:lvlJc w:val="left"/>
      <w:pPr>
        <w:tabs>
          <w:tab w:val="num" w:pos="2160"/>
        </w:tabs>
        <w:ind w:left="2160" w:hanging="360"/>
      </w:pPr>
      <w:rPr>
        <w:rFonts w:ascii="Arial" w:hAnsi="Arial" w:hint="default"/>
      </w:rPr>
    </w:lvl>
    <w:lvl w:ilvl="3" w:tplc="E4AE625E" w:tentative="1">
      <w:start w:val="1"/>
      <w:numFmt w:val="bullet"/>
      <w:lvlText w:val="•"/>
      <w:lvlJc w:val="left"/>
      <w:pPr>
        <w:tabs>
          <w:tab w:val="num" w:pos="2880"/>
        </w:tabs>
        <w:ind w:left="2880" w:hanging="360"/>
      </w:pPr>
      <w:rPr>
        <w:rFonts w:ascii="Arial" w:hAnsi="Arial" w:hint="default"/>
      </w:rPr>
    </w:lvl>
    <w:lvl w:ilvl="4" w:tplc="0BC0437E" w:tentative="1">
      <w:start w:val="1"/>
      <w:numFmt w:val="bullet"/>
      <w:lvlText w:val="•"/>
      <w:lvlJc w:val="left"/>
      <w:pPr>
        <w:tabs>
          <w:tab w:val="num" w:pos="3600"/>
        </w:tabs>
        <w:ind w:left="3600" w:hanging="360"/>
      </w:pPr>
      <w:rPr>
        <w:rFonts w:ascii="Arial" w:hAnsi="Arial" w:hint="default"/>
      </w:rPr>
    </w:lvl>
    <w:lvl w:ilvl="5" w:tplc="B7D85F80" w:tentative="1">
      <w:start w:val="1"/>
      <w:numFmt w:val="bullet"/>
      <w:lvlText w:val="•"/>
      <w:lvlJc w:val="left"/>
      <w:pPr>
        <w:tabs>
          <w:tab w:val="num" w:pos="4320"/>
        </w:tabs>
        <w:ind w:left="4320" w:hanging="360"/>
      </w:pPr>
      <w:rPr>
        <w:rFonts w:ascii="Arial" w:hAnsi="Arial" w:hint="default"/>
      </w:rPr>
    </w:lvl>
    <w:lvl w:ilvl="6" w:tplc="0F6266E2" w:tentative="1">
      <w:start w:val="1"/>
      <w:numFmt w:val="bullet"/>
      <w:lvlText w:val="•"/>
      <w:lvlJc w:val="left"/>
      <w:pPr>
        <w:tabs>
          <w:tab w:val="num" w:pos="5040"/>
        </w:tabs>
        <w:ind w:left="5040" w:hanging="360"/>
      </w:pPr>
      <w:rPr>
        <w:rFonts w:ascii="Arial" w:hAnsi="Arial" w:hint="default"/>
      </w:rPr>
    </w:lvl>
    <w:lvl w:ilvl="7" w:tplc="5DB66918" w:tentative="1">
      <w:start w:val="1"/>
      <w:numFmt w:val="bullet"/>
      <w:lvlText w:val="•"/>
      <w:lvlJc w:val="left"/>
      <w:pPr>
        <w:tabs>
          <w:tab w:val="num" w:pos="5760"/>
        </w:tabs>
        <w:ind w:left="5760" w:hanging="360"/>
      </w:pPr>
      <w:rPr>
        <w:rFonts w:ascii="Arial" w:hAnsi="Arial" w:hint="default"/>
      </w:rPr>
    </w:lvl>
    <w:lvl w:ilvl="8" w:tplc="38D24C9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5DF61B8"/>
    <w:multiLevelType w:val="hybridMultilevel"/>
    <w:tmpl w:val="0E227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6DF476F"/>
    <w:multiLevelType w:val="hybridMultilevel"/>
    <w:tmpl w:val="64F21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9B347F7"/>
    <w:multiLevelType w:val="hybridMultilevel"/>
    <w:tmpl w:val="12908388"/>
    <w:lvl w:ilvl="0" w:tplc="CA3E522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A260608"/>
    <w:multiLevelType w:val="hybridMultilevel"/>
    <w:tmpl w:val="3DD8D81E"/>
    <w:lvl w:ilvl="0" w:tplc="B056543C">
      <w:start w:val="1"/>
      <w:numFmt w:val="decimal"/>
      <w:lvlText w:val="%1."/>
      <w:lvlJc w:val="left"/>
      <w:pPr>
        <w:ind w:left="1440" w:hanging="360"/>
      </w:pPr>
      <w:rPr>
        <w:rFonts w:hint="default"/>
        <w:b/>
        <w:bCs/>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D761385"/>
    <w:multiLevelType w:val="hybridMultilevel"/>
    <w:tmpl w:val="1F72C870"/>
    <w:lvl w:ilvl="0" w:tplc="2ACA1154">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E3C4DEC"/>
    <w:multiLevelType w:val="hybridMultilevel"/>
    <w:tmpl w:val="FE7C7FD4"/>
    <w:lvl w:ilvl="0" w:tplc="6414D2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F69503C"/>
    <w:multiLevelType w:val="hybridMultilevel"/>
    <w:tmpl w:val="BEB49316"/>
    <w:lvl w:ilvl="0" w:tplc="31920566">
      <w:start w:val="1"/>
      <w:numFmt w:val="bullet"/>
      <w:lvlText w:val="•"/>
      <w:lvlJc w:val="left"/>
      <w:pPr>
        <w:tabs>
          <w:tab w:val="num" w:pos="720"/>
        </w:tabs>
        <w:ind w:left="720" w:hanging="360"/>
      </w:pPr>
      <w:rPr>
        <w:rFonts w:ascii="Arial" w:hAnsi="Arial" w:hint="default"/>
      </w:rPr>
    </w:lvl>
    <w:lvl w:ilvl="1" w:tplc="8DFEE1EE" w:tentative="1">
      <w:start w:val="1"/>
      <w:numFmt w:val="bullet"/>
      <w:lvlText w:val="•"/>
      <w:lvlJc w:val="left"/>
      <w:pPr>
        <w:tabs>
          <w:tab w:val="num" w:pos="1440"/>
        </w:tabs>
        <w:ind w:left="1440" w:hanging="360"/>
      </w:pPr>
      <w:rPr>
        <w:rFonts w:ascii="Arial" w:hAnsi="Arial" w:hint="default"/>
      </w:rPr>
    </w:lvl>
    <w:lvl w:ilvl="2" w:tplc="E20EBE08" w:tentative="1">
      <w:start w:val="1"/>
      <w:numFmt w:val="bullet"/>
      <w:lvlText w:val="•"/>
      <w:lvlJc w:val="left"/>
      <w:pPr>
        <w:tabs>
          <w:tab w:val="num" w:pos="2160"/>
        </w:tabs>
        <w:ind w:left="2160" w:hanging="360"/>
      </w:pPr>
      <w:rPr>
        <w:rFonts w:ascii="Arial" w:hAnsi="Arial" w:hint="default"/>
      </w:rPr>
    </w:lvl>
    <w:lvl w:ilvl="3" w:tplc="BDEEFED2" w:tentative="1">
      <w:start w:val="1"/>
      <w:numFmt w:val="bullet"/>
      <w:lvlText w:val="•"/>
      <w:lvlJc w:val="left"/>
      <w:pPr>
        <w:tabs>
          <w:tab w:val="num" w:pos="2880"/>
        </w:tabs>
        <w:ind w:left="2880" w:hanging="360"/>
      </w:pPr>
      <w:rPr>
        <w:rFonts w:ascii="Arial" w:hAnsi="Arial" w:hint="default"/>
      </w:rPr>
    </w:lvl>
    <w:lvl w:ilvl="4" w:tplc="6530510E" w:tentative="1">
      <w:start w:val="1"/>
      <w:numFmt w:val="bullet"/>
      <w:lvlText w:val="•"/>
      <w:lvlJc w:val="left"/>
      <w:pPr>
        <w:tabs>
          <w:tab w:val="num" w:pos="3600"/>
        </w:tabs>
        <w:ind w:left="3600" w:hanging="360"/>
      </w:pPr>
      <w:rPr>
        <w:rFonts w:ascii="Arial" w:hAnsi="Arial" w:hint="default"/>
      </w:rPr>
    </w:lvl>
    <w:lvl w:ilvl="5" w:tplc="EFB0D0EC" w:tentative="1">
      <w:start w:val="1"/>
      <w:numFmt w:val="bullet"/>
      <w:lvlText w:val="•"/>
      <w:lvlJc w:val="left"/>
      <w:pPr>
        <w:tabs>
          <w:tab w:val="num" w:pos="4320"/>
        </w:tabs>
        <w:ind w:left="4320" w:hanging="360"/>
      </w:pPr>
      <w:rPr>
        <w:rFonts w:ascii="Arial" w:hAnsi="Arial" w:hint="default"/>
      </w:rPr>
    </w:lvl>
    <w:lvl w:ilvl="6" w:tplc="6818E4E6" w:tentative="1">
      <w:start w:val="1"/>
      <w:numFmt w:val="bullet"/>
      <w:lvlText w:val="•"/>
      <w:lvlJc w:val="left"/>
      <w:pPr>
        <w:tabs>
          <w:tab w:val="num" w:pos="5040"/>
        </w:tabs>
        <w:ind w:left="5040" w:hanging="360"/>
      </w:pPr>
      <w:rPr>
        <w:rFonts w:ascii="Arial" w:hAnsi="Arial" w:hint="default"/>
      </w:rPr>
    </w:lvl>
    <w:lvl w:ilvl="7" w:tplc="0E74D28C" w:tentative="1">
      <w:start w:val="1"/>
      <w:numFmt w:val="bullet"/>
      <w:lvlText w:val="•"/>
      <w:lvlJc w:val="left"/>
      <w:pPr>
        <w:tabs>
          <w:tab w:val="num" w:pos="5760"/>
        </w:tabs>
        <w:ind w:left="5760" w:hanging="360"/>
      </w:pPr>
      <w:rPr>
        <w:rFonts w:ascii="Arial" w:hAnsi="Arial" w:hint="default"/>
      </w:rPr>
    </w:lvl>
    <w:lvl w:ilvl="8" w:tplc="FA36837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3055C3D"/>
    <w:multiLevelType w:val="hybridMultilevel"/>
    <w:tmpl w:val="D5BC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E81C25"/>
    <w:multiLevelType w:val="hybridMultilevel"/>
    <w:tmpl w:val="0E82D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6A3239D"/>
    <w:multiLevelType w:val="hybridMultilevel"/>
    <w:tmpl w:val="909E75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B43CB9"/>
    <w:multiLevelType w:val="hybridMultilevel"/>
    <w:tmpl w:val="BDBEAD18"/>
    <w:lvl w:ilvl="0" w:tplc="DEE20C9A">
      <w:start w:val="1"/>
      <w:numFmt w:val="decimal"/>
      <w:lvlText w:val="%1."/>
      <w:lvlJc w:val="left"/>
      <w:pPr>
        <w:ind w:left="720" w:hanging="360"/>
      </w:pPr>
      <w:rPr>
        <w:rFonts w:hint="default"/>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2927F5"/>
    <w:multiLevelType w:val="hybridMultilevel"/>
    <w:tmpl w:val="BBB4611C"/>
    <w:lvl w:ilvl="0" w:tplc="B5389D58">
      <w:start w:val="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9E80B3E"/>
    <w:multiLevelType w:val="hybridMultilevel"/>
    <w:tmpl w:val="07E8C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FD2190"/>
    <w:multiLevelType w:val="hybridMultilevel"/>
    <w:tmpl w:val="A554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F55709"/>
    <w:multiLevelType w:val="hybridMultilevel"/>
    <w:tmpl w:val="8BCA2A00"/>
    <w:lvl w:ilvl="0" w:tplc="04A0E00C">
      <w:start w:val="1"/>
      <w:numFmt w:val="upperLetter"/>
      <w:lvlText w:val="(%1)"/>
      <w:lvlJc w:val="left"/>
      <w:pPr>
        <w:ind w:left="1440" w:firstLine="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4C5B779E"/>
    <w:multiLevelType w:val="hybridMultilevel"/>
    <w:tmpl w:val="3A70574E"/>
    <w:lvl w:ilvl="0" w:tplc="313E5E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771640"/>
    <w:multiLevelType w:val="hybridMultilevel"/>
    <w:tmpl w:val="11E2716A"/>
    <w:lvl w:ilvl="0" w:tplc="55782CFC">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DD0B75"/>
    <w:multiLevelType w:val="hybridMultilevel"/>
    <w:tmpl w:val="70A03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BB1539F"/>
    <w:multiLevelType w:val="hybridMultilevel"/>
    <w:tmpl w:val="7C207A4A"/>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51" w15:restartNumberingAfterBreak="0">
    <w:nsid w:val="5CF915C9"/>
    <w:multiLevelType w:val="hybridMultilevel"/>
    <w:tmpl w:val="E7D0B2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15:restartNumberingAfterBreak="0">
    <w:nsid w:val="5D166A7B"/>
    <w:multiLevelType w:val="hybridMultilevel"/>
    <w:tmpl w:val="9D50A2BA"/>
    <w:lvl w:ilvl="0" w:tplc="2ACA1154">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F1B4A1E"/>
    <w:multiLevelType w:val="hybridMultilevel"/>
    <w:tmpl w:val="F59ADF52"/>
    <w:lvl w:ilvl="0" w:tplc="36A82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F396102"/>
    <w:multiLevelType w:val="hybridMultilevel"/>
    <w:tmpl w:val="98EC34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D93CBC"/>
    <w:multiLevelType w:val="hybridMultilevel"/>
    <w:tmpl w:val="5D481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4A4449D"/>
    <w:multiLevelType w:val="hybridMultilevel"/>
    <w:tmpl w:val="13CE3DE6"/>
    <w:lvl w:ilvl="0" w:tplc="F4C24D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58030AA"/>
    <w:multiLevelType w:val="hybridMultilevel"/>
    <w:tmpl w:val="4A28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43775B"/>
    <w:multiLevelType w:val="hybridMultilevel"/>
    <w:tmpl w:val="FD5699C6"/>
    <w:lvl w:ilvl="0" w:tplc="A57290A8">
      <w:start w:val="1"/>
      <w:numFmt w:val="decimal"/>
      <w:lvlText w:val="%1)"/>
      <w:lvlJc w:val="left"/>
      <w:pPr>
        <w:ind w:left="1080" w:hanging="360"/>
      </w:pPr>
      <w:rPr>
        <w:rFonts w:ascii="Times New Roman" w:hAnsi="Times New Roman"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7C3679F"/>
    <w:multiLevelType w:val="hybridMultilevel"/>
    <w:tmpl w:val="ABDC8AC4"/>
    <w:lvl w:ilvl="0" w:tplc="F09E7A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D06E14"/>
    <w:multiLevelType w:val="hybridMultilevel"/>
    <w:tmpl w:val="3B848AB2"/>
    <w:lvl w:ilvl="0" w:tplc="54EA311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7D75F2D"/>
    <w:multiLevelType w:val="hybridMultilevel"/>
    <w:tmpl w:val="809A00B2"/>
    <w:lvl w:ilvl="0" w:tplc="0BE6BC3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A0465DA"/>
    <w:multiLevelType w:val="multilevel"/>
    <w:tmpl w:val="686C8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AC37C51"/>
    <w:multiLevelType w:val="hybridMultilevel"/>
    <w:tmpl w:val="18D0253A"/>
    <w:lvl w:ilvl="0" w:tplc="832A43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B06803"/>
    <w:multiLevelType w:val="hybridMultilevel"/>
    <w:tmpl w:val="25A80E54"/>
    <w:lvl w:ilvl="0" w:tplc="04090001">
      <w:start w:val="1"/>
      <w:numFmt w:val="bullet"/>
      <w:lvlText w:val=""/>
      <w:lvlJc w:val="left"/>
      <w:pPr>
        <w:ind w:left="1622" w:hanging="360"/>
      </w:pPr>
      <w:rPr>
        <w:rFonts w:ascii="Symbol" w:hAnsi="Symbol" w:hint="default"/>
      </w:rPr>
    </w:lvl>
    <w:lvl w:ilvl="1" w:tplc="04090003">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65" w15:restartNumberingAfterBreak="0">
    <w:nsid w:val="75EB7DD9"/>
    <w:multiLevelType w:val="hybridMultilevel"/>
    <w:tmpl w:val="543CE608"/>
    <w:lvl w:ilvl="0" w:tplc="4CE44E54">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A7E0BA9"/>
    <w:multiLevelType w:val="hybridMultilevel"/>
    <w:tmpl w:val="34A883D6"/>
    <w:lvl w:ilvl="0" w:tplc="36A82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5136198">
    <w:abstractNumId w:val="47"/>
  </w:num>
  <w:num w:numId="2" w16cid:durableId="1707291323">
    <w:abstractNumId w:val="19"/>
  </w:num>
  <w:num w:numId="3" w16cid:durableId="1029525312">
    <w:abstractNumId w:val="42"/>
  </w:num>
  <w:num w:numId="4" w16cid:durableId="1634368541">
    <w:abstractNumId w:val="64"/>
  </w:num>
  <w:num w:numId="5" w16cid:durableId="1720862531">
    <w:abstractNumId w:val="24"/>
  </w:num>
  <w:num w:numId="6" w16cid:durableId="521476632">
    <w:abstractNumId w:val="17"/>
  </w:num>
  <w:num w:numId="7" w16cid:durableId="991373274">
    <w:abstractNumId w:val="23"/>
  </w:num>
  <w:num w:numId="8" w16cid:durableId="1799763163">
    <w:abstractNumId w:val="41"/>
  </w:num>
  <w:num w:numId="9" w16cid:durableId="1758865883">
    <w:abstractNumId w:val="58"/>
  </w:num>
  <w:num w:numId="10" w16cid:durableId="1631276577">
    <w:abstractNumId w:val="39"/>
  </w:num>
  <w:num w:numId="11" w16cid:durableId="356583039">
    <w:abstractNumId w:val="54"/>
  </w:num>
  <w:num w:numId="12" w16cid:durableId="702630024">
    <w:abstractNumId w:val="29"/>
  </w:num>
  <w:num w:numId="13" w16cid:durableId="167671657">
    <w:abstractNumId w:val="57"/>
  </w:num>
  <w:num w:numId="14" w16cid:durableId="547571133">
    <w:abstractNumId w:val="66"/>
  </w:num>
  <w:num w:numId="15" w16cid:durableId="510728791">
    <w:abstractNumId w:val="50"/>
  </w:num>
  <w:num w:numId="16" w16cid:durableId="820271307">
    <w:abstractNumId w:val="53"/>
  </w:num>
  <w:num w:numId="17" w16cid:durableId="1777556554">
    <w:abstractNumId w:val="31"/>
  </w:num>
  <w:num w:numId="18" w16cid:durableId="191651665">
    <w:abstractNumId w:val="65"/>
  </w:num>
  <w:num w:numId="19" w16cid:durableId="652567623">
    <w:abstractNumId w:val="56"/>
  </w:num>
  <w:num w:numId="20" w16cid:durableId="1023361770">
    <w:abstractNumId w:val="34"/>
  </w:num>
  <w:num w:numId="21" w16cid:durableId="1230530297">
    <w:abstractNumId w:val="35"/>
  </w:num>
  <w:num w:numId="22" w16cid:durableId="607275461">
    <w:abstractNumId w:val="45"/>
  </w:num>
  <w:num w:numId="23" w16cid:durableId="501892093">
    <w:abstractNumId w:val="37"/>
  </w:num>
  <w:num w:numId="24" w16cid:durableId="1859813223">
    <w:abstractNumId w:val="59"/>
  </w:num>
  <w:num w:numId="25" w16cid:durableId="983311852">
    <w:abstractNumId w:val="25"/>
  </w:num>
  <w:num w:numId="26" w16cid:durableId="8147454">
    <w:abstractNumId w:val="26"/>
  </w:num>
  <w:num w:numId="27" w16cid:durableId="565065595">
    <w:abstractNumId w:val="38"/>
  </w:num>
  <w:num w:numId="28" w16cid:durableId="32005398">
    <w:abstractNumId w:val="32"/>
  </w:num>
  <w:num w:numId="29" w16cid:durableId="1228758619">
    <w:abstractNumId w:val="40"/>
  </w:num>
  <w:num w:numId="30" w16cid:durableId="2044481624">
    <w:abstractNumId w:val="55"/>
  </w:num>
  <w:num w:numId="31" w16cid:durableId="1841504193">
    <w:abstractNumId w:val="49"/>
  </w:num>
  <w:num w:numId="32" w16cid:durableId="701514183">
    <w:abstractNumId w:val="27"/>
  </w:num>
  <w:num w:numId="33" w16cid:durableId="1412195748">
    <w:abstractNumId w:val="20"/>
  </w:num>
  <w:num w:numId="34" w16cid:durableId="358943357">
    <w:abstractNumId w:val="14"/>
  </w:num>
  <w:num w:numId="35" w16cid:durableId="28923128">
    <w:abstractNumId w:val="61"/>
  </w:num>
  <w:num w:numId="36" w16cid:durableId="137109415">
    <w:abstractNumId w:val="44"/>
  </w:num>
  <w:num w:numId="37" w16cid:durableId="1968197334">
    <w:abstractNumId w:val="9"/>
  </w:num>
  <w:num w:numId="38" w16cid:durableId="1364478806">
    <w:abstractNumId w:val="1"/>
  </w:num>
  <w:num w:numId="39" w16cid:durableId="991829606">
    <w:abstractNumId w:val="8"/>
  </w:num>
  <w:num w:numId="40" w16cid:durableId="323701950">
    <w:abstractNumId w:val="3"/>
  </w:num>
  <w:num w:numId="41" w16cid:durableId="63452300">
    <w:abstractNumId w:val="13"/>
  </w:num>
  <w:num w:numId="42" w16cid:durableId="1293248953">
    <w:abstractNumId w:val="2"/>
  </w:num>
  <w:num w:numId="43" w16cid:durableId="490946683">
    <w:abstractNumId w:val="12"/>
  </w:num>
  <w:num w:numId="44" w16cid:durableId="1326786028">
    <w:abstractNumId w:val="15"/>
  </w:num>
  <w:num w:numId="45" w16cid:durableId="604078005">
    <w:abstractNumId w:val="16"/>
  </w:num>
  <w:num w:numId="46" w16cid:durableId="1185903250">
    <w:abstractNumId w:val="10"/>
  </w:num>
  <w:num w:numId="47" w16cid:durableId="236786741">
    <w:abstractNumId w:val="7"/>
  </w:num>
  <w:num w:numId="48" w16cid:durableId="999842970">
    <w:abstractNumId w:val="4"/>
  </w:num>
  <w:num w:numId="49" w16cid:durableId="346635153">
    <w:abstractNumId w:val="5"/>
  </w:num>
  <w:num w:numId="50" w16cid:durableId="818883399">
    <w:abstractNumId w:val="11"/>
  </w:num>
  <w:num w:numId="51" w16cid:durableId="1319385388">
    <w:abstractNumId w:val="0"/>
  </w:num>
  <w:num w:numId="52" w16cid:durableId="905067526">
    <w:abstractNumId w:val="6"/>
  </w:num>
  <w:num w:numId="53" w16cid:durableId="1003046253">
    <w:abstractNumId w:val="28"/>
  </w:num>
  <w:num w:numId="54" w16cid:durableId="1498612927">
    <w:abstractNumId w:val="33"/>
  </w:num>
  <w:num w:numId="55" w16cid:durableId="977415536">
    <w:abstractNumId w:val="51"/>
  </w:num>
  <w:num w:numId="56" w16cid:durableId="1817523629">
    <w:abstractNumId w:val="21"/>
  </w:num>
  <w:num w:numId="57" w16cid:durableId="1475566532">
    <w:abstractNumId w:val="46"/>
  </w:num>
  <w:num w:numId="58" w16cid:durableId="1995335256">
    <w:abstractNumId w:val="36"/>
  </w:num>
  <w:num w:numId="59" w16cid:durableId="1460680911">
    <w:abstractNumId w:val="22"/>
  </w:num>
  <w:num w:numId="60" w16cid:durableId="45759537">
    <w:abstractNumId w:val="52"/>
  </w:num>
  <w:num w:numId="61" w16cid:durableId="188109907">
    <w:abstractNumId w:val="30"/>
  </w:num>
  <w:num w:numId="62" w16cid:durableId="960459366">
    <w:abstractNumId w:val="18"/>
  </w:num>
  <w:num w:numId="63" w16cid:durableId="496847127">
    <w:abstractNumId w:val="62"/>
  </w:num>
  <w:num w:numId="64" w16cid:durableId="854996510">
    <w:abstractNumId w:val="43"/>
  </w:num>
  <w:num w:numId="65" w16cid:durableId="502673361">
    <w:abstractNumId w:val="60"/>
  </w:num>
  <w:num w:numId="66" w16cid:durableId="2092971892">
    <w:abstractNumId w:val="48"/>
  </w:num>
  <w:num w:numId="67" w16cid:durableId="864174626">
    <w:abstractNumId w:val="6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2C"/>
    <w:rsid w:val="00000D3F"/>
    <w:rsid w:val="00004475"/>
    <w:rsid w:val="00005293"/>
    <w:rsid w:val="00011651"/>
    <w:rsid w:val="00011982"/>
    <w:rsid w:val="000124C0"/>
    <w:rsid w:val="0001267D"/>
    <w:rsid w:val="000134D5"/>
    <w:rsid w:val="00014A00"/>
    <w:rsid w:val="00014D09"/>
    <w:rsid w:val="00014FCD"/>
    <w:rsid w:val="00016180"/>
    <w:rsid w:val="000215B9"/>
    <w:rsid w:val="0002383A"/>
    <w:rsid w:val="0002528C"/>
    <w:rsid w:val="000253AC"/>
    <w:rsid w:val="000256EA"/>
    <w:rsid w:val="00025770"/>
    <w:rsid w:val="00026AEF"/>
    <w:rsid w:val="000277FC"/>
    <w:rsid w:val="0002796B"/>
    <w:rsid w:val="00027E68"/>
    <w:rsid w:val="00033000"/>
    <w:rsid w:val="00034AEE"/>
    <w:rsid w:val="000352C9"/>
    <w:rsid w:val="00035DEE"/>
    <w:rsid w:val="00036011"/>
    <w:rsid w:val="00036941"/>
    <w:rsid w:val="00036BDC"/>
    <w:rsid w:val="000401CA"/>
    <w:rsid w:val="00043AC1"/>
    <w:rsid w:val="00044C58"/>
    <w:rsid w:val="00044ECD"/>
    <w:rsid w:val="000458AB"/>
    <w:rsid w:val="00047133"/>
    <w:rsid w:val="00050660"/>
    <w:rsid w:val="00051EDD"/>
    <w:rsid w:val="00052054"/>
    <w:rsid w:val="0005216E"/>
    <w:rsid w:val="00053AD1"/>
    <w:rsid w:val="000557A9"/>
    <w:rsid w:val="000567BE"/>
    <w:rsid w:val="000567F4"/>
    <w:rsid w:val="00056D15"/>
    <w:rsid w:val="00061CE6"/>
    <w:rsid w:val="00063BC3"/>
    <w:rsid w:val="00064B9C"/>
    <w:rsid w:val="00065437"/>
    <w:rsid w:val="00071D19"/>
    <w:rsid w:val="00072077"/>
    <w:rsid w:val="0007595A"/>
    <w:rsid w:val="00075BBA"/>
    <w:rsid w:val="00077A91"/>
    <w:rsid w:val="000815BA"/>
    <w:rsid w:val="00084352"/>
    <w:rsid w:val="0009064B"/>
    <w:rsid w:val="000913C1"/>
    <w:rsid w:val="0009281F"/>
    <w:rsid w:val="0009426D"/>
    <w:rsid w:val="00094A6C"/>
    <w:rsid w:val="00094E30"/>
    <w:rsid w:val="00096BDC"/>
    <w:rsid w:val="0009760C"/>
    <w:rsid w:val="000A13C9"/>
    <w:rsid w:val="000A1A5B"/>
    <w:rsid w:val="000A2A8A"/>
    <w:rsid w:val="000A3D00"/>
    <w:rsid w:val="000A618B"/>
    <w:rsid w:val="000A6695"/>
    <w:rsid w:val="000B019A"/>
    <w:rsid w:val="000B06DA"/>
    <w:rsid w:val="000B2AE6"/>
    <w:rsid w:val="000B2B08"/>
    <w:rsid w:val="000B478C"/>
    <w:rsid w:val="000B5111"/>
    <w:rsid w:val="000B529F"/>
    <w:rsid w:val="000B5702"/>
    <w:rsid w:val="000B6CB9"/>
    <w:rsid w:val="000C03F5"/>
    <w:rsid w:val="000C1286"/>
    <w:rsid w:val="000C3B93"/>
    <w:rsid w:val="000C5020"/>
    <w:rsid w:val="000C58D9"/>
    <w:rsid w:val="000C78F2"/>
    <w:rsid w:val="000C7D26"/>
    <w:rsid w:val="000D2FA4"/>
    <w:rsid w:val="000D40C6"/>
    <w:rsid w:val="000D413B"/>
    <w:rsid w:val="000D4A46"/>
    <w:rsid w:val="000D51A0"/>
    <w:rsid w:val="000D53D6"/>
    <w:rsid w:val="000D72A4"/>
    <w:rsid w:val="000D7472"/>
    <w:rsid w:val="000E1768"/>
    <w:rsid w:val="000E2CFB"/>
    <w:rsid w:val="000E3167"/>
    <w:rsid w:val="000E3A63"/>
    <w:rsid w:val="000E3EF8"/>
    <w:rsid w:val="000E4EE3"/>
    <w:rsid w:val="000E59D5"/>
    <w:rsid w:val="000E75C5"/>
    <w:rsid w:val="000E7EBD"/>
    <w:rsid w:val="000F0489"/>
    <w:rsid w:val="000F15FC"/>
    <w:rsid w:val="000F296A"/>
    <w:rsid w:val="00100327"/>
    <w:rsid w:val="00101D49"/>
    <w:rsid w:val="00102EFC"/>
    <w:rsid w:val="001035A9"/>
    <w:rsid w:val="001061B3"/>
    <w:rsid w:val="00113ABA"/>
    <w:rsid w:val="0011512E"/>
    <w:rsid w:val="00120817"/>
    <w:rsid w:val="00122989"/>
    <w:rsid w:val="00124F50"/>
    <w:rsid w:val="001264DA"/>
    <w:rsid w:val="00126633"/>
    <w:rsid w:val="00126F9F"/>
    <w:rsid w:val="0013131B"/>
    <w:rsid w:val="00133D27"/>
    <w:rsid w:val="001357B3"/>
    <w:rsid w:val="00140A40"/>
    <w:rsid w:val="00140D9F"/>
    <w:rsid w:val="00142A77"/>
    <w:rsid w:val="00143126"/>
    <w:rsid w:val="0014647B"/>
    <w:rsid w:val="00146A41"/>
    <w:rsid w:val="00147BD4"/>
    <w:rsid w:val="001522F7"/>
    <w:rsid w:val="00154117"/>
    <w:rsid w:val="001569EC"/>
    <w:rsid w:val="00156EBA"/>
    <w:rsid w:val="00157DDD"/>
    <w:rsid w:val="00162B5C"/>
    <w:rsid w:val="00162D41"/>
    <w:rsid w:val="0016395E"/>
    <w:rsid w:val="0017428F"/>
    <w:rsid w:val="00174642"/>
    <w:rsid w:val="001746F2"/>
    <w:rsid w:val="00175286"/>
    <w:rsid w:val="00177B68"/>
    <w:rsid w:val="001800CC"/>
    <w:rsid w:val="001846CB"/>
    <w:rsid w:val="0019284D"/>
    <w:rsid w:val="0019396E"/>
    <w:rsid w:val="001A0C3F"/>
    <w:rsid w:val="001A10C4"/>
    <w:rsid w:val="001A18C6"/>
    <w:rsid w:val="001A29F9"/>
    <w:rsid w:val="001A38D4"/>
    <w:rsid w:val="001A52A6"/>
    <w:rsid w:val="001A72F7"/>
    <w:rsid w:val="001B327D"/>
    <w:rsid w:val="001B48FC"/>
    <w:rsid w:val="001B5DEF"/>
    <w:rsid w:val="001B5E4A"/>
    <w:rsid w:val="001B72BE"/>
    <w:rsid w:val="001B7F1E"/>
    <w:rsid w:val="001C0FC7"/>
    <w:rsid w:val="001C4D2E"/>
    <w:rsid w:val="001C4E09"/>
    <w:rsid w:val="001C5479"/>
    <w:rsid w:val="001C5651"/>
    <w:rsid w:val="001C717B"/>
    <w:rsid w:val="001C7A7E"/>
    <w:rsid w:val="001D2144"/>
    <w:rsid w:val="001D3208"/>
    <w:rsid w:val="001D3F9C"/>
    <w:rsid w:val="001D4743"/>
    <w:rsid w:val="001D5955"/>
    <w:rsid w:val="001D70AA"/>
    <w:rsid w:val="001E18B2"/>
    <w:rsid w:val="001E1C96"/>
    <w:rsid w:val="001E29EA"/>
    <w:rsid w:val="001E2EA2"/>
    <w:rsid w:val="001E3AC7"/>
    <w:rsid w:val="001E41CA"/>
    <w:rsid w:val="001E4207"/>
    <w:rsid w:val="001E6F81"/>
    <w:rsid w:val="001F012E"/>
    <w:rsid w:val="001F3032"/>
    <w:rsid w:val="001F3054"/>
    <w:rsid w:val="001F38E6"/>
    <w:rsid w:val="001F7301"/>
    <w:rsid w:val="001F74A8"/>
    <w:rsid w:val="001F7CCC"/>
    <w:rsid w:val="001F7EB0"/>
    <w:rsid w:val="00200BA0"/>
    <w:rsid w:val="002049E2"/>
    <w:rsid w:val="00204B7B"/>
    <w:rsid w:val="00204D3E"/>
    <w:rsid w:val="0020550C"/>
    <w:rsid w:val="00206B8C"/>
    <w:rsid w:val="002075C7"/>
    <w:rsid w:val="00207847"/>
    <w:rsid w:val="00210167"/>
    <w:rsid w:val="00210859"/>
    <w:rsid w:val="002129EE"/>
    <w:rsid w:val="00215BEC"/>
    <w:rsid w:val="00216C0A"/>
    <w:rsid w:val="0022424C"/>
    <w:rsid w:val="002249D8"/>
    <w:rsid w:val="00225BD0"/>
    <w:rsid w:val="002261DC"/>
    <w:rsid w:val="00226F12"/>
    <w:rsid w:val="00231754"/>
    <w:rsid w:val="00231782"/>
    <w:rsid w:val="00232549"/>
    <w:rsid w:val="00236997"/>
    <w:rsid w:val="00237A01"/>
    <w:rsid w:val="002424DC"/>
    <w:rsid w:val="00243202"/>
    <w:rsid w:val="00243517"/>
    <w:rsid w:val="0024529B"/>
    <w:rsid w:val="00245908"/>
    <w:rsid w:val="0024633F"/>
    <w:rsid w:val="00246A3F"/>
    <w:rsid w:val="0025091B"/>
    <w:rsid w:val="002510A0"/>
    <w:rsid w:val="00251261"/>
    <w:rsid w:val="002526AA"/>
    <w:rsid w:val="00255C23"/>
    <w:rsid w:val="0025771D"/>
    <w:rsid w:val="00257F7A"/>
    <w:rsid w:val="0026104A"/>
    <w:rsid w:val="00263A67"/>
    <w:rsid w:val="0026493C"/>
    <w:rsid w:val="00270842"/>
    <w:rsid w:val="00272042"/>
    <w:rsid w:val="00274B19"/>
    <w:rsid w:val="00276E9D"/>
    <w:rsid w:val="00281970"/>
    <w:rsid w:val="00281FC9"/>
    <w:rsid w:val="00284E43"/>
    <w:rsid w:val="0028758A"/>
    <w:rsid w:val="002909A0"/>
    <w:rsid w:val="002910C1"/>
    <w:rsid w:val="00295494"/>
    <w:rsid w:val="00295A08"/>
    <w:rsid w:val="00296389"/>
    <w:rsid w:val="00296A2C"/>
    <w:rsid w:val="00296DC9"/>
    <w:rsid w:val="002976BE"/>
    <w:rsid w:val="002A02D5"/>
    <w:rsid w:val="002A07B0"/>
    <w:rsid w:val="002A0E92"/>
    <w:rsid w:val="002A19FD"/>
    <w:rsid w:val="002A461A"/>
    <w:rsid w:val="002A61D2"/>
    <w:rsid w:val="002A6CBE"/>
    <w:rsid w:val="002A7392"/>
    <w:rsid w:val="002B375D"/>
    <w:rsid w:val="002B480D"/>
    <w:rsid w:val="002B6381"/>
    <w:rsid w:val="002C2556"/>
    <w:rsid w:val="002C7975"/>
    <w:rsid w:val="002D0B9D"/>
    <w:rsid w:val="002D466A"/>
    <w:rsid w:val="002D5222"/>
    <w:rsid w:val="002D5369"/>
    <w:rsid w:val="002E12D3"/>
    <w:rsid w:val="002E2E3C"/>
    <w:rsid w:val="002E414A"/>
    <w:rsid w:val="002E4365"/>
    <w:rsid w:val="002E44F0"/>
    <w:rsid w:val="002E506F"/>
    <w:rsid w:val="002F1E33"/>
    <w:rsid w:val="002F2CAB"/>
    <w:rsid w:val="002F3F1B"/>
    <w:rsid w:val="002F4D09"/>
    <w:rsid w:val="002F5542"/>
    <w:rsid w:val="002F63E6"/>
    <w:rsid w:val="002F7D83"/>
    <w:rsid w:val="003049CB"/>
    <w:rsid w:val="00305352"/>
    <w:rsid w:val="00305ADF"/>
    <w:rsid w:val="003068C7"/>
    <w:rsid w:val="003109CD"/>
    <w:rsid w:val="003109FC"/>
    <w:rsid w:val="003133D7"/>
    <w:rsid w:val="00315F5A"/>
    <w:rsid w:val="00320FC6"/>
    <w:rsid w:val="00321A7B"/>
    <w:rsid w:val="00322AF8"/>
    <w:rsid w:val="00324EA8"/>
    <w:rsid w:val="0032519A"/>
    <w:rsid w:val="0032722A"/>
    <w:rsid w:val="0033461E"/>
    <w:rsid w:val="0033559C"/>
    <w:rsid w:val="003367C7"/>
    <w:rsid w:val="0033753B"/>
    <w:rsid w:val="00345685"/>
    <w:rsid w:val="003465A7"/>
    <w:rsid w:val="00350EDF"/>
    <w:rsid w:val="00351979"/>
    <w:rsid w:val="00352EC2"/>
    <w:rsid w:val="003549D7"/>
    <w:rsid w:val="003551F6"/>
    <w:rsid w:val="00355213"/>
    <w:rsid w:val="00355442"/>
    <w:rsid w:val="00355D72"/>
    <w:rsid w:val="00357683"/>
    <w:rsid w:val="00360425"/>
    <w:rsid w:val="00360BE6"/>
    <w:rsid w:val="00360F5D"/>
    <w:rsid w:val="00361D77"/>
    <w:rsid w:val="003635ED"/>
    <w:rsid w:val="00364F74"/>
    <w:rsid w:val="00372DC9"/>
    <w:rsid w:val="00374758"/>
    <w:rsid w:val="00374F37"/>
    <w:rsid w:val="00377E3C"/>
    <w:rsid w:val="00382911"/>
    <w:rsid w:val="00382E92"/>
    <w:rsid w:val="00383083"/>
    <w:rsid w:val="00383EB0"/>
    <w:rsid w:val="0038480A"/>
    <w:rsid w:val="00384EFC"/>
    <w:rsid w:val="003913F2"/>
    <w:rsid w:val="003920D6"/>
    <w:rsid w:val="0039310B"/>
    <w:rsid w:val="0039362A"/>
    <w:rsid w:val="00395351"/>
    <w:rsid w:val="00397899"/>
    <w:rsid w:val="003A08FB"/>
    <w:rsid w:val="003A32AC"/>
    <w:rsid w:val="003A4425"/>
    <w:rsid w:val="003A489B"/>
    <w:rsid w:val="003A5428"/>
    <w:rsid w:val="003A66A5"/>
    <w:rsid w:val="003B233D"/>
    <w:rsid w:val="003B38F1"/>
    <w:rsid w:val="003B3F91"/>
    <w:rsid w:val="003B41DC"/>
    <w:rsid w:val="003B51C8"/>
    <w:rsid w:val="003B565F"/>
    <w:rsid w:val="003B5B64"/>
    <w:rsid w:val="003C0D38"/>
    <w:rsid w:val="003C1B03"/>
    <w:rsid w:val="003C2D43"/>
    <w:rsid w:val="003C43BA"/>
    <w:rsid w:val="003C71A6"/>
    <w:rsid w:val="003D0A0C"/>
    <w:rsid w:val="003D6089"/>
    <w:rsid w:val="003D6440"/>
    <w:rsid w:val="003D6757"/>
    <w:rsid w:val="003D6CEC"/>
    <w:rsid w:val="003D733F"/>
    <w:rsid w:val="003E0ACB"/>
    <w:rsid w:val="003E11CD"/>
    <w:rsid w:val="003E4FCC"/>
    <w:rsid w:val="003E53F4"/>
    <w:rsid w:val="003E5CD4"/>
    <w:rsid w:val="003E73D6"/>
    <w:rsid w:val="003F10C8"/>
    <w:rsid w:val="003F5936"/>
    <w:rsid w:val="003F5FA0"/>
    <w:rsid w:val="003F6495"/>
    <w:rsid w:val="003F6804"/>
    <w:rsid w:val="003F75D5"/>
    <w:rsid w:val="00401726"/>
    <w:rsid w:val="00402862"/>
    <w:rsid w:val="00402C8E"/>
    <w:rsid w:val="0040373A"/>
    <w:rsid w:val="00403FBD"/>
    <w:rsid w:val="00404722"/>
    <w:rsid w:val="0040689A"/>
    <w:rsid w:val="00406EFF"/>
    <w:rsid w:val="00407D0B"/>
    <w:rsid w:val="00417738"/>
    <w:rsid w:val="00423267"/>
    <w:rsid w:val="00423875"/>
    <w:rsid w:val="0042771D"/>
    <w:rsid w:val="00431187"/>
    <w:rsid w:val="004317B7"/>
    <w:rsid w:val="00431CAA"/>
    <w:rsid w:val="00431F68"/>
    <w:rsid w:val="00432955"/>
    <w:rsid w:val="00433A01"/>
    <w:rsid w:val="00436028"/>
    <w:rsid w:val="00440056"/>
    <w:rsid w:val="00440645"/>
    <w:rsid w:val="004407A2"/>
    <w:rsid w:val="00440A6D"/>
    <w:rsid w:val="004425DC"/>
    <w:rsid w:val="00443D48"/>
    <w:rsid w:val="00443F1D"/>
    <w:rsid w:val="004446E2"/>
    <w:rsid w:val="00445A0D"/>
    <w:rsid w:val="00445C4C"/>
    <w:rsid w:val="00447237"/>
    <w:rsid w:val="0044736D"/>
    <w:rsid w:val="00450053"/>
    <w:rsid w:val="004501EE"/>
    <w:rsid w:val="004528EE"/>
    <w:rsid w:val="00453825"/>
    <w:rsid w:val="0045451E"/>
    <w:rsid w:val="00454770"/>
    <w:rsid w:val="004607CC"/>
    <w:rsid w:val="004623B6"/>
    <w:rsid w:val="0046399F"/>
    <w:rsid w:val="004642F6"/>
    <w:rsid w:val="00465176"/>
    <w:rsid w:val="0046735D"/>
    <w:rsid w:val="00471640"/>
    <w:rsid w:val="00472C19"/>
    <w:rsid w:val="00474F4C"/>
    <w:rsid w:val="004753DF"/>
    <w:rsid w:val="00475B15"/>
    <w:rsid w:val="004763A8"/>
    <w:rsid w:val="00476B8D"/>
    <w:rsid w:val="004777EE"/>
    <w:rsid w:val="004801A3"/>
    <w:rsid w:val="00487499"/>
    <w:rsid w:val="00487F6C"/>
    <w:rsid w:val="004903D4"/>
    <w:rsid w:val="004964B0"/>
    <w:rsid w:val="004A0B17"/>
    <w:rsid w:val="004A12AF"/>
    <w:rsid w:val="004A4593"/>
    <w:rsid w:val="004A6C55"/>
    <w:rsid w:val="004A6CEA"/>
    <w:rsid w:val="004B2C88"/>
    <w:rsid w:val="004B521C"/>
    <w:rsid w:val="004B5449"/>
    <w:rsid w:val="004C0C77"/>
    <w:rsid w:val="004C1873"/>
    <w:rsid w:val="004C244E"/>
    <w:rsid w:val="004C4AAC"/>
    <w:rsid w:val="004C51C8"/>
    <w:rsid w:val="004C5BE0"/>
    <w:rsid w:val="004D0593"/>
    <w:rsid w:val="004D05BD"/>
    <w:rsid w:val="004D2307"/>
    <w:rsid w:val="004D2BD4"/>
    <w:rsid w:val="004D3E50"/>
    <w:rsid w:val="004D4291"/>
    <w:rsid w:val="004D4EC3"/>
    <w:rsid w:val="004D685F"/>
    <w:rsid w:val="004D786D"/>
    <w:rsid w:val="004E0F23"/>
    <w:rsid w:val="004E3674"/>
    <w:rsid w:val="004E4BA8"/>
    <w:rsid w:val="004E5575"/>
    <w:rsid w:val="004E62BB"/>
    <w:rsid w:val="004E652A"/>
    <w:rsid w:val="004E7339"/>
    <w:rsid w:val="004F053C"/>
    <w:rsid w:val="004F0561"/>
    <w:rsid w:val="004F56EE"/>
    <w:rsid w:val="004F5E28"/>
    <w:rsid w:val="004F77DA"/>
    <w:rsid w:val="00501235"/>
    <w:rsid w:val="0050231F"/>
    <w:rsid w:val="00502A43"/>
    <w:rsid w:val="00502C43"/>
    <w:rsid w:val="00506716"/>
    <w:rsid w:val="00516264"/>
    <w:rsid w:val="00517757"/>
    <w:rsid w:val="00521B29"/>
    <w:rsid w:val="00521D04"/>
    <w:rsid w:val="00523E90"/>
    <w:rsid w:val="00524B3F"/>
    <w:rsid w:val="00525403"/>
    <w:rsid w:val="00525872"/>
    <w:rsid w:val="00526C5F"/>
    <w:rsid w:val="0053111E"/>
    <w:rsid w:val="00531E3E"/>
    <w:rsid w:val="00532E8A"/>
    <w:rsid w:val="00533DE1"/>
    <w:rsid w:val="00534DE7"/>
    <w:rsid w:val="00535A34"/>
    <w:rsid w:val="005372F6"/>
    <w:rsid w:val="00543573"/>
    <w:rsid w:val="00543707"/>
    <w:rsid w:val="00544302"/>
    <w:rsid w:val="00545AFD"/>
    <w:rsid w:val="00552F98"/>
    <w:rsid w:val="00554570"/>
    <w:rsid w:val="00554645"/>
    <w:rsid w:val="00556336"/>
    <w:rsid w:val="00557EF2"/>
    <w:rsid w:val="00560269"/>
    <w:rsid w:val="00561449"/>
    <w:rsid w:val="0056345A"/>
    <w:rsid w:val="005666ED"/>
    <w:rsid w:val="0056735F"/>
    <w:rsid w:val="00570E12"/>
    <w:rsid w:val="00571563"/>
    <w:rsid w:val="00572402"/>
    <w:rsid w:val="00572C1D"/>
    <w:rsid w:val="00574880"/>
    <w:rsid w:val="005758C3"/>
    <w:rsid w:val="00575FEB"/>
    <w:rsid w:val="005766C3"/>
    <w:rsid w:val="005807F9"/>
    <w:rsid w:val="00580E8C"/>
    <w:rsid w:val="00581852"/>
    <w:rsid w:val="005848C4"/>
    <w:rsid w:val="00590B61"/>
    <w:rsid w:val="0059167B"/>
    <w:rsid w:val="005968DD"/>
    <w:rsid w:val="0059731D"/>
    <w:rsid w:val="00597A31"/>
    <w:rsid w:val="005A07D4"/>
    <w:rsid w:val="005A4F8D"/>
    <w:rsid w:val="005A5A33"/>
    <w:rsid w:val="005B048A"/>
    <w:rsid w:val="005B0D3B"/>
    <w:rsid w:val="005B2BDF"/>
    <w:rsid w:val="005B2BE2"/>
    <w:rsid w:val="005B2C8A"/>
    <w:rsid w:val="005B374C"/>
    <w:rsid w:val="005B47D8"/>
    <w:rsid w:val="005B5496"/>
    <w:rsid w:val="005B5F99"/>
    <w:rsid w:val="005B7D3C"/>
    <w:rsid w:val="005B7F4D"/>
    <w:rsid w:val="005C0DC2"/>
    <w:rsid w:val="005C17A8"/>
    <w:rsid w:val="005C3A01"/>
    <w:rsid w:val="005C3D1F"/>
    <w:rsid w:val="005C5F1D"/>
    <w:rsid w:val="005D1EFB"/>
    <w:rsid w:val="005D3109"/>
    <w:rsid w:val="005D6598"/>
    <w:rsid w:val="005D6671"/>
    <w:rsid w:val="005D7A8A"/>
    <w:rsid w:val="005E00F4"/>
    <w:rsid w:val="005E0516"/>
    <w:rsid w:val="005E3C2D"/>
    <w:rsid w:val="005E5BE5"/>
    <w:rsid w:val="005F1056"/>
    <w:rsid w:val="005F3B9E"/>
    <w:rsid w:val="005F3C44"/>
    <w:rsid w:val="005F49B2"/>
    <w:rsid w:val="005F6DBE"/>
    <w:rsid w:val="005F7386"/>
    <w:rsid w:val="005F7F89"/>
    <w:rsid w:val="00601919"/>
    <w:rsid w:val="00601B12"/>
    <w:rsid w:val="00603A35"/>
    <w:rsid w:val="0060430B"/>
    <w:rsid w:val="00604A69"/>
    <w:rsid w:val="00605479"/>
    <w:rsid w:val="006064D9"/>
    <w:rsid w:val="00606AE8"/>
    <w:rsid w:val="00606B33"/>
    <w:rsid w:val="00610CA9"/>
    <w:rsid w:val="00610E73"/>
    <w:rsid w:val="00611305"/>
    <w:rsid w:val="00612F5D"/>
    <w:rsid w:val="006135EA"/>
    <w:rsid w:val="006170B3"/>
    <w:rsid w:val="00620C6E"/>
    <w:rsid w:val="0062172E"/>
    <w:rsid w:val="006218E2"/>
    <w:rsid w:val="006225DC"/>
    <w:rsid w:val="0062350C"/>
    <w:rsid w:val="00626B52"/>
    <w:rsid w:val="006337AC"/>
    <w:rsid w:val="006338B2"/>
    <w:rsid w:val="006351EA"/>
    <w:rsid w:val="00636FC0"/>
    <w:rsid w:val="00637FC2"/>
    <w:rsid w:val="00640E16"/>
    <w:rsid w:val="0064167E"/>
    <w:rsid w:val="0064172A"/>
    <w:rsid w:val="00642BAB"/>
    <w:rsid w:val="00650D65"/>
    <w:rsid w:val="00651A67"/>
    <w:rsid w:val="006546A4"/>
    <w:rsid w:val="00655CAB"/>
    <w:rsid w:val="00656DE9"/>
    <w:rsid w:val="00660A4A"/>
    <w:rsid w:val="00662C9E"/>
    <w:rsid w:val="006636B9"/>
    <w:rsid w:val="006650E1"/>
    <w:rsid w:val="006656E0"/>
    <w:rsid w:val="006658D8"/>
    <w:rsid w:val="006659D3"/>
    <w:rsid w:val="00666221"/>
    <w:rsid w:val="00666F1D"/>
    <w:rsid w:val="006706F4"/>
    <w:rsid w:val="0067202A"/>
    <w:rsid w:val="00673ED9"/>
    <w:rsid w:val="006740F8"/>
    <w:rsid w:val="00674365"/>
    <w:rsid w:val="00674EB8"/>
    <w:rsid w:val="0068185A"/>
    <w:rsid w:val="0068280A"/>
    <w:rsid w:val="00682E74"/>
    <w:rsid w:val="006836D8"/>
    <w:rsid w:val="00683B39"/>
    <w:rsid w:val="00684129"/>
    <w:rsid w:val="00684913"/>
    <w:rsid w:val="00684A96"/>
    <w:rsid w:val="006850C2"/>
    <w:rsid w:val="006857A8"/>
    <w:rsid w:val="00685C4E"/>
    <w:rsid w:val="006902E9"/>
    <w:rsid w:val="006928F9"/>
    <w:rsid w:val="00694A28"/>
    <w:rsid w:val="006A0283"/>
    <w:rsid w:val="006A0D47"/>
    <w:rsid w:val="006A2616"/>
    <w:rsid w:val="006A5E60"/>
    <w:rsid w:val="006A6D63"/>
    <w:rsid w:val="006B02E0"/>
    <w:rsid w:val="006B0C30"/>
    <w:rsid w:val="006B3FBA"/>
    <w:rsid w:val="006B5FA5"/>
    <w:rsid w:val="006C17C2"/>
    <w:rsid w:val="006C3437"/>
    <w:rsid w:val="006C4947"/>
    <w:rsid w:val="006C4DCF"/>
    <w:rsid w:val="006C6280"/>
    <w:rsid w:val="006D00F5"/>
    <w:rsid w:val="006D1BD8"/>
    <w:rsid w:val="006D22BC"/>
    <w:rsid w:val="006D3A6E"/>
    <w:rsid w:val="006D499E"/>
    <w:rsid w:val="006D55CB"/>
    <w:rsid w:val="006D5C91"/>
    <w:rsid w:val="006D5F01"/>
    <w:rsid w:val="006D70F5"/>
    <w:rsid w:val="006E08A1"/>
    <w:rsid w:val="006E537A"/>
    <w:rsid w:val="006E5CCC"/>
    <w:rsid w:val="006F2560"/>
    <w:rsid w:val="006F2902"/>
    <w:rsid w:val="006F4861"/>
    <w:rsid w:val="006F4B2F"/>
    <w:rsid w:val="00700792"/>
    <w:rsid w:val="00702067"/>
    <w:rsid w:val="00703A87"/>
    <w:rsid w:val="00705445"/>
    <w:rsid w:val="00706BCE"/>
    <w:rsid w:val="00710E02"/>
    <w:rsid w:val="0071259F"/>
    <w:rsid w:val="00712F7B"/>
    <w:rsid w:val="00713A09"/>
    <w:rsid w:val="00713EF8"/>
    <w:rsid w:val="0071575F"/>
    <w:rsid w:val="00715FDA"/>
    <w:rsid w:val="00717DCD"/>
    <w:rsid w:val="0072063D"/>
    <w:rsid w:val="00720841"/>
    <w:rsid w:val="007233FF"/>
    <w:rsid w:val="00723F15"/>
    <w:rsid w:val="00725526"/>
    <w:rsid w:val="00725993"/>
    <w:rsid w:val="007260BE"/>
    <w:rsid w:val="00727EE0"/>
    <w:rsid w:val="007318F3"/>
    <w:rsid w:val="00733489"/>
    <w:rsid w:val="00734546"/>
    <w:rsid w:val="00734BC9"/>
    <w:rsid w:val="0073585C"/>
    <w:rsid w:val="00736A01"/>
    <w:rsid w:val="0074522C"/>
    <w:rsid w:val="00745381"/>
    <w:rsid w:val="00747303"/>
    <w:rsid w:val="00752749"/>
    <w:rsid w:val="007527B5"/>
    <w:rsid w:val="00752C69"/>
    <w:rsid w:val="00752FC6"/>
    <w:rsid w:val="0075369A"/>
    <w:rsid w:val="00756936"/>
    <w:rsid w:val="007616F8"/>
    <w:rsid w:val="00762CE6"/>
    <w:rsid w:val="00763DA7"/>
    <w:rsid w:val="0076531D"/>
    <w:rsid w:val="007679E4"/>
    <w:rsid w:val="00771090"/>
    <w:rsid w:val="0077137B"/>
    <w:rsid w:val="0077182D"/>
    <w:rsid w:val="00771FC6"/>
    <w:rsid w:val="00772161"/>
    <w:rsid w:val="00773B88"/>
    <w:rsid w:val="00775292"/>
    <w:rsid w:val="00775974"/>
    <w:rsid w:val="00782644"/>
    <w:rsid w:val="007834DC"/>
    <w:rsid w:val="007840B6"/>
    <w:rsid w:val="00784C2E"/>
    <w:rsid w:val="0078576F"/>
    <w:rsid w:val="007911F0"/>
    <w:rsid w:val="007913F5"/>
    <w:rsid w:val="00791435"/>
    <w:rsid w:val="007947B0"/>
    <w:rsid w:val="00796916"/>
    <w:rsid w:val="007A0415"/>
    <w:rsid w:val="007A293A"/>
    <w:rsid w:val="007A31D2"/>
    <w:rsid w:val="007A59D6"/>
    <w:rsid w:val="007A6094"/>
    <w:rsid w:val="007B0611"/>
    <w:rsid w:val="007B06FD"/>
    <w:rsid w:val="007B11F7"/>
    <w:rsid w:val="007B4249"/>
    <w:rsid w:val="007B53D8"/>
    <w:rsid w:val="007B557C"/>
    <w:rsid w:val="007C0C90"/>
    <w:rsid w:val="007C0DFD"/>
    <w:rsid w:val="007C103F"/>
    <w:rsid w:val="007C34FC"/>
    <w:rsid w:val="007C650C"/>
    <w:rsid w:val="007C72FB"/>
    <w:rsid w:val="007D20DF"/>
    <w:rsid w:val="007D2E07"/>
    <w:rsid w:val="007D3498"/>
    <w:rsid w:val="007D597E"/>
    <w:rsid w:val="007D60CF"/>
    <w:rsid w:val="007E0381"/>
    <w:rsid w:val="007E0800"/>
    <w:rsid w:val="007E18B5"/>
    <w:rsid w:val="007E2C33"/>
    <w:rsid w:val="007E343C"/>
    <w:rsid w:val="007E534E"/>
    <w:rsid w:val="007E5B12"/>
    <w:rsid w:val="007F021F"/>
    <w:rsid w:val="007F0C32"/>
    <w:rsid w:val="007F2057"/>
    <w:rsid w:val="007F368E"/>
    <w:rsid w:val="007F525E"/>
    <w:rsid w:val="00802F73"/>
    <w:rsid w:val="00803A85"/>
    <w:rsid w:val="00803EB6"/>
    <w:rsid w:val="00807819"/>
    <w:rsid w:val="00810571"/>
    <w:rsid w:val="00812449"/>
    <w:rsid w:val="00813236"/>
    <w:rsid w:val="00814B22"/>
    <w:rsid w:val="00816260"/>
    <w:rsid w:val="0081697A"/>
    <w:rsid w:val="00820314"/>
    <w:rsid w:val="008206DF"/>
    <w:rsid w:val="008219DF"/>
    <w:rsid w:val="008274A1"/>
    <w:rsid w:val="0082778C"/>
    <w:rsid w:val="00832072"/>
    <w:rsid w:val="00841533"/>
    <w:rsid w:val="00842317"/>
    <w:rsid w:val="008423B3"/>
    <w:rsid w:val="00842CC4"/>
    <w:rsid w:val="00844283"/>
    <w:rsid w:val="00844333"/>
    <w:rsid w:val="0084562B"/>
    <w:rsid w:val="00846BD1"/>
    <w:rsid w:val="00852441"/>
    <w:rsid w:val="00852E14"/>
    <w:rsid w:val="00853287"/>
    <w:rsid w:val="008540C3"/>
    <w:rsid w:val="00854135"/>
    <w:rsid w:val="00863B1A"/>
    <w:rsid w:val="008732D3"/>
    <w:rsid w:val="008750FE"/>
    <w:rsid w:val="00877337"/>
    <w:rsid w:val="008779AF"/>
    <w:rsid w:val="00877C34"/>
    <w:rsid w:val="0088097B"/>
    <w:rsid w:val="00882EAD"/>
    <w:rsid w:val="00884CD0"/>
    <w:rsid w:val="00886737"/>
    <w:rsid w:val="00887B31"/>
    <w:rsid w:val="00887CC2"/>
    <w:rsid w:val="008925F2"/>
    <w:rsid w:val="00892892"/>
    <w:rsid w:val="00892F1D"/>
    <w:rsid w:val="00895973"/>
    <w:rsid w:val="008A0ED5"/>
    <w:rsid w:val="008A1E77"/>
    <w:rsid w:val="008A2ACF"/>
    <w:rsid w:val="008A34AF"/>
    <w:rsid w:val="008B2107"/>
    <w:rsid w:val="008B28C4"/>
    <w:rsid w:val="008C0126"/>
    <w:rsid w:val="008C16E8"/>
    <w:rsid w:val="008C1815"/>
    <w:rsid w:val="008C1FF6"/>
    <w:rsid w:val="008C3300"/>
    <w:rsid w:val="008C3327"/>
    <w:rsid w:val="008C3377"/>
    <w:rsid w:val="008C3407"/>
    <w:rsid w:val="008C3E64"/>
    <w:rsid w:val="008C4268"/>
    <w:rsid w:val="008C5057"/>
    <w:rsid w:val="008C6018"/>
    <w:rsid w:val="008D2F95"/>
    <w:rsid w:val="008D5F0B"/>
    <w:rsid w:val="008E14CB"/>
    <w:rsid w:val="008E15FC"/>
    <w:rsid w:val="008E3A99"/>
    <w:rsid w:val="008E444F"/>
    <w:rsid w:val="008E537E"/>
    <w:rsid w:val="008E6147"/>
    <w:rsid w:val="008E7489"/>
    <w:rsid w:val="008E7802"/>
    <w:rsid w:val="008E7BE6"/>
    <w:rsid w:val="008F0938"/>
    <w:rsid w:val="008F0DFA"/>
    <w:rsid w:val="008F1C97"/>
    <w:rsid w:val="008F347F"/>
    <w:rsid w:val="008F3E36"/>
    <w:rsid w:val="008F4DF3"/>
    <w:rsid w:val="008F52A6"/>
    <w:rsid w:val="008F5338"/>
    <w:rsid w:val="008F5C3A"/>
    <w:rsid w:val="009012AC"/>
    <w:rsid w:val="0090166E"/>
    <w:rsid w:val="00903659"/>
    <w:rsid w:val="00903CD9"/>
    <w:rsid w:val="00911DAF"/>
    <w:rsid w:val="009147C0"/>
    <w:rsid w:val="009230DD"/>
    <w:rsid w:val="0092329B"/>
    <w:rsid w:val="00923480"/>
    <w:rsid w:val="009239E5"/>
    <w:rsid w:val="009243EC"/>
    <w:rsid w:val="00926FC3"/>
    <w:rsid w:val="00932412"/>
    <w:rsid w:val="0093245A"/>
    <w:rsid w:val="00933A8D"/>
    <w:rsid w:val="00935DC1"/>
    <w:rsid w:val="00936B3D"/>
    <w:rsid w:val="009374F7"/>
    <w:rsid w:val="009413D5"/>
    <w:rsid w:val="00941603"/>
    <w:rsid w:val="00941F4A"/>
    <w:rsid w:val="009422F7"/>
    <w:rsid w:val="009424EB"/>
    <w:rsid w:val="00942AC4"/>
    <w:rsid w:val="00944D40"/>
    <w:rsid w:val="00946454"/>
    <w:rsid w:val="009502EF"/>
    <w:rsid w:val="009528B5"/>
    <w:rsid w:val="00953ACE"/>
    <w:rsid w:val="00953EE0"/>
    <w:rsid w:val="009563BC"/>
    <w:rsid w:val="00956A21"/>
    <w:rsid w:val="00966DAB"/>
    <w:rsid w:val="00967E93"/>
    <w:rsid w:val="00970873"/>
    <w:rsid w:val="0097271B"/>
    <w:rsid w:val="0097321B"/>
    <w:rsid w:val="00974EA3"/>
    <w:rsid w:val="00975D0A"/>
    <w:rsid w:val="00977D8B"/>
    <w:rsid w:val="0098006E"/>
    <w:rsid w:val="00980C0E"/>
    <w:rsid w:val="00981772"/>
    <w:rsid w:val="00983471"/>
    <w:rsid w:val="00983725"/>
    <w:rsid w:val="00983AC7"/>
    <w:rsid w:val="00985840"/>
    <w:rsid w:val="009909A6"/>
    <w:rsid w:val="00991657"/>
    <w:rsid w:val="00993C46"/>
    <w:rsid w:val="0099467E"/>
    <w:rsid w:val="00994DCA"/>
    <w:rsid w:val="00995DDF"/>
    <w:rsid w:val="00995F32"/>
    <w:rsid w:val="009960C4"/>
    <w:rsid w:val="009979AC"/>
    <w:rsid w:val="009A0618"/>
    <w:rsid w:val="009A263D"/>
    <w:rsid w:val="009A264F"/>
    <w:rsid w:val="009A4D75"/>
    <w:rsid w:val="009A6E92"/>
    <w:rsid w:val="009B0E5B"/>
    <w:rsid w:val="009B145A"/>
    <w:rsid w:val="009B197D"/>
    <w:rsid w:val="009B2E6C"/>
    <w:rsid w:val="009B33F2"/>
    <w:rsid w:val="009C4491"/>
    <w:rsid w:val="009C52F8"/>
    <w:rsid w:val="009C5CA1"/>
    <w:rsid w:val="009C6A8F"/>
    <w:rsid w:val="009D2759"/>
    <w:rsid w:val="009D37B8"/>
    <w:rsid w:val="009D4587"/>
    <w:rsid w:val="009D55B3"/>
    <w:rsid w:val="009D5B89"/>
    <w:rsid w:val="009D7802"/>
    <w:rsid w:val="009D7D88"/>
    <w:rsid w:val="009E1170"/>
    <w:rsid w:val="009E2B23"/>
    <w:rsid w:val="009E65AF"/>
    <w:rsid w:val="009E6CA7"/>
    <w:rsid w:val="009E7106"/>
    <w:rsid w:val="009E7D67"/>
    <w:rsid w:val="009F097D"/>
    <w:rsid w:val="009F1ADA"/>
    <w:rsid w:val="009F3A86"/>
    <w:rsid w:val="009F5EA9"/>
    <w:rsid w:val="009F690F"/>
    <w:rsid w:val="009F756D"/>
    <w:rsid w:val="00A01922"/>
    <w:rsid w:val="00A02450"/>
    <w:rsid w:val="00A041C3"/>
    <w:rsid w:val="00A102A0"/>
    <w:rsid w:val="00A10CEC"/>
    <w:rsid w:val="00A10FAE"/>
    <w:rsid w:val="00A13244"/>
    <w:rsid w:val="00A13ABB"/>
    <w:rsid w:val="00A150FF"/>
    <w:rsid w:val="00A15936"/>
    <w:rsid w:val="00A17529"/>
    <w:rsid w:val="00A20E18"/>
    <w:rsid w:val="00A22CB6"/>
    <w:rsid w:val="00A23B2F"/>
    <w:rsid w:val="00A23EAC"/>
    <w:rsid w:val="00A2445E"/>
    <w:rsid w:val="00A24F1F"/>
    <w:rsid w:val="00A24F49"/>
    <w:rsid w:val="00A26B54"/>
    <w:rsid w:val="00A338C1"/>
    <w:rsid w:val="00A33910"/>
    <w:rsid w:val="00A35066"/>
    <w:rsid w:val="00A350D3"/>
    <w:rsid w:val="00A3760D"/>
    <w:rsid w:val="00A4065E"/>
    <w:rsid w:val="00A40719"/>
    <w:rsid w:val="00A4176F"/>
    <w:rsid w:val="00A42EA2"/>
    <w:rsid w:val="00A43F3D"/>
    <w:rsid w:val="00A46899"/>
    <w:rsid w:val="00A506CB"/>
    <w:rsid w:val="00A51F74"/>
    <w:rsid w:val="00A52E33"/>
    <w:rsid w:val="00A53E86"/>
    <w:rsid w:val="00A552C5"/>
    <w:rsid w:val="00A568AD"/>
    <w:rsid w:val="00A60F93"/>
    <w:rsid w:val="00A61353"/>
    <w:rsid w:val="00A6147D"/>
    <w:rsid w:val="00A61F1F"/>
    <w:rsid w:val="00A626B6"/>
    <w:rsid w:val="00A7001C"/>
    <w:rsid w:val="00A71BE7"/>
    <w:rsid w:val="00A72462"/>
    <w:rsid w:val="00A72B9C"/>
    <w:rsid w:val="00A736B5"/>
    <w:rsid w:val="00A73973"/>
    <w:rsid w:val="00A759C9"/>
    <w:rsid w:val="00A775D6"/>
    <w:rsid w:val="00A85C93"/>
    <w:rsid w:val="00A903E4"/>
    <w:rsid w:val="00A90908"/>
    <w:rsid w:val="00A92D39"/>
    <w:rsid w:val="00AA0EEB"/>
    <w:rsid w:val="00AA20E6"/>
    <w:rsid w:val="00AA2C03"/>
    <w:rsid w:val="00AA3892"/>
    <w:rsid w:val="00AA38A3"/>
    <w:rsid w:val="00AA67BD"/>
    <w:rsid w:val="00AB1CEC"/>
    <w:rsid w:val="00AB2248"/>
    <w:rsid w:val="00AB27F2"/>
    <w:rsid w:val="00AB5CB4"/>
    <w:rsid w:val="00AC00D2"/>
    <w:rsid w:val="00AC0327"/>
    <w:rsid w:val="00AC046F"/>
    <w:rsid w:val="00AC2170"/>
    <w:rsid w:val="00AC2CAD"/>
    <w:rsid w:val="00AC32D6"/>
    <w:rsid w:val="00AC61C4"/>
    <w:rsid w:val="00AC68E3"/>
    <w:rsid w:val="00AD08BA"/>
    <w:rsid w:val="00AD08EC"/>
    <w:rsid w:val="00AD2809"/>
    <w:rsid w:val="00AD2D8A"/>
    <w:rsid w:val="00AD420F"/>
    <w:rsid w:val="00AD5C9A"/>
    <w:rsid w:val="00AE029A"/>
    <w:rsid w:val="00AE02CA"/>
    <w:rsid w:val="00AE1B92"/>
    <w:rsid w:val="00AE2808"/>
    <w:rsid w:val="00AE2CD6"/>
    <w:rsid w:val="00AE76AC"/>
    <w:rsid w:val="00AF1AC7"/>
    <w:rsid w:val="00AF3DEE"/>
    <w:rsid w:val="00AF4CEC"/>
    <w:rsid w:val="00AF5459"/>
    <w:rsid w:val="00B00C51"/>
    <w:rsid w:val="00B03245"/>
    <w:rsid w:val="00B105FD"/>
    <w:rsid w:val="00B10823"/>
    <w:rsid w:val="00B12B68"/>
    <w:rsid w:val="00B12CBA"/>
    <w:rsid w:val="00B1350D"/>
    <w:rsid w:val="00B1439A"/>
    <w:rsid w:val="00B150D1"/>
    <w:rsid w:val="00B17C79"/>
    <w:rsid w:val="00B2012E"/>
    <w:rsid w:val="00B2091B"/>
    <w:rsid w:val="00B216A2"/>
    <w:rsid w:val="00B21C42"/>
    <w:rsid w:val="00B22487"/>
    <w:rsid w:val="00B243E2"/>
    <w:rsid w:val="00B24889"/>
    <w:rsid w:val="00B24F5A"/>
    <w:rsid w:val="00B25B64"/>
    <w:rsid w:val="00B25E3F"/>
    <w:rsid w:val="00B264DF"/>
    <w:rsid w:val="00B26BD6"/>
    <w:rsid w:val="00B27438"/>
    <w:rsid w:val="00B27BBC"/>
    <w:rsid w:val="00B405D1"/>
    <w:rsid w:val="00B426BF"/>
    <w:rsid w:val="00B52907"/>
    <w:rsid w:val="00B5418F"/>
    <w:rsid w:val="00B552A4"/>
    <w:rsid w:val="00B57155"/>
    <w:rsid w:val="00B609E0"/>
    <w:rsid w:val="00B610A4"/>
    <w:rsid w:val="00B612FE"/>
    <w:rsid w:val="00B62D71"/>
    <w:rsid w:val="00B63CA3"/>
    <w:rsid w:val="00B643CB"/>
    <w:rsid w:val="00B71234"/>
    <w:rsid w:val="00B72069"/>
    <w:rsid w:val="00B74F24"/>
    <w:rsid w:val="00B75373"/>
    <w:rsid w:val="00B754BD"/>
    <w:rsid w:val="00B804BD"/>
    <w:rsid w:val="00B83A3B"/>
    <w:rsid w:val="00B86BD2"/>
    <w:rsid w:val="00B91837"/>
    <w:rsid w:val="00B91E99"/>
    <w:rsid w:val="00B929FD"/>
    <w:rsid w:val="00B92BC3"/>
    <w:rsid w:val="00B9340B"/>
    <w:rsid w:val="00B94755"/>
    <w:rsid w:val="00B94860"/>
    <w:rsid w:val="00BA0576"/>
    <w:rsid w:val="00BA3905"/>
    <w:rsid w:val="00BA4957"/>
    <w:rsid w:val="00BA5D98"/>
    <w:rsid w:val="00BA5F9C"/>
    <w:rsid w:val="00BA65EB"/>
    <w:rsid w:val="00BA7A7B"/>
    <w:rsid w:val="00BB0294"/>
    <w:rsid w:val="00BB0EE5"/>
    <w:rsid w:val="00BB1F01"/>
    <w:rsid w:val="00BB33F9"/>
    <w:rsid w:val="00BB5882"/>
    <w:rsid w:val="00BB5C6D"/>
    <w:rsid w:val="00BB7712"/>
    <w:rsid w:val="00BB7BE2"/>
    <w:rsid w:val="00BC1A1E"/>
    <w:rsid w:val="00BC1F32"/>
    <w:rsid w:val="00BC2860"/>
    <w:rsid w:val="00BC5C76"/>
    <w:rsid w:val="00BC6296"/>
    <w:rsid w:val="00BD0EF3"/>
    <w:rsid w:val="00BD1BC2"/>
    <w:rsid w:val="00BD1D2C"/>
    <w:rsid w:val="00BD2FC6"/>
    <w:rsid w:val="00BD3793"/>
    <w:rsid w:val="00BD3EE3"/>
    <w:rsid w:val="00BD432E"/>
    <w:rsid w:val="00BD550C"/>
    <w:rsid w:val="00BD5EA2"/>
    <w:rsid w:val="00BD683D"/>
    <w:rsid w:val="00BD72A5"/>
    <w:rsid w:val="00BE0492"/>
    <w:rsid w:val="00BE0DA4"/>
    <w:rsid w:val="00BE2CB8"/>
    <w:rsid w:val="00BE3C57"/>
    <w:rsid w:val="00BE5339"/>
    <w:rsid w:val="00BE5816"/>
    <w:rsid w:val="00BE6762"/>
    <w:rsid w:val="00BF11D2"/>
    <w:rsid w:val="00BF2DCA"/>
    <w:rsid w:val="00BF4F12"/>
    <w:rsid w:val="00BF6237"/>
    <w:rsid w:val="00BF69FA"/>
    <w:rsid w:val="00BF7D3A"/>
    <w:rsid w:val="00BF7F85"/>
    <w:rsid w:val="00C003E7"/>
    <w:rsid w:val="00C00CAE"/>
    <w:rsid w:val="00C01119"/>
    <w:rsid w:val="00C01760"/>
    <w:rsid w:val="00C0261A"/>
    <w:rsid w:val="00C03B07"/>
    <w:rsid w:val="00C0490D"/>
    <w:rsid w:val="00C11ADC"/>
    <w:rsid w:val="00C128BF"/>
    <w:rsid w:val="00C13287"/>
    <w:rsid w:val="00C14522"/>
    <w:rsid w:val="00C14574"/>
    <w:rsid w:val="00C14BC7"/>
    <w:rsid w:val="00C15B4B"/>
    <w:rsid w:val="00C16A33"/>
    <w:rsid w:val="00C20837"/>
    <w:rsid w:val="00C2097A"/>
    <w:rsid w:val="00C239E5"/>
    <w:rsid w:val="00C302A0"/>
    <w:rsid w:val="00C31484"/>
    <w:rsid w:val="00C32BEA"/>
    <w:rsid w:val="00C32F64"/>
    <w:rsid w:val="00C3321C"/>
    <w:rsid w:val="00C36AAF"/>
    <w:rsid w:val="00C37282"/>
    <w:rsid w:val="00C41188"/>
    <w:rsid w:val="00C4151E"/>
    <w:rsid w:val="00C41910"/>
    <w:rsid w:val="00C41B37"/>
    <w:rsid w:val="00C433F5"/>
    <w:rsid w:val="00C43CB8"/>
    <w:rsid w:val="00C43D84"/>
    <w:rsid w:val="00C47470"/>
    <w:rsid w:val="00C50B95"/>
    <w:rsid w:val="00C52EA6"/>
    <w:rsid w:val="00C55B79"/>
    <w:rsid w:val="00C57FC5"/>
    <w:rsid w:val="00C6188C"/>
    <w:rsid w:val="00C6690C"/>
    <w:rsid w:val="00C670E8"/>
    <w:rsid w:val="00C67A1F"/>
    <w:rsid w:val="00C67AB8"/>
    <w:rsid w:val="00C67D68"/>
    <w:rsid w:val="00C704B3"/>
    <w:rsid w:val="00C704FA"/>
    <w:rsid w:val="00C70980"/>
    <w:rsid w:val="00C724C8"/>
    <w:rsid w:val="00C734D6"/>
    <w:rsid w:val="00C73516"/>
    <w:rsid w:val="00C746A5"/>
    <w:rsid w:val="00C75811"/>
    <w:rsid w:val="00C76F1A"/>
    <w:rsid w:val="00C8137D"/>
    <w:rsid w:val="00C85F94"/>
    <w:rsid w:val="00C878E2"/>
    <w:rsid w:val="00C9146A"/>
    <w:rsid w:val="00C93E36"/>
    <w:rsid w:val="00C93F6F"/>
    <w:rsid w:val="00C9494A"/>
    <w:rsid w:val="00C95DF6"/>
    <w:rsid w:val="00C95FFB"/>
    <w:rsid w:val="00C96A6D"/>
    <w:rsid w:val="00C96BFB"/>
    <w:rsid w:val="00C97F6D"/>
    <w:rsid w:val="00CA248A"/>
    <w:rsid w:val="00CA3D83"/>
    <w:rsid w:val="00CA4F7E"/>
    <w:rsid w:val="00CA5C05"/>
    <w:rsid w:val="00CA66AA"/>
    <w:rsid w:val="00CB2B12"/>
    <w:rsid w:val="00CB35A8"/>
    <w:rsid w:val="00CB4E3F"/>
    <w:rsid w:val="00CB638F"/>
    <w:rsid w:val="00CB6FC8"/>
    <w:rsid w:val="00CC045D"/>
    <w:rsid w:val="00CC182F"/>
    <w:rsid w:val="00CC3FE9"/>
    <w:rsid w:val="00CC4055"/>
    <w:rsid w:val="00CC41CC"/>
    <w:rsid w:val="00CD1437"/>
    <w:rsid w:val="00CD1445"/>
    <w:rsid w:val="00CD279F"/>
    <w:rsid w:val="00CD320A"/>
    <w:rsid w:val="00CD676B"/>
    <w:rsid w:val="00CD6778"/>
    <w:rsid w:val="00CE0E71"/>
    <w:rsid w:val="00CE0FE7"/>
    <w:rsid w:val="00CE26E6"/>
    <w:rsid w:val="00CE2F31"/>
    <w:rsid w:val="00CE52BB"/>
    <w:rsid w:val="00CF25D8"/>
    <w:rsid w:val="00CF466A"/>
    <w:rsid w:val="00CF5772"/>
    <w:rsid w:val="00CF6F5E"/>
    <w:rsid w:val="00CF7776"/>
    <w:rsid w:val="00CF77F6"/>
    <w:rsid w:val="00D02430"/>
    <w:rsid w:val="00D05585"/>
    <w:rsid w:val="00D06251"/>
    <w:rsid w:val="00D06D43"/>
    <w:rsid w:val="00D07308"/>
    <w:rsid w:val="00D07DB6"/>
    <w:rsid w:val="00D103C8"/>
    <w:rsid w:val="00D105B1"/>
    <w:rsid w:val="00D1111F"/>
    <w:rsid w:val="00D11A78"/>
    <w:rsid w:val="00D13D41"/>
    <w:rsid w:val="00D15867"/>
    <w:rsid w:val="00D15D72"/>
    <w:rsid w:val="00D1703B"/>
    <w:rsid w:val="00D2032F"/>
    <w:rsid w:val="00D2041F"/>
    <w:rsid w:val="00D20558"/>
    <w:rsid w:val="00D22165"/>
    <w:rsid w:val="00D224EB"/>
    <w:rsid w:val="00D22C91"/>
    <w:rsid w:val="00D2374F"/>
    <w:rsid w:val="00D23E16"/>
    <w:rsid w:val="00D2509A"/>
    <w:rsid w:val="00D279C8"/>
    <w:rsid w:val="00D3290B"/>
    <w:rsid w:val="00D333B1"/>
    <w:rsid w:val="00D36DBF"/>
    <w:rsid w:val="00D371CA"/>
    <w:rsid w:val="00D40B34"/>
    <w:rsid w:val="00D44592"/>
    <w:rsid w:val="00D4498C"/>
    <w:rsid w:val="00D458F8"/>
    <w:rsid w:val="00D51892"/>
    <w:rsid w:val="00D52F9F"/>
    <w:rsid w:val="00D5316C"/>
    <w:rsid w:val="00D5497E"/>
    <w:rsid w:val="00D558A6"/>
    <w:rsid w:val="00D55E55"/>
    <w:rsid w:val="00D62217"/>
    <w:rsid w:val="00D62E40"/>
    <w:rsid w:val="00D66B70"/>
    <w:rsid w:val="00D71501"/>
    <w:rsid w:val="00D731F2"/>
    <w:rsid w:val="00D73BF3"/>
    <w:rsid w:val="00D740C9"/>
    <w:rsid w:val="00D7607D"/>
    <w:rsid w:val="00D776BC"/>
    <w:rsid w:val="00D77B2D"/>
    <w:rsid w:val="00D81CE0"/>
    <w:rsid w:val="00D828C8"/>
    <w:rsid w:val="00D849F1"/>
    <w:rsid w:val="00D857D0"/>
    <w:rsid w:val="00D9049E"/>
    <w:rsid w:val="00D90536"/>
    <w:rsid w:val="00D9352C"/>
    <w:rsid w:val="00D93E12"/>
    <w:rsid w:val="00D94049"/>
    <w:rsid w:val="00D945A6"/>
    <w:rsid w:val="00D94B4E"/>
    <w:rsid w:val="00D94DE3"/>
    <w:rsid w:val="00DA0564"/>
    <w:rsid w:val="00DA2E83"/>
    <w:rsid w:val="00DA5025"/>
    <w:rsid w:val="00DA5621"/>
    <w:rsid w:val="00DB045D"/>
    <w:rsid w:val="00DB0CB6"/>
    <w:rsid w:val="00DB0DF5"/>
    <w:rsid w:val="00DB1C92"/>
    <w:rsid w:val="00DB2011"/>
    <w:rsid w:val="00DB38AD"/>
    <w:rsid w:val="00DB4922"/>
    <w:rsid w:val="00DB5962"/>
    <w:rsid w:val="00DB7033"/>
    <w:rsid w:val="00DC0723"/>
    <w:rsid w:val="00DC1155"/>
    <w:rsid w:val="00DC2014"/>
    <w:rsid w:val="00DC2B1F"/>
    <w:rsid w:val="00DC5EEB"/>
    <w:rsid w:val="00DC6BA2"/>
    <w:rsid w:val="00DC786F"/>
    <w:rsid w:val="00DD21EC"/>
    <w:rsid w:val="00DD2DFF"/>
    <w:rsid w:val="00DD3F62"/>
    <w:rsid w:val="00DD4379"/>
    <w:rsid w:val="00DD4543"/>
    <w:rsid w:val="00DD4753"/>
    <w:rsid w:val="00DD6DB9"/>
    <w:rsid w:val="00DD7BB2"/>
    <w:rsid w:val="00DE11E9"/>
    <w:rsid w:val="00DE1D7C"/>
    <w:rsid w:val="00DE274C"/>
    <w:rsid w:val="00DE32E5"/>
    <w:rsid w:val="00DE39FD"/>
    <w:rsid w:val="00DE4BA8"/>
    <w:rsid w:val="00DE560D"/>
    <w:rsid w:val="00DE74FA"/>
    <w:rsid w:val="00DE7534"/>
    <w:rsid w:val="00DF10DA"/>
    <w:rsid w:val="00DF680B"/>
    <w:rsid w:val="00DF789C"/>
    <w:rsid w:val="00E00D67"/>
    <w:rsid w:val="00E02629"/>
    <w:rsid w:val="00E0272F"/>
    <w:rsid w:val="00E031D6"/>
    <w:rsid w:val="00E05168"/>
    <w:rsid w:val="00E05938"/>
    <w:rsid w:val="00E07631"/>
    <w:rsid w:val="00E07869"/>
    <w:rsid w:val="00E07B77"/>
    <w:rsid w:val="00E1146D"/>
    <w:rsid w:val="00E13E08"/>
    <w:rsid w:val="00E171D6"/>
    <w:rsid w:val="00E20554"/>
    <w:rsid w:val="00E2185F"/>
    <w:rsid w:val="00E23859"/>
    <w:rsid w:val="00E2387B"/>
    <w:rsid w:val="00E2663C"/>
    <w:rsid w:val="00E30A86"/>
    <w:rsid w:val="00E32A39"/>
    <w:rsid w:val="00E34A0B"/>
    <w:rsid w:val="00E402C4"/>
    <w:rsid w:val="00E40EDE"/>
    <w:rsid w:val="00E41EE3"/>
    <w:rsid w:val="00E44D14"/>
    <w:rsid w:val="00E45847"/>
    <w:rsid w:val="00E4644A"/>
    <w:rsid w:val="00E46BBF"/>
    <w:rsid w:val="00E532D9"/>
    <w:rsid w:val="00E53585"/>
    <w:rsid w:val="00E55741"/>
    <w:rsid w:val="00E57A41"/>
    <w:rsid w:val="00E6070F"/>
    <w:rsid w:val="00E61F11"/>
    <w:rsid w:val="00E62B25"/>
    <w:rsid w:val="00E63BEC"/>
    <w:rsid w:val="00E642C6"/>
    <w:rsid w:val="00E66BBA"/>
    <w:rsid w:val="00E7378D"/>
    <w:rsid w:val="00E73817"/>
    <w:rsid w:val="00E740A2"/>
    <w:rsid w:val="00E74A78"/>
    <w:rsid w:val="00E75278"/>
    <w:rsid w:val="00E8062B"/>
    <w:rsid w:val="00E81177"/>
    <w:rsid w:val="00E8304A"/>
    <w:rsid w:val="00E8614B"/>
    <w:rsid w:val="00E867E7"/>
    <w:rsid w:val="00E8770D"/>
    <w:rsid w:val="00E87A0F"/>
    <w:rsid w:val="00E9061C"/>
    <w:rsid w:val="00E90C22"/>
    <w:rsid w:val="00E9212A"/>
    <w:rsid w:val="00E969D2"/>
    <w:rsid w:val="00EA12BB"/>
    <w:rsid w:val="00EA2585"/>
    <w:rsid w:val="00EA33A5"/>
    <w:rsid w:val="00EB111A"/>
    <w:rsid w:val="00EB2625"/>
    <w:rsid w:val="00EB2A16"/>
    <w:rsid w:val="00EB2D74"/>
    <w:rsid w:val="00EB3A43"/>
    <w:rsid w:val="00EB5F85"/>
    <w:rsid w:val="00EB7238"/>
    <w:rsid w:val="00EC0427"/>
    <w:rsid w:val="00EC1451"/>
    <w:rsid w:val="00EC2BF9"/>
    <w:rsid w:val="00EC3EE2"/>
    <w:rsid w:val="00EC4157"/>
    <w:rsid w:val="00EC6E56"/>
    <w:rsid w:val="00ED049A"/>
    <w:rsid w:val="00ED0609"/>
    <w:rsid w:val="00ED08A5"/>
    <w:rsid w:val="00ED2B24"/>
    <w:rsid w:val="00ED3179"/>
    <w:rsid w:val="00ED4067"/>
    <w:rsid w:val="00ED4D18"/>
    <w:rsid w:val="00EE05ED"/>
    <w:rsid w:val="00EE1AF6"/>
    <w:rsid w:val="00EE47CC"/>
    <w:rsid w:val="00EE5958"/>
    <w:rsid w:val="00EE6833"/>
    <w:rsid w:val="00EE724C"/>
    <w:rsid w:val="00EF1660"/>
    <w:rsid w:val="00EF241D"/>
    <w:rsid w:val="00EF6EB9"/>
    <w:rsid w:val="00F07BE7"/>
    <w:rsid w:val="00F117A9"/>
    <w:rsid w:val="00F11CE5"/>
    <w:rsid w:val="00F14D62"/>
    <w:rsid w:val="00F1727A"/>
    <w:rsid w:val="00F17385"/>
    <w:rsid w:val="00F20535"/>
    <w:rsid w:val="00F20D6A"/>
    <w:rsid w:val="00F20F5A"/>
    <w:rsid w:val="00F2108F"/>
    <w:rsid w:val="00F221C6"/>
    <w:rsid w:val="00F23381"/>
    <w:rsid w:val="00F2603C"/>
    <w:rsid w:val="00F305C4"/>
    <w:rsid w:val="00F32EDD"/>
    <w:rsid w:val="00F330CC"/>
    <w:rsid w:val="00F334BA"/>
    <w:rsid w:val="00F33C9C"/>
    <w:rsid w:val="00F3616A"/>
    <w:rsid w:val="00F367E1"/>
    <w:rsid w:val="00F4071F"/>
    <w:rsid w:val="00F41EEF"/>
    <w:rsid w:val="00F42D64"/>
    <w:rsid w:val="00F42DC6"/>
    <w:rsid w:val="00F43BBB"/>
    <w:rsid w:val="00F44180"/>
    <w:rsid w:val="00F47B4D"/>
    <w:rsid w:val="00F50DD3"/>
    <w:rsid w:val="00F50F6B"/>
    <w:rsid w:val="00F520D3"/>
    <w:rsid w:val="00F54BEE"/>
    <w:rsid w:val="00F5718A"/>
    <w:rsid w:val="00F57199"/>
    <w:rsid w:val="00F6423D"/>
    <w:rsid w:val="00F64EF0"/>
    <w:rsid w:val="00F65C4E"/>
    <w:rsid w:val="00F65E99"/>
    <w:rsid w:val="00F6740A"/>
    <w:rsid w:val="00F724D1"/>
    <w:rsid w:val="00F72650"/>
    <w:rsid w:val="00F7283B"/>
    <w:rsid w:val="00F72EA7"/>
    <w:rsid w:val="00F7334E"/>
    <w:rsid w:val="00F747FC"/>
    <w:rsid w:val="00F7623B"/>
    <w:rsid w:val="00F7704B"/>
    <w:rsid w:val="00F819CB"/>
    <w:rsid w:val="00F85055"/>
    <w:rsid w:val="00F85253"/>
    <w:rsid w:val="00F855CF"/>
    <w:rsid w:val="00F85F29"/>
    <w:rsid w:val="00F86EC3"/>
    <w:rsid w:val="00F8773C"/>
    <w:rsid w:val="00F9204E"/>
    <w:rsid w:val="00F941EF"/>
    <w:rsid w:val="00F97058"/>
    <w:rsid w:val="00F97E5F"/>
    <w:rsid w:val="00FA0AF3"/>
    <w:rsid w:val="00FA4440"/>
    <w:rsid w:val="00FA5896"/>
    <w:rsid w:val="00FA5FCE"/>
    <w:rsid w:val="00FA734E"/>
    <w:rsid w:val="00FB0556"/>
    <w:rsid w:val="00FB1E50"/>
    <w:rsid w:val="00FB2442"/>
    <w:rsid w:val="00FB385E"/>
    <w:rsid w:val="00FB3A2D"/>
    <w:rsid w:val="00FB3D6A"/>
    <w:rsid w:val="00FB4C1C"/>
    <w:rsid w:val="00FB6999"/>
    <w:rsid w:val="00FC033B"/>
    <w:rsid w:val="00FC0999"/>
    <w:rsid w:val="00FC1625"/>
    <w:rsid w:val="00FC414E"/>
    <w:rsid w:val="00FD11B6"/>
    <w:rsid w:val="00FD133D"/>
    <w:rsid w:val="00FD436A"/>
    <w:rsid w:val="00FD6062"/>
    <w:rsid w:val="00FD75C9"/>
    <w:rsid w:val="00FD77C8"/>
    <w:rsid w:val="00FE087C"/>
    <w:rsid w:val="00FE1019"/>
    <w:rsid w:val="00FE1BF3"/>
    <w:rsid w:val="00FE2F1F"/>
    <w:rsid w:val="00FE336F"/>
    <w:rsid w:val="00FE41D9"/>
    <w:rsid w:val="00FE5130"/>
    <w:rsid w:val="00FE6DF3"/>
    <w:rsid w:val="00FE71B4"/>
    <w:rsid w:val="00FE7D58"/>
    <w:rsid w:val="00FF0488"/>
    <w:rsid w:val="00FF0CC3"/>
    <w:rsid w:val="00FF0E29"/>
    <w:rsid w:val="00FF25DA"/>
    <w:rsid w:val="00FF3B74"/>
    <w:rsid w:val="00FF4CA9"/>
    <w:rsid w:val="00FF5059"/>
    <w:rsid w:val="01547F4A"/>
    <w:rsid w:val="0602384F"/>
    <w:rsid w:val="0ABD9DE3"/>
    <w:rsid w:val="0E7CA39F"/>
    <w:rsid w:val="15AE1B32"/>
    <w:rsid w:val="17AB17D3"/>
    <w:rsid w:val="17CD3D00"/>
    <w:rsid w:val="1EC94B4F"/>
    <w:rsid w:val="23DC18A5"/>
    <w:rsid w:val="28FB56CD"/>
    <w:rsid w:val="2D702ED0"/>
    <w:rsid w:val="3141B187"/>
    <w:rsid w:val="3B75E94B"/>
    <w:rsid w:val="45ACB003"/>
    <w:rsid w:val="46192914"/>
    <w:rsid w:val="5255DD71"/>
    <w:rsid w:val="5975F053"/>
    <w:rsid w:val="5B857CC1"/>
    <w:rsid w:val="64A47EB1"/>
    <w:rsid w:val="6DCA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817BD"/>
  <w15:chartTrackingRefBased/>
  <w15:docId w15:val="{84778EFB-2A6E-4D12-94D1-463120A3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22C"/>
    <w:pPr>
      <w:spacing w:after="120" w:line="276"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01267D"/>
    <w:pPr>
      <w:spacing w:after="0" w:line="240" w:lineRule="auto"/>
      <w:ind w:left="720"/>
      <w:jc w:val="left"/>
    </w:pPr>
    <w:rPr>
      <w:rFonts w:cs="Times New Roman"/>
      <w:szCs w:val="24"/>
    </w:rPr>
  </w:style>
  <w:style w:type="paragraph" w:styleId="FootnoteText">
    <w:name w:val="footnote text"/>
    <w:basedOn w:val="Normal"/>
    <w:link w:val="FootnoteTextChar"/>
    <w:uiPriority w:val="99"/>
    <w:unhideWhenUsed/>
    <w:rsid w:val="0042771D"/>
    <w:pPr>
      <w:spacing w:after="0" w:line="240" w:lineRule="auto"/>
    </w:pPr>
    <w:rPr>
      <w:sz w:val="20"/>
      <w:szCs w:val="20"/>
    </w:rPr>
  </w:style>
  <w:style w:type="character" w:customStyle="1" w:styleId="FootnoteTextChar">
    <w:name w:val="Footnote Text Char"/>
    <w:basedOn w:val="DefaultParagraphFont"/>
    <w:link w:val="FootnoteText"/>
    <w:uiPriority w:val="99"/>
    <w:rsid w:val="0042771D"/>
    <w:rPr>
      <w:rFonts w:ascii="Times New Roman" w:hAnsi="Times New Roman"/>
      <w:sz w:val="20"/>
      <w:szCs w:val="20"/>
    </w:rPr>
  </w:style>
  <w:style w:type="character" w:styleId="FootnoteReference">
    <w:name w:val="footnote reference"/>
    <w:basedOn w:val="DefaultParagraphFont"/>
    <w:uiPriority w:val="99"/>
    <w:unhideWhenUsed/>
    <w:rsid w:val="0042771D"/>
    <w:rPr>
      <w:vertAlign w:val="superscript"/>
    </w:rPr>
  </w:style>
  <w:style w:type="character" w:styleId="Hyperlink">
    <w:name w:val="Hyperlink"/>
    <w:basedOn w:val="DefaultParagraphFont"/>
    <w:uiPriority w:val="99"/>
    <w:unhideWhenUsed/>
    <w:rsid w:val="00BB5882"/>
    <w:rPr>
      <w:color w:val="0563C1" w:themeColor="hyperlink"/>
      <w:u w:val="single"/>
    </w:rPr>
  </w:style>
  <w:style w:type="paragraph" w:styleId="ListParagraph">
    <w:name w:val="List Paragraph"/>
    <w:basedOn w:val="Normal"/>
    <w:uiPriority w:val="34"/>
    <w:qFormat/>
    <w:rsid w:val="00DB0CB6"/>
    <w:pPr>
      <w:ind w:left="720"/>
      <w:contextualSpacing/>
    </w:pPr>
  </w:style>
  <w:style w:type="paragraph" w:styleId="Title">
    <w:name w:val="Title"/>
    <w:basedOn w:val="Normal"/>
    <w:link w:val="TitleChar"/>
    <w:qFormat/>
    <w:rsid w:val="00CF7776"/>
    <w:pPr>
      <w:spacing w:after="0" w:line="240" w:lineRule="auto"/>
      <w:jc w:val="center"/>
    </w:pPr>
    <w:rPr>
      <w:rFonts w:eastAsia="Times New Roman" w:cs="Times New Roman"/>
      <w:szCs w:val="20"/>
    </w:rPr>
  </w:style>
  <w:style w:type="character" w:customStyle="1" w:styleId="TitleChar">
    <w:name w:val="Title Char"/>
    <w:basedOn w:val="DefaultParagraphFont"/>
    <w:link w:val="Title"/>
    <w:rsid w:val="00CF7776"/>
    <w:rPr>
      <w:rFonts w:ascii="Times New Roman" w:eastAsia="Times New Roman" w:hAnsi="Times New Roman" w:cs="Times New Roman"/>
      <w:sz w:val="24"/>
      <w:szCs w:val="20"/>
    </w:rPr>
  </w:style>
  <w:style w:type="paragraph" w:styleId="Caption">
    <w:name w:val="caption"/>
    <w:basedOn w:val="Normal"/>
    <w:next w:val="Normal"/>
    <w:qFormat/>
    <w:rsid w:val="00CF7776"/>
    <w:pPr>
      <w:spacing w:after="0" w:line="240" w:lineRule="auto"/>
      <w:jc w:val="center"/>
    </w:pPr>
    <w:rPr>
      <w:rFonts w:eastAsia="Times New Roman" w:cs="Times New Roman"/>
      <w:b/>
      <w:szCs w:val="20"/>
    </w:rPr>
  </w:style>
  <w:style w:type="paragraph" w:styleId="BalloonText">
    <w:name w:val="Balloon Text"/>
    <w:basedOn w:val="Normal"/>
    <w:link w:val="BalloonTextChar"/>
    <w:uiPriority w:val="99"/>
    <w:semiHidden/>
    <w:unhideWhenUsed/>
    <w:rsid w:val="00CF7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776"/>
    <w:rPr>
      <w:rFonts w:ascii="Segoe UI" w:hAnsi="Segoe UI" w:cs="Segoe UI"/>
      <w:sz w:val="18"/>
      <w:szCs w:val="18"/>
    </w:rPr>
  </w:style>
  <w:style w:type="paragraph" w:styleId="Header">
    <w:name w:val="header"/>
    <w:basedOn w:val="Normal"/>
    <w:link w:val="HeaderChar"/>
    <w:uiPriority w:val="99"/>
    <w:unhideWhenUsed/>
    <w:rsid w:val="00C76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F1A"/>
    <w:rPr>
      <w:rFonts w:ascii="Times New Roman" w:hAnsi="Times New Roman"/>
      <w:sz w:val="24"/>
    </w:rPr>
  </w:style>
  <w:style w:type="paragraph" w:styleId="Footer">
    <w:name w:val="footer"/>
    <w:basedOn w:val="Normal"/>
    <w:link w:val="FooterChar"/>
    <w:uiPriority w:val="99"/>
    <w:unhideWhenUsed/>
    <w:rsid w:val="00C76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F1A"/>
    <w:rPr>
      <w:rFonts w:ascii="Times New Roman" w:hAnsi="Times New Roman"/>
      <w:sz w:val="24"/>
    </w:rPr>
  </w:style>
  <w:style w:type="character" w:styleId="CommentReference">
    <w:name w:val="annotation reference"/>
    <w:basedOn w:val="DefaultParagraphFont"/>
    <w:uiPriority w:val="99"/>
    <w:semiHidden/>
    <w:unhideWhenUsed/>
    <w:rsid w:val="00525872"/>
    <w:rPr>
      <w:sz w:val="16"/>
      <w:szCs w:val="16"/>
    </w:rPr>
  </w:style>
  <w:style w:type="paragraph" w:styleId="CommentText">
    <w:name w:val="annotation text"/>
    <w:basedOn w:val="Normal"/>
    <w:link w:val="CommentTextChar"/>
    <w:uiPriority w:val="99"/>
    <w:unhideWhenUsed/>
    <w:rsid w:val="00525872"/>
    <w:pPr>
      <w:spacing w:line="240" w:lineRule="auto"/>
    </w:pPr>
    <w:rPr>
      <w:sz w:val="20"/>
      <w:szCs w:val="20"/>
    </w:rPr>
  </w:style>
  <w:style w:type="character" w:customStyle="1" w:styleId="CommentTextChar">
    <w:name w:val="Comment Text Char"/>
    <w:basedOn w:val="DefaultParagraphFont"/>
    <w:link w:val="CommentText"/>
    <w:uiPriority w:val="99"/>
    <w:rsid w:val="0052587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25872"/>
    <w:rPr>
      <w:b/>
      <w:bCs/>
    </w:rPr>
  </w:style>
  <w:style w:type="character" w:customStyle="1" w:styleId="CommentSubjectChar">
    <w:name w:val="Comment Subject Char"/>
    <w:basedOn w:val="CommentTextChar"/>
    <w:link w:val="CommentSubject"/>
    <w:uiPriority w:val="99"/>
    <w:semiHidden/>
    <w:rsid w:val="00525872"/>
    <w:rPr>
      <w:rFonts w:ascii="Times New Roman" w:hAnsi="Times New Roman"/>
      <w:b/>
      <w:bCs/>
      <w:sz w:val="20"/>
      <w:szCs w:val="20"/>
    </w:rPr>
  </w:style>
  <w:style w:type="paragraph" w:styleId="BodyText">
    <w:name w:val="Body Text"/>
    <w:basedOn w:val="Normal"/>
    <w:link w:val="BodyTextChar"/>
    <w:rsid w:val="00B62D71"/>
    <w:pPr>
      <w:spacing w:after="0" w:line="480" w:lineRule="auto"/>
    </w:pPr>
    <w:rPr>
      <w:rFonts w:eastAsia="Times New Roman" w:cs="Times New Roman"/>
      <w:szCs w:val="20"/>
    </w:rPr>
  </w:style>
  <w:style w:type="character" w:customStyle="1" w:styleId="BodyTextChar">
    <w:name w:val="Body Text Char"/>
    <w:basedOn w:val="DefaultParagraphFont"/>
    <w:link w:val="BodyText"/>
    <w:rsid w:val="00B62D71"/>
    <w:rPr>
      <w:rFonts w:ascii="Times New Roman" w:eastAsia="Times New Roman" w:hAnsi="Times New Roman" w:cs="Times New Roman"/>
      <w:sz w:val="24"/>
      <w:szCs w:val="20"/>
    </w:rPr>
  </w:style>
  <w:style w:type="paragraph" w:styleId="Signature">
    <w:name w:val="Signature"/>
    <w:basedOn w:val="Normal"/>
    <w:link w:val="SignatureChar"/>
    <w:rsid w:val="00B62D71"/>
    <w:pPr>
      <w:keepNext/>
      <w:keepLines/>
      <w:tabs>
        <w:tab w:val="right" w:pos="9360"/>
      </w:tabs>
      <w:spacing w:after="0" w:line="240" w:lineRule="auto"/>
      <w:ind w:left="4680"/>
      <w:jc w:val="left"/>
    </w:pPr>
    <w:rPr>
      <w:rFonts w:eastAsia="MS Mincho" w:cs="Times New Roman"/>
      <w:szCs w:val="20"/>
    </w:rPr>
  </w:style>
  <w:style w:type="character" w:customStyle="1" w:styleId="SignatureChar">
    <w:name w:val="Signature Char"/>
    <w:basedOn w:val="DefaultParagraphFont"/>
    <w:link w:val="Signature"/>
    <w:rsid w:val="00B62D71"/>
    <w:rPr>
      <w:rFonts w:ascii="Times New Roman" w:eastAsia="MS Mincho" w:hAnsi="Times New Roman" w:cs="Times New Roman"/>
      <w:sz w:val="24"/>
      <w:szCs w:val="20"/>
    </w:rPr>
  </w:style>
  <w:style w:type="character" w:customStyle="1" w:styleId="UnresolvedMention1">
    <w:name w:val="Unresolved Mention1"/>
    <w:basedOn w:val="DefaultParagraphFont"/>
    <w:uiPriority w:val="99"/>
    <w:semiHidden/>
    <w:unhideWhenUsed/>
    <w:rsid w:val="00360F5D"/>
    <w:rPr>
      <w:color w:val="605E5C"/>
      <w:shd w:val="clear" w:color="auto" w:fill="E1DFDD"/>
    </w:rPr>
  </w:style>
  <w:style w:type="table" w:styleId="TableGrid">
    <w:name w:val="Table Grid"/>
    <w:basedOn w:val="TableNormal"/>
    <w:uiPriority w:val="39"/>
    <w:rsid w:val="00DC2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07819"/>
    <w:pPr>
      <w:spacing w:after="0" w:line="240" w:lineRule="auto"/>
      <w:jc w:val="left"/>
    </w:pPr>
    <w:rPr>
      <w:rFonts w:ascii="Calibri" w:hAnsi="Calibri" w:cs="Calibri"/>
      <w:sz w:val="22"/>
    </w:rPr>
  </w:style>
  <w:style w:type="character" w:styleId="FollowedHyperlink">
    <w:name w:val="FollowedHyperlink"/>
    <w:basedOn w:val="DefaultParagraphFont"/>
    <w:uiPriority w:val="99"/>
    <w:semiHidden/>
    <w:unhideWhenUsed/>
    <w:rsid w:val="008E537E"/>
    <w:rPr>
      <w:color w:val="954F72" w:themeColor="followedHyperlink"/>
      <w:u w:val="single"/>
    </w:rPr>
  </w:style>
  <w:style w:type="paragraph" w:styleId="Revision">
    <w:name w:val="Revision"/>
    <w:hidden/>
    <w:uiPriority w:val="99"/>
    <w:semiHidden/>
    <w:rsid w:val="006D70F5"/>
    <w:pPr>
      <w:spacing w:after="0" w:line="240" w:lineRule="auto"/>
    </w:pPr>
    <w:rPr>
      <w:rFonts w:ascii="Times New Roman" w:hAnsi="Times New Roman"/>
      <w:sz w:val="24"/>
    </w:rPr>
  </w:style>
  <w:style w:type="paragraph" w:customStyle="1" w:styleId="Default">
    <w:name w:val="Default"/>
    <w:rsid w:val="00841533"/>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57F7A"/>
    <w:rPr>
      <w:b/>
      <w:bCs/>
    </w:rPr>
  </w:style>
  <w:style w:type="paragraph" w:styleId="NoSpacing">
    <w:name w:val="No Spacing"/>
    <w:uiPriority w:val="1"/>
    <w:qFormat/>
    <w:rsid w:val="00471640"/>
    <w:pPr>
      <w:spacing w:after="0" w:line="240" w:lineRule="auto"/>
      <w:jc w:val="both"/>
    </w:pPr>
    <w:rPr>
      <w:rFonts w:ascii="Times New Roman" w:hAnsi="Times New Roman"/>
      <w:sz w:val="24"/>
    </w:rPr>
  </w:style>
  <w:style w:type="paragraph" w:customStyle="1" w:styleId="left">
    <w:name w:val="left"/>
    <w:basedOn w:val="Normal"/>
    <w:rsid w:val="007679E4"/>
    <w:pPr>
      <w:spacing w:before="100" w:beforeAutospacing="1" w:after="100" w:afterAutospacing="1" w:line="240" w:lineRule="auto"/>
      <w:jc w:val="left"/>
    </w:pPr>
    <w:rPr>
      <w:rFonts w:eastAsia="Times New Roman" w:cs="Times New Roman"/>
      <w:szCs w:val="24"/>
    </w:rPr>
  </w:style>
  <w:style w:type="paragraph" w:customStyle="1" w:styleId="pf0">
    <w:name w:val="pf0"/>
    <w:basedOn w:val="Normal"/>
    <w:rsid w:val="00133D27"/>
    <w:pPr>
      <w:spacing w:before="100" w:beforeAutospacing="1" w:after="100" w:afterAutospacing="1" w:line="240" w:lineRule="auto"/>
      <w:jc w:val="left"/>
    </w:pPr>
    <w:rPr>
      <w:rFonts w:eastAsia="Times New Roman" w:cs="Times New Roman"/>
      <w:szCs w:val="24"/>
    </w:rPr>
  </w:style>
  <w:style w:type="character" w:customStyle="1" w:styleId="cf01">
    <w:name w:val="cf01"/>
    <w:basedOn w:val="DefaultParagraphFont"/>
    <w:rsid w:val="00133D27"/>
    <w:rPr>
      <w:rFonts w:ascii="Segoe UI" w:hAnsi="Segoe UI" w:cs="Segoe UI" w:hint="default"/>
      <w:sz w:val="18"/>
      <w:szCs w:val="18"/>
    </w:rPr>
  </w:style>
  <w:style w:type="paragraph" w:styleId="EndnoteText">
    <w:name w:val="endnote text"/>
    <w:basedOn w:val="Normal"/>
    <w:link w:val="EndnoteTextChar"/>
    <w:uiPriority w:val="99"/>
    <w:semiHidden/>
    <w:unhideWhenUsed/>
    <w:rsid w:val="0024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24DC"/>
    <w:rPr>
      <w:rFonts w:ascii="Times New Roman" w:hAnsi="Times New Roman"/>
      <w:sz w:val="20"/>
      <w:szCs w:val="20"/>
    </w:rPr>
  </w:style>
  <w:style w:type="character" w:styleId="EndnoteReference">
    <w:name w:val="endnote reference"/>
    <w:basedOn w:val="DefaultParagraphFont"/>
    <w:uiPriority w:val="99"/>
    <w:semiHidden/>
    <w:unhideWhenUsed/>
    <w:rsid w:val="002424DC"/>
    <w:rPr>
      <w:vertAlign w:val="superscript"/>
    </w:rPr>
  </w:style>
  <w:style w:type="character" w:styleId="UnresolvedMention">
    <w:name w:val="Unresolved Mention"/>
    <w:basedOn w:val="DefaultParagraphFont"/>
    <w:uiPriority w:val="99"/>
    <w:semiHidden/>
    <w:unhideWhenUsed/>
    <w:rsid w:val="001C5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7685">
      <w:bodyDiv w:val="1"/>
      <w:marLeft w:val="0"/>
      <w:marRight w:val="0"/>
      <w:marTop w:val="0"/>
      <w:marBottom w:val="0"/>
      <w:divBdr>
        <w:top w:val="none" w:sz="0" w:space="0" w:color="auto"/>
        <w:left w:val="none" w:sz="0" w:space="0" w:color="auto"/>
        <w:bottom w:val="none" w:sz="0" w:space="0" w:color="auto"/>
        <w:right w:val="none" w:sz="0" w:space="0" w:color="auto"/>
      </w:divBdr>
      <w:divsChild>
        <w:div w:id="728576107">
          <w:marLeft w:val="274"/>
          <w:marRight w:val="0"/>
          <w:marTop w:val="150"/>
          <w:marBottom w:val="0"/>
          <w:divBdr>
            <w:top w:val="none" w:sz="0" w:space="0" w:color="auto"/>
            <w:left w:val="none" w:sz="0" w:space="0" w:color="auto"/>
            <w:bottom w:val="none" w:sz="0" w:space="0" w:color="auto"/>
            <w:right w:val="none" w:sz="0" w:space="0" w:color="auto"/>
          </w:divBdr>
        </w:div>
      </w:divsChild>
    </w:div>
    <w:div w:id="298075943">
      <w:bodyDiv w:val="1"/>
      <w:marLeft w:val="0"/>
      <w:marRight w:val="0"/>
      <w:marTop w:val="0"/>
      <w:marBottom w:val="0"/>
      <w:divBdr>
        <w:top w:val="none" w:sz="0" w:space="0" w:color="auto"/>
        <w:left w:val="none" w:sz="0" w:space="0" w:color="auto"/>
        <w:bottom w:val="none" w:sz="0" w:space="0" w:color="auto"/>
        <w:right w:val="none" w:sz="0" w:space="0" w:color="auto"/>
      </w:divBdr>
    </w:div>
    <w:div w:id="313342083">
      <w:bodyDiv w:val="1"/>
      <w:marLeft w:val="0"/>
      <w:marRight w:val="0"/>
      <w:marTop w:val="0"/>
      <w:marBottom w:val="0"/>
      <w:divBdr>
        <w:top w:val="none" w:sz="0" w:space="0" w:color="auto"/>
        <w:left w:val="none" w:sz="0" w:space="0" w:color="auto"/>
        <w:bottom w:val="none" w:sz="0" w:space="0" w:color="auto"/>
        <w:right w:val="none" w:sz="0" w:space="0" w:color="auto"/>
      </w:divBdr>
    </w:div>
    <w:div w:id="391926691">
      <w:bodyDiv w:val="1"/>
      <w:marLeft w:val="0"/>
      <w:marRight w:val="0"/>
      <w:marTop w:val="0"/>
      <w:marBottom w:val="0"/>
      <w:divBdr>
        <w:top w:val="none" w:sz="0" w:space="0" w:color="auto"/>
        <w:left w:val="none" w:sz="0" w:space="0" w:color="auto"/>
        <w:bottom w:val="none" w:sz="0" w:space="0" w:color="auto"/>
        <w:right w:val="none" w:sz="0" w:space="0" w:color="auto"/>
      </w:divBdr>
    </w:div>
    <w:div w:id="399787026">
      <w:bodyDiv w:val="1"/>
      <w:marLeft w:val="0"/>
      <w:marRight w:val="0"/>
      <w:marTop w:val="0"/>
      <w:marBottom w:val="0"/>
      <w:divBdr>
        <w:top w:val="none" w:sz="0" w:space="0" w:color="auto"/>
        <w:left w:val="none" w:sz="0" w:space="0" w:color="auto"/>
        <w:bottom w:val="none" w:sz="0" w:space="0" w:color="auto"/>
        <w:right w:val="none" w:sz="0" w:space="0" w:color="auto"/>
      </w:divBdr>
    </w:div>
    <w:div w:id="615479607">
      <w:bodyDiv w:val="1"/>
      <w:marLeft w:val="0"/>
      <w:marRight w:val="0"/>
      <w:marTop w:val="0"/>
      <w:marBottom w:val="0"/>
      <w:divBdr>
        <w:top w:val="none" w:sz="0" w:space="0" w:color="auto"/>
        <w:left w:val="none" w:sz="0" w:space="0" w:color="auto"/>
        <w:bottom w:val="none" w:sz="0" w:space="0" w:color="auto"/>
        <w:right w:val="none" w:sz="0" w:space="0" w:color="auto"/>
      </w:divBdr>
    </w:div>
    <w:div w:id="803350769">
      <w:bodyDiv w:val="1"/>
      <w:marLeft w:val="0"/>
      <w:marRight w:val="0"/>
      <w:marTop w:val="0"/>
      <w:marBottom w:val="0"/>
      <w:divBdr>
        <w:top w:val="none" w:sz="0" w:space="0" w:color="auto"/>
        <w:left w:val="none" w:sz="0" w:space="0" w:color="auto"/>
        <w:bottom w:val="none" w:sz="0" w:space="0" w:color="auto"/>
        <w:right w:val="none" w:sz="0" w:space="0" w:color="auto"/>
      </w:divBdr>
    </w:div>
    <w:div w:id="892234813">
      <w:bodyDiv w:val="1"/>
      <w:marLeft w:val="0"/>
      <w:marRight w:val="0"/>
      <w:marTop w:val="0"/>
      <w:marBottom w:val="0"/>
      <w:divBdr>
        <w:top w:val="none" w:sz="0" w:space="0" w:color="auto"/>
        <w:left w:val="none" w:sz="0" w:space="0" w:color="auto"/>
        <w:bottom w:val="none" w:sz="0" w:space="0" w:color="auto"/>
        <w:right w:val="none" w:sz="0" w:space="0" w:color="auto"/>
      </w:divBdr>
    </w:div>
    <w:div w:id="918251905">
      <w:bodyDiv w:val="1"/>
      <w:marLeft w:val="0"/>
      <w:marRight w:val="0"/>
      <w:marTop w:val="0"/>
      <w:marBottom w:val="0"/>
      <w:divBdr>
        <w:top w:val="none" w:sz="0" w:space="0" w:color="auto"/>
        <w:left w:val="none" w:sz="0" w:space="0" w:color="auto"/>
        <w:bottom w:val="none" w:sz="0" w:space="0" w:color="auto"/>
        <w:right w:val="none" w:sz="0" w:space="0" w:color="auto"/>
      </w:divBdr>
    </w:div>
    <w:div w:id="1007172016">
      <w:bodyDiv w:val="1"/>
      <w:marLeft w:val="0"/>
      <w:marRight w:val="0"/>
      <w:marTop w:val="0"/>
      <w:marBottom w:val="0"/>
      <w:divBdr>
        <w:top w:val="none" w:sz="0" w:space="0" w:color="auto"/>
        <w:left w:val="none" w:sz="0" w:space="0" w:color="auto"/>
        <w:bottom w:val="none" w:sz="0" w:space="0" w:color="auto"/>
        <w:right w:val="none" w:sz="0" w:space="0" w:color="auto"/>
      </w:divBdr>
    </w:div>
    <w:div w:id="1134443735">
      <w:bodyDiv w:val="1"/>
      <w:marLeft w:val="0"/>
      <w:marRight w:val="0"/>
      <w:marTop w:val="0"/>
      <w:marBottom w:val="0"/>
      <w:divBdr>
        <w:top w:val="none" w:sz="0" w:space="0" w:color="auto"/>
        <w:left w:val="none" w:sz="0" w:space="0" w:color="auto"/>
        <w:bottom w:val="none" w:sz="0" w:space="0" w:color="auto"/>
        <w:right w:val="none" w:sz="0" w:space="0" w:color="auto"/>
      </w:divBdr>
    </w:div>
    <w:div w:id="1171139746">
      <w:bodyDiv w:val="1"/>
      <w:marLeft w:val="0"/>
      <w:marRight w:val="0"/>
      <w:marTop w:val="0"/>
      <w:marBottom w:val="0"/>
      <w:divBdr>
        <w:top w:val="none" w:sz="0" w:space="0" w:color="auto"/>
        <w:left w:val="none" w:sz="0" w:space="0" w:color="auto"/>
        <w:bottom w:val="none" w:sz="0" w:space="0" w:color="auto"/>
        <w:right w:val="none" w:sz="0" w:space="0" w:color="auto"/>
      </w:divBdr>
    </w:div>
    <w:div w:id="1233004407">
      <w:bodyDiv w:val="1"/>
      <w:marLeft w:val="0"/>
      <w:marRight w:val="0"/>
      <w:marTop w:val="0"/>
      <w:marBottom w:val="0"/>
      <w:divBdr>
        <w:top w:val="none" w:sz="0" w:space="0" w:color="auto"/>
        <w:left w:val="none" w:sz="0" w:space="0" w:color="auto"/>
        <w:bottom w:val="none" w:sz="0" w:space="0" w:color="auto"/>
        <w:right w:val="none" w:sz="0" w:space="0" w:color="auto"/>
      </w:divBdr>
    </w:div>
    <w:div w:id="1305158317">
      <w:bodyDiv w:val="1"/>
      <w:marLeft w:val="0"/>
      <w:marRight w:val="0"/>
      <w:marTop w:val="0"/>
      <w:marBottom w:val="0"/>
      <w:divBdr>
        <w:top w:val="none" w:sz="0" w:space="0" w:color="auto"/>
        <w:left w:val="none" w:sz="0" w:space="0" w:color="auto"/>
        <w:bottom w:val="none" w:sz="0" w:space="0" w:color="auto"/>
        <w:right w:val="none" w:sz="0" w:space="0" w:color="auto"/>
      </w:divBdr>
      <w:divsChild>
        <w:div w:id="476848234">
          <w:marLeft w:val="374"/>
          <w:marRight w:val="0"/>
          <w:marTop w:val="0"/>
          <w:marBottom w:val="0"/>
          <w:divBdr>
            <w:top w:val="none" w:sz="0" w:space="0" w:color="auto"/>
            <w:left w:val="none" w:sz="0" w:space="0" w:color="auto"/>
            <w:bottom w:val="none" w:sz="0" w:space="0" w:color="auto"/>
            <w:right w:val="none" w:sz="0" w:space="0" w:color="auto"/>
          </w:divBdr>
        </w:div>
        <w:div w:id="884218209">
          <w:marLeft w:val="821"/>
          <w:marRight w:val="0"/>
          <w:marTop w:val="0"/>
          <w:marBottom w:val="0"/>
          <w:divBdr>
            <w:top w:val="none" w:sz="0" w:space="0" w:color="auto"/>
            <w:left w:val="none" w:sz="0" w:space="0" w:color="auto"/>
            <w:bottom w:val="none" w:sz="0" w:space="0" w:color="auto"/>
            <w:right w:val="none" w:sz="0" w:space="0" w:color="auto"/>
          </w:divBdr>
        </w:div>
        <w:div w:id="1048645922">
          <w:marLeft w:val="821"/>
          <w:marRight w:val="0"/>
          <w:marTop w:val="0"/>
          <w:marBottom w:val="0"/>
          <w:divBdr>
            <w:top w:val="none" w:sz="0" w:space="0" w:color="auto"/>
            <w:left w:val="none" w:sz="0" w:space="0" w:color="auto"/>
            <w:bottom w:val="none" w:sz="0" w:space="0" w:color="auto"/>
            <w:right w:val="none" w:sz="0" w:space="0" w:color="auto"/>
          </w:divBdr>
        </w:div>
        <w:div w:id="1333601023">
          <w:marLeft w:val="821"/>
          <w:marRight w:val="0"/>
          <w:marTop w:val="0"/>
          <w:marBottom w:val="0"/>
          <w:divBdr>
            <w:top w:val="none" w:sz="0" w:space="0" w:color="auto"/>
            <w:left w:val="none" w:sz="0" w:space="0" w:color="auto"/>
            <w:bottom w:val="none" w:sz="0" w:space="0" w:color="auto"/>
            <w:right w:val="none" w:sz="0" w:space="0" w:color="auto"/>
          </w:divBdr>
        </w:div>
        <w:div w:id="1699744021">
          <w:marLeft w:val="374"/>
          <w:marRight w:val="0"/>
          <w:marTop w:val="0"/>
          <w:marBottom w:val="0"/>
          <w:divBdr>
            <w:top w:val="none" w:sz="0" w:space="0" w:color="auto"/>
            <w:left w:val="none" w:sz="0" w:space="0" w:color="auto"/>
            <w:bottom w:val="none" w:sz="0" w:space="0" w:color="auto"/>
            <w:right w:val="none" w:sz="0" w:space="0" w:color="auto"/>
          </w:divBdr>
        </w:div>
        <w:div w:id="1752896087">
          <w:marLeft w:val="821"/>
          <w:marRight w:val="0"/>
          <w:marTop w:val="0"/>
          <w:marBottom w:val="0"/>
          <w:divBdr>
            <w:top w:val="none" w:sz="0" w:space="0" w:color="auto"/>
            <w:left w:val="none" w:sz="0" w:space="0" w:color="auto"/>
            <w:bottom w:val="none" w:sz="0" w:space="0" w:color="auto"/>
            <w:right w:val="none" w:sz="0" w:space="0" w:color="auto"/>
          </w:divBdr>
        </w:div>
        <w:div w:id="1994291397">
          <w:marLeft w:val="821"/>
          <w:marRight w:val="0"/>
          <w:marTop w:val="0"/>
          <w:marBottom w:val="0"/>
          <w:divBdr>
            <w:top w:val="none" w:sz="0" w:space="0" w:color="auto"/>
            <w:left w:val="none" w:sz="0" w:space="0" w:color="auto"/>
            <w:bottom w:val="none" w:sz="0" w:space="0" w:color="auto"/>
            <w:right w:val="none" w:sz="0" w:space="0" w:color="auto"/>
          </w:divBdr>
        </w:div>
      </w:divsChild>
    </w:div>
    <w:div w:id="1531340876">
      <w:bodyDiv w:val="1"/>
      <w:marLeft w:val="0"/>
      <w:marRight w:val="0"/>
      <w:marTop w:val="0"/>
      <w:marBottom w:val="0"/>
      <w:divBdr>
        <w:top w:val="none" w:sz="0" w:space="0" w:color="auto"/>
        <w:left w:val="none" w:sz="0" w:space="0" w:color="auto"/>
        <w:bottom w:val="none" w:sz="0" w:space="0" w:color="auto"/>
        <w:right w:val="none" w:sz="0" w:space="0" w:color="auto"/>
      </w:divBdr>
    </w:div>
    <w:div w:id="1783450259">
      <w:bodyDiv w:val="1"/>
      <w:marLeft w:val="0"/>
      <w:marRight w:val="0"/>
      <w:marTop w:val="0"/>
      <w:marBottom w:val="0"/>
      <w:divBdr>
        <w:top w:val="none" w:sz="0" w:space="0" w:color="auto"/>
        <w:left w:val="none" w:sz="0" w:space="0" w:color="auto"/>
        <w:bottom w:val="none" w:sz="0" w:space="0" w:color="auto"/>
        <w:right w:val="none" w:sz="0" w:space="0" w:color="auto"/>
      </w:divBdr>
    </w:div>
    <w:div w:id="1919706462">
      <w:bodyDiv w:val="1"/>
      <w:marLeft w:val="0"/>
      <w:marRight w:val="0"/>
      <w:marTop w:val="0"/>
      <w:marBottom w:val="0"/>
      <w:divBdr>
        <w:top w:val="none" w:sz="0" w:space="0" w:color="auto"/>
        <w:left w:val="none" w:sz="0" w:space="0" w:color="auto"/>
        <w:bottom w:val="none" w:sz="0" w:space="0" w:color="auto"/>
        <w:right w:val="none" w:sz="0" w:space="0" w:color="auto"/>
      </w:divBdr>
    </w:div>
    <w:div w:id="2015643315">
      <w:bodyDiv w:val="1"/>
      <w:marLeft w:val="0"/>
      <w:marRight w:val="0"/>
      <w:marTop w:val="0"/>
      <w:marBottom w:val="0"/>
      <w:divBdr>
        <w:top w:val="none" w:sz="0" w:space="0" w:color="auto"/>
        <w:left w:val="none" w:sz="0" w:space="0" w:color="auto"/>
        <w:bottom w:val="none" w:sz="0" w:space="0" w:color="auto"/>
        <w:right w:val="none" w:sz="0" w:space="0" w:color="auto"/>
      </w:divBdr>
    </w:div>
    <w:div w:id="207056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competitivepowe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ele@competitivepower.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nterchange.puc.texas.gov/Documents/57928_22_1531342.PDF" TargetMode="External"/><Relationship Id="rId2" Type="http://schemas.openxmlformats.org/officeDocument/2006/relationships/hyperlink" Target="https://www2.texasattorneygeneral.gov/opinions/openrecords/51paxton/orl/2021/pdf/or202113253.pdf" TargetMode="External"/><Relationship Id="rId1" Type="http://schemas.openxmlformats.org/officeDocument/2006/relationships/hyperlink" Target="https://interchange.puc.texas.gov/Documents/57928_6_1502732.PDF" TargetMode="External"/><Relationship Id="rId4" Type="http://schemas.openxmlformats.org/officeDocument/2006/relationships/hyperlink" Target="https://www2.texasattorneygeneral.gov/opinions/openrecords/51paxton/orl/2021/pdf/or20211325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4" ma:contentTypeDescription="Create a new document." ma:contentTypeScope="" ma:versionID="730522b9ceea1d96c11dfeadb37df5dc">
  <xsd:schema xmlns:xsd="http://www.w3.org/2001/XMLSchema" xmlns:xs="http://www.w3.org/2001/XMLSchema" xmlns:p="http://schemas.microsoft.com/office/2006/metadata/properties" xmlns:ns2="0e7f0178-c4f6-49ef-8e27-5f2d3e0fd230" targetNamespace="http://schemas.microsoft.com/office/2006/metadata/properties" ma:root="true" ma:fieldsID="1c50dbe5b11429fb3bb5ffce8ceea063" ns2:_="">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A202A-C076-4B5F-87EE-E6D70BE26C4B}">
  <ds:schemaRefs>
    <ds:schemaRef ds:uri="http://schemas.microsoft.com/sharepoint/v3/contenttype/forms"/>
  </ds:schemaRefs>
</ds:datastoreItem>
</file>

<file path=customXml/itemProps2.xml><?xml version="1.0" encoding="utf-8"?>
<ds:datastoreItem xmlns:ds="http://schemas.openxmlformats.org/officeDocument/2006/customXml" ds:itemID="{EF8FA485-9DA1-4A44-B8BA-02A3A2C43E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C414E9-B9AC-43FB-810B-5DDFAFF2D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0EB27-6C5E-49FC-A46A-45C6593B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1756</Words>
  <Characters>10274</Characters>
  <Application>Microsoft Office Word</Application>
  <DocSecurity>0</DocSecurity>
  <Lines>250</Lines>
  <Paragraphs>286</Paragraphs>
  <ScaleCrop>false</ScaleCrop>
  <HeadingPairs>
    <vt:vector size="2" baseType="variant">
      <vt:variant>
        <vt:lpstr>Title</vt:lpstr>
      </vt:variant>
      <vt:variant>
        <vt:i4>1</vt:i4>
      </vt:variant>
    </vt:vector>
  </HeadingPairs>
  <TitlesOfParts>
    <vt:vector size="1" baseType="lpstr">
      <vt:lpstr/>
    </vt:vector>
  </TitlesOfParts>
  <Company>Calpine</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Schleimer</dc:creator>
  <cp:keywords/>
  <dc:description/>
  <cp:lastModifiedBy>Paul Townsend</cp:lastModifiedBy>
  <cp:revision>15</cp:revision>
  <cp:lastPrinted>2023-10-13T20:50:00Z</cp:lastPrinted>
  <dcterms:created xsi:type="dcterms:W3CDTF">2025-10-01T14:20:00Z</dcterms:created>
  <dcterms:modified xsi:type="dcterms:W3CDTF">2025-10-02T17:58:00Z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0x0101004BEBFEBFDFFD3847B45188E2352039EE</vt:lpwstr>
  </property>
  <property fmtid="{D5CDD505-2E9C-101B-9397-08002B2CF9AE}" pid="3" name="MSIP_Label_dfe1a8d7-e404-4561-a6ce-09441972395c_Enabled">
    <vt:lpwstr>true</vt:lpwstr>
  </property>
  <property fmtid="{D5CDD505-2E9C-101B-9397-08002B2CF9AE}" pid="4" name="MSIP_Label_dfe1a8d7-e404-4561-a6ce-09441972395c_SetDate">
    <vt:lpwstr>2024-07-18T16:37:33Z</vt:lpwstr>
  </property>
  <property fmtid="{D5CDD505-2E9C-101B-9397-08002B2CF9AE}" pid="5" name="MSIP_Label_dfe1a8d7-e404-4561-a6ce-09441972395c_Method">
    <vt:lpwstr>Standard</vt:lpwstr>
  </property>
  <property fmtid="{D5CDD505-2E9C-101B-9397-08002B2CF9AE}" pid="6" name="MSIP_Label_dfe1a8d7-e404-4561-a6ce-09441972395c_Name">
    <vt:lpwstr>Company Confidential Information</vt:lpwstr>
  </property>
  <property fmtid="{D5CDD505-2E9C-101B-9397-08002B2CF9AE}" pid="7" name="MSIP_Label_dfe1a8d7-e404-4561-a6ce-09441972395c_SiteId">
    <vt:lpwstr>d8fb9c07-c19e-4e8c-a1cb-717cd3cf8ffe</vt:lpwstr>
  </property>
  <property fmtid="{D5CDD505-2E9C-101B-9397-08002B2CF9AE}" pid="8" name="MSIP_Label_dfe1a8d7-e404-4561-a6ce-09441972395c_ActionId">
    <vt:lpwstr>f64c6fce-7174-4e25-99a6-106d353c1a05</vt:lpwstr>
  </property>
  <property fmtid="{D5CDD505-2E9C-101B-9397-08002B2CF9AE}" pid="9" name="MSIP_Label_dfe1a8d7-e404-4561-a6ce-09441972395c_ContentBits">
    <vt:lpwstr>0</vt:lpwstr>
  </property>
</Properties>
</file>