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7867" w14:textId="14C7F79C" w:rsidR="00E036B3" w:rsidRPr="007D0433" w:rsidRDefault="00E036B3" w:rsidP="00953D4F">
      <w:pPr>
        <w:suppressLineNumbers/>
        <w:spacing w:after="480" w:line="240" w:lineRule="auto"/>
        <w:jc w:val="center"/>
        <w:rPr>
          <w:b/>
          <w:szCs w:val="24"/>
        </w:rPr>
      </w:pPr>
      <w:r w:rsidRPr="007D0433">
        <w:rPr>
          <w:b/>
          <w:szCs w:val="24"/>
        </w:rPr>
        <w:t xml:space="preserve">PROJECT NO. </w:t>
      </w:r>
      <w:r w:rsidR="00B157FB" w:rsidRPr="007D0433">
        <w:rPr>
          <w:b/>
          <w:szCs w:val="24"/>
        </w:rPr>
        <w:t>58481</w:t>
      </w:r>
    </w:p>
    <w:tbl>
      <w:tblPr>
        <w:tblW w:w="0" w:type="auto"/>
        <w:tblLayout w:type="fixed"/>
        <w:tblLook w:val="0000" w:firstRow="0" w:lastRow="0" w:firstColumn="0" w:lastColumn="0" w:noHBand="0" w:noVBand="0"/>
      </w:tblPr>
      <w:tblGrid>
        <w:gridCol w:w="4518"/>
        <w:gridCol w:w="630"/>
        <w:gridCol w:w="4320"/>
      </w:tblGrid>
      <w:tr w:rsidR="007D0433" w:rsidRPr="007D0433" w14:paraId="2C572C33" w14:textId="77777777" w:rsidTr="00B655A5">
        <w:tc>
          <w:tcPr>
            <w:tcW w:w="4518" w:type="dxa"/>
          </w:tcPr>
          <w:p w14:paraId="33367CF0" w14:textId="0FD90040" w:rsidR="007772A1" w:rsidRPr="007D0433" w:rsidRDefault="00830231" w:rsidP="00830231">
            <w:pPr>
              <w:pStyle w:val="preamble"/>
              <w:suppressLineNumbers/>
              <w:spacing w:line="240" w:lineRule="auto"/>
              <w:rPr>
                <w:b/>
                <w:szCs w:val="24"/>
              </w:rPr>
            </w:pPr>
            <w:r w:rsidRPr="007D0433">
              <w:rPr>
                <w:b/>
                <w:szCs w:val="24"/>
              </w:rPr>
              <w:t>RULEMAKING TO IMPLEMENT LARGE LOAD INTERCONNECTION STANDARDS UNDER PURA §37.0561</w:t>
            </w:r>
          </w:p>
        </w:tc>
        <w:tc>
          <w:tcPr>
            <w:tcW w:w="630" w:type="dxa"/>
          </w:tcPr>
          <w:p w14:paraId="4C63E172" w14:textId="77777777" w:rsidR="00E036B3" w:rsidRPr="007D0433" w:rsidRDefault="00E036B3" w:rsidP="00953D4F">
            <w:pPr>
              <w:pStyle w:val="preamble"/>
              <w:suppressLineNumbers/>
              <w:spacing w:line="240" w:lineRule="auto"/>
              <w:jc w:val="center"/>
              <w:rPr>
                <w:b/>
                <w:szCs w:val="24"/>
              </w:rPr>
            </w:pPr>
            <w:r w:rsidRPr="007D0433">
              <w:rPr>
                <w:b/>
                <w:szCs w:val="24"/>
              </w:rPr>
              <w:t>§</w:t>
            </w:r>
          </w:p>
          <w:p w14:paraId="2ECCBF96" w14:textId="77777777" w:rsidR="00E036B3" w:rsidRPr="007D0433" w:rsidRDefault="00E036B3" w:rsidP="00953D4F">
            <w:pPr>
              <w:pStyle w:val="preamble"/>
              <w:suppressLineNumbers/>
              <w:spacing w:line="240" w:lineRule="auto"/>
              <w:jc w:val="center"/>
              <w:rPr>
                <w:b/>
                <w:szCs w:val="24"/>
              </w:rPr>
            </w:pPr>
            <w:r w:rsidRPr="007D0433">
              <w:rPr>
                <w:b/>
                <w:szCs w:val="24"/>
              </w:rPr>
              <w:t>§</w:t>
            </w:r>
          </w:p>
          <w:p w14:paraId="7F3B3541" w14:textId="0EA8DAE6" w:rsidR="006E41C0" w:rsidRPr="007D0433" w:rsidRDefault="00E036B3" w:rsidP="00830231">
            <w:pPr>
              <w:pStyle w:val="preamble"/>
              <w:suppressLineNumbers/>
              <w:spacing w:line="240" w:lineRule="auto"/>
              <w:jc w:val="center"/>
              <w:rPr>
                <w:b/>
                <w:szCs w:val="24"/>
              </w:rPr>
            </w:pPr>
            <w:r w:rsidRPr="007D0433">
              <w:rPr>
                <w:b/>
                <w:szCs w:val="24"/>
              </w:rPr>
              <w:t>§</w:t>
            </w:r>
          </w:p>
          <w:p w14:paraId="379B2E51" w14:textId="77777777" w:rsidR="00E036B3" w:rsidRDefault="00E036B3" w:rsidP="00953D4F">
            <w:pPr>
              <w:pStyle w:val="preamble"/>
              <w:suppressLineNumbers/>
              <w:spacing w:line="240" w:lineRule="auto"/>
              <w:jc w:val="center"/>
              <w:rPr>
                <w:b/>
                <w:szCs w:val="24"/>
              </w:rPr>
            </w:pPr>
          </w:p>
          <w:p w14:paraId="1D7703D7" w14:textId="7A66F198" w:rsidR="003354D9" w:rsidRPr="007D0433" w:rsidRDefault="003354D9" w:rsidP="00FF774A">
            <w:pPr>
              <w:pStyle w:val="preamble"/>
              <w:suppressLineNumbers/>
              <w:spacing w:line="240" w:lineRule="auto"/>
              <w:rPr>
                <w:b/>
                <w:szCs w:val="24"/>
              </w:rPr>
            </w:pPr>
          </w:p>
        </w:tc>
        <w:tc>
          <w:tcPr>
            <w:tcW w:w="4320" w:type="dxa"/>
          </w:tcPr>
          <w:p w14:paraId="79DB0114" w14:textId="77777777" w:rsidR="00E036B3" w:rsidRPr="007D0433" w:rsidRDefault="00E036B3" w:rsidP="00953D4F">
            <w:pPr>
              <w:pStyle w:val="preamble"/>
              <w:suppressLineNumbers/>
              <w:spacing w:line="240" w:lineRule="auto"/>
              <w:jc w:val="center"/>
              <w:rPr>
                <w:b/>
                <w:szCs w:val="24"/>
              </w:rPr>
            </w:pPr>
            <w:r w:rsidRPr="007D0433">
              <w:rPr>
                <w:b/>
                <w:szCs w:val="24"/>
              </w:rPr>
              <w:t>PUBLIC UTILITY COMMISSION</w:t>
            </w:r>
          </w:p>
          <w:p w14:paraId="61C56263" w14:textId="77777777" w:rsidR="00E036B3" w:rsidRPr="007D0433" w:rsidRDefault="00E036B3" w:rsidP="00953D4F">
            <w:pPr>
              <w:pStyle w:val="preamble"/>
              <w:suppressLineNumbers/>
              <w:spacing w:line="240" w:lineRule="auto"/>
              <w:jc w:val="center"/>
              <w:rPr>
                <w:b/>
                <w:szCs w:val="24"/>
              </w:rPr>
            </w:pPr>
          </w:p>
          <w:p w14:paraId="5A4E49E1" w14:textId="77777777" w:rsidR="00E036B3" w:rsidRDefault="00E036B3" w:rsidP="00953D4F">
            <w:pPr>
              <w:pStyle w:val="preamble"/>
              <w:suppressLineNumbers/>
              <w:spacing w:line="240" w:lineRule="auto"/>
              <w:jc w:val="center"/>
              <w:rPr>
                <w:b/>
                <w:szCs w:val="24"/>
              </w:rPr>
            </w:pPr>
            <w:r w:rsidRPr="007D0433">
              <w:rPr>
                <w:b/>
                <w:szCs w:val="24"/>
              </w:rPr>
              <w:t>OF TEXAS</w:t>
            </w:r>
          </w:p>
          <w:p w14:paraId="118ADF70" w14:textId="77777777" w:rsidR="00FF774A" w:rsidRDefault="00FF774A" w:rsidP="00953D4F">
            <w:pPr>
              <w:pStyle w:val="preamble"/>
              <w:suppressLineNumbers/>
              <w:spacing w:line="240" w:lineRule="auto"/>
              <w:jc w:val="center"/>
              <w:rPr>
                <w:b/>
                <w:szCs w:val="24"/>
              </w:rPr>
            </w:pPr>
          </w:p>
          <w:p w14:paraId="033EFB89" w14:textId="77777777" w:rsidR="00FF774A" w:rsidRDefault="00FF774A" w:rsidP="00953D4F">
            <w:pPr>
              <w:pStyle w:val="preamble"/>
              <w:suppressLineNumbers/>
              <w:spacing w:line="240" w:lineRule="auto"/>
              <w:jc w:val="center"/>
              <w:rPr>
                <w:b/>
                <w:szCs w:val="24"/>
              </w:rPr>
            </w:pPr>
          </w:p>
          <w:p w14:paraId="6C5C4F32" w14:textId="77777777" w:rsidR="00FF774A" w:rsidRPr="007D0433" w:rsidRDefault="00FF774A" w:rsidP="00953D4F">
            <w:pPr>
              <w:pStyle w:val="preamble"/>
              <w:suppressLineNumbers/>
              <w:spacing w:line="240" w:lineRule="auto"/>
              <w:jc w:val="center"/>
              <w:rPr>
                <w:b/>
                <w:szCs w:val="24"/>
              </w:rPr>
            </w:pPr>
          </w:p>
        </w:tc>
      </w:tr>
    </w:tbl>
    <w:p w14:paraId="4D7736E1" w14:textId="43A60298" w:rsidR="003354D9" w:rsidRDefault="003354D9" w:rsidP="003354D9">
      <w:pPr>
        <w:pStyle w:val="preamble"/>
        <w:ind w:left="720"/>
        <w:jc w:val="center"/>
        <w:rPr>
          <w:b/>
          <w:bCs/>
          <w:szCs w:val="24"/>
          <w:u w:val="single"/>
        </w:rPr>
      </w:pPr>
      <w:r>
        <w:rPr>
          <w:b/>
          <w:bCs/>
          <w:szCs w:val="24"/>
          <w:u w:val="single"/>
        </w:rPr>
        <w:t>TCPA COMMENTS ON STAFF QUESTIONS &amp; DISCUSSION DRAFT</w:t>
      </w:r>
    </w:p>
    <w:p w14:paraId="6A25B239" w14:textId="77777777" w:rsidR="003354D9" w:rsidRDefault="003354D9" w:rsidP="003354D9">
      <w:pPr>
        <w:pStyle w:val="preamble"/>
        <w:ind w:left="720"/>
        <w:jc w:val="center"/>
        <w:rPr>
          <w:b/>
          <w:bCs/>
          <w:szCs w:val="24"/>
          <w:u w:val="single"/>
        </w:rPr>
      </w:pPr>
    </w:p>
    <w:p w14:paraId="00C87B4B" w14:textId="77777777" w:rsidR="003955BE" w:rsidRDefault="2045267F" w:rsidP="00583909">
      <w:pPr>
        <w:pStyle w:val="preamble"/>
        <w:ind w:firstLine="360"/>
      </w:pPr>
      <w:r>
        <w:t xml:space="preserve">TCPA is providing brief comments on two questions posed by Staff </w:t>
      </w:r>
      <w:r w:rsidR="009C5DEA">
        <w:t xml:space="preserve">in </w:t>
      </w:r>
      <w:r w:rsidR="003955BE">
        <w:t>the December 1,</w:t>
      </w:r>
    </w:p>
    <w:p w14:paraId="66A66110" w14:textId="5922CA08" w:rsidR="003A0E27" w:rsidRDefault="0E2071A4" w:rsidP="1BA60CA1">
      <w:pPr>
        <w:pStyle w:val="preamble"/>
      </w:pPr>
      <w:r>
        <w:t>2025 filing. While TCPA recognizes that parallel rulemaking proceedings will address various interrelated components of SB 6, there are some areas that warrant clarification either in this proceeding or in the proceeding addressing criteria for inclusion in load forecasts</w:t>
      </w:r>
      <w:r w:rsidR="2D472C05">
        <w:t xml:space="preserve"> (Project No. 58480).</w:t>
      </w:r>
      <w:r>
        <w:t xml:space="preserve"> TCPA raises </w:t>
      </w:r>
      <w:r w:rsidR="00AC0926">
        <w:t>t</w:t>
      </w:r>
      <w:r>
        <w:t xml:space="preserve">hose concerns and identifies areas that would benefit from greater clarity in these comments to ensure the Commission considers them as the various components of SB 6 are implemented. </w:t>
      </w:r>
    </w:p>
    <w:p w14:paraId="1EA9DE82" w14:textId="5456BF54" w:rsidR="003354D9" w:rsidRPr="003A0E27" w:rsidRDefault="003A0E27" w:rsidP="003A0E27">
      <w:pPr>
        <w:pStyle w:val="preamble"/>
        <w:jc w:val="center"/>
        <w:rPr>
          <w:b/>
          <w:bCs/>
          <w:szCs w:val="24"/>
        </w:rPr>
      </w:pPr>
      <w:r>
        <w:rPr>
          <w:b/>
          <w:bCs/>
          <w:szCs w:val="24"/>
        </w:rPr>
        <w:t>RESPONSE TO STAFF QUESTIONS 2 AND 4</w:t>
      </w:r>
    </w:p>
    <w:p w14:paraId="57AB101F" w14:textId="3543949F" w:rsidR="004A71F1" w:rsidRPr="003A0E27" w:rsidRDefault="54F1E41E" w:rsidP="54F1E41E">
      <w:pPr>
        <w:pStyle w:val="preamble"/>
        <w:ind w:left="720"/>
        <w:jc w:val="both"/>
        <w:rPr>
          <w:i/>
          <w:iCs/>
        </w:rPr>
      </w:pPr>
      <w:r w:rsidRPr="54F1E41E">
        <w:rPr>
          <w:i/>
          <w:iCs/>
        </w:rPr>
        <w:t xml:space="preserve">2. Proposed subsections (c)(3), (e)(3), and (h)(3) require the disclosure of specific information related to a substantially similar request for interconnection and allows a large load customer to anonymize competitively sensitive details.  Should the commission list what is and is not competitively sensitive (e.g., load zone is not competitively sensitive information)?  If so, what information should and should not be considered competitively sensitive such that the interconnecting utility and ERCOT can identify whether there is a duplicate request, or a request is unlikely to materialize? </w:t>
      </w:r>
    </w:p>
    <w:p w14:paraId="3A450E87" w14:textId="74F878A4" w:rsidR="00973436" w:rsidRDefault="429E996E" w:rsidP="00583909">
      <w:pPr>
        <w:pStyle w:val="preamble"/>
        <w:jc w:val="both"/>
      </w:pPr>
      <w:r w:rsidRPr="429E996E">
        <w:rPr>
          <w:b/>
          <w:bCs/>
        </w:rPr>
        <w:t xml:space="preserve">TCPA RESPONSE: </w:t>
      </w:r>
      <w:r>
        <w:t xml:space="preserve">The Commission should establish a clear standard for what qualifies as competitively sensitive information. TCPA recommends that the list </w:t>
      </w:r>
      <w:proofErr w:type="gramStart"/>
      <w:r>
        <w:t>include</w:t>
      </w:r>
      <w:proofErr w:type="gramEnd"/>
      <w:r>
        <w:t xml:space="preserve"> a specified set of </w:t>
      </w:r>
      <w:r>
        <w:lastRenderedPageBreak/>
        <w:t xml:space="preserve">items but remain non-exhaustive, allowing for additional items to be considered as needed. Confidentiality standards should be </w:t>
      </w:r>
      <w:proofErr w:type="gramStart"/>
      <w:r>
        <w:t>applicable</w:t>
      </w:r>
      <w:proofErr w:type="gramEnd"/>
      <w:r>
        <w:t xml:space="preserve"> to all and not determined on a case-by-case basis.</w:t>
      </w:r>
    </w:p>
    <w:p w14:paraId="7F8933BF" w14:textId="39923D43" w:rsidR="00140BBC" w:rsidRDefault="00140BBC" w:rsidP="00973436">
      <w:pPr>
        <w:pStyle w:val="preamble"/>
        <w:numPr>
          <w:ilvl w:val="0"/>
          <w:numId w:val="47"/>
        </w:numPr>
        <w:jc w:val="both"/>
        <w:rPr>
          <w:i/>
          <w:iCs/>
          <w:szCs w:val="24"/>
        </w:rPr>
      </w:pPr>
      <w:r w:rsidRPr="00973436">
        <w:rPr>
          <w:i/>
          <w:iCs/>
          <w:szCs w:val="24"/>
        </w:rPr>
        <w:t xml:space="preserve">Proposed subsection </w:t>
      </w:r>
      <w:r w:rsidR="0035171F" w:rsidRPr="00973436">
        <w:rPr>
          <w:i/>
          <w:iCs/>
          <w:szCs w:val="24"/>
        </w:rPr>
        <w:t xml:space="preserve">(k)(1) </w:t>
      </w:r>
      <w:r w:rsidRPr="00973436">
        <w:rPr>
          <w:i/>
          <w:iCs/>
          <w:szCs w:val="24"/>
        </w:rPr>
        <w:t xml:space="preserve">authorizes an interconnecting electric utility to refund 20% of a large load customer’s </w:t>
      </w:r>
      <w:r w:rsidR="009D6813" w:rsidRPr="00973436">
        <w:rPr>
          <w:i/>
          <w:iCs/>
          <w:szCs w:val="24"/>
        </w:rPr>
        <w:t>security after energization and ratably as the large load customer meets the milestones identified in the customer’s schedule for phased energization of its contracted load.  Should the commission standardize the r</w:t>
      </w:r>
      <w:r w:rsidR="004F2129" w:rsidRPr="00973436">
        <w:rPr>
          <w:i/>
          <w:iCs/>
          <w:szCs w:val="24"/>
        </w:rPr>
        <w:t xml:space="preserve">ate for refund </w:t>
      </w:r>
      <w:r w:rsidR="00834590" w:rsidRPr="00973436">
        <w:rPr>
          <w:i/>
          <w:iCs/>
          <w:szCs w:val="24"/>
        </w:rPr>
        <w:t>for</w:t>
      </w:r>
      <w:r w:rsidR="000332BB" w:rsidRPr="00973436">
        <w:rPr>
          <w:i/>
          <w:iCs/>
          <w:szCs w:val="24"/>
        </w:rPr>
        <w:t xml:space="preserve"> reaching milestones identified in the customer’s schedule for phased energization</w:t>
      </w:r>
      <w:r w:rsidR="00C0213D" w:rsidRPr="00973436">
        <w:rPr>
          <w:i/>
          <w:iCs/>
          <w:szCs w:val="24"/>
        </w:rPr>
        <w:t xml:space="preserve"> (e.g., 20% for each year of operations</w:t>
      </w:r>
      <w:r w:rsidR="0062278B" w:rsidRPr="00973436">
        <w:rPr>
          <w:i/>
          <w:iCs/>
          <w:szCs w:val="24"/>
        </w:rPr>
        <w:t xml:space="preserve"> until the full amount of security is refunded</w:t>
      </w:r>
      <w:r w:rsidR="00C0213D" w:rsidRPr="00973436">
        <w:rPr>
          <w:i/>
          <w:iCs/>
          <w:szCs w:val="24"/>
        </w:rPr>
        <w:t>)</w:t>
      </w:r>
      <w:r w:rsidR="000332BB" w:rsidRPr="00973436">
        <w:rPr>
          <w:i/>
          <w:iCs/>
          <w:szCs w:val="24"/>
        </w:rPr>
        <w:t>?  If so,</w:t>
      </w:r>
      <w:r w:rsidR="004E4B29" w:rsidRPr="00973436">
        <w:rPr>
          <w:i/>
          <w:iCs/>
          <w:szCs w:val="24"/>
        </w:rPr>
        <w:t xml:space="preserve"> how should the commission standardize the refund?</w:t>
      </w:r>
    </w:p>
    <w:p w14:paraId="2FDF4C8F" w14:textId="3E00596A" w:rsidR="00973436" w:rsidRDefault="00973436" w:rsidP="00583909">
      <w:pPr>
        <w:pStyle w:val="preamble"/>
        <w:jc w:val="both"/>
      </w:pPr>
      <w:r w:rsidRPr="1BA60CA1">
        <w:rPr>
          <w:b/>
          <w:bCs/>
        </w:rPr>
        <w:t xml:space="preserve">TCPA RESPONSE: </w:t>
      </w:r>
      <w:r w:rsidRPr="1BA60CA1">
        <w:t xml:space="preserve">TCPA supports the Commission </w:t>
      </w:r>
      <w:proofErr w:type="gramStart"/>
      <w:r w:rsidRPr="1BA60CA1">
        <w:t>establishing</w:t>
      </w:r>
      <w:proofErr w:type="gramEnd"/>
      <w:r w:rsidRPr="1BA60CA1">
        <w:t xml:space="preserve"> a standardized </w:t>
      </w:r>
      <w:r w:rsidR="4A819E1A">
        <w:t>period</w:t>
      </w:r>
      <w:r w:rsidRPr="1BA60CA1">
        <w:t xml:space="preserve"> for refun</w:t>
      </w:r>
      <w:r w:rsidR="001506A9" w:rsidRPr="1BA60CA1">
        <w:t>d when certain milestones for phased energization occur.</w:t>
      </w:r>
      <w:r w:rsidR="001506A9" w:rsidRPr="1BA60CA1">
        <w:rPr>
          <w:rStyle w:val="FootnoteReference"/>
        </w:rPr>
        <w:footnoteReference w:id="2"/>
      </w:r>
      <w:r w:rsidR="001506A9" w:rsidRPr="1BA60CA1">
        <w:t xml:space="preserve"> </w:t>
      </w:r>
      <w:r w:rsidR="00D8507B" w:rsidRPr="1BA60CA1">
        <w:t>TCPA recommends</w:t>
      </w:r>
      <w:r w:rsidR="3A8F2990">
        <w:t xml:space="preserve"> that</w:t>
      </w:r>
      <w:r w:rsidR="00D8507B" w:rsidRPr="1BA60CA1">
        <w:t xml:space="preserve"> the refund </w:t>
      </w:r>
      <w:proofErr w:type="gramStart"/>
      <w:r w:rsidR="00D8507B" w:rsidRPr="1BA60CA1">
        <w:t>correspond</w:t>
      </w:r>
      <w:proofErr w:type="gramEnd"/>
      <w:r w:rsidR="00D8507B" w:rsidRPr="1BA60CA1">
        <w:t xml:space="preserve"> to the percentage of expected megawatts (MWs) energized</w:t>
      </w:r>
      <w:r w:rsidR="3A8F2990">
        <w:t>. For example,</w:t>
      </w:r>
      <w:r w:rsidR="00D8507B" w:rsidRPr="1BA60CA1">
        <w:t xml:space="preserve"> if a large load has indicated</w:t>
      </w:r>
      <w:r w:rsidR="3A8F2990">
        <w:t xml:space="preserve"> that</w:t>
      </w:r>
      <w:r w:rsidR="00D8507B" w:rsidRPr="1BA60CA1">
        <w:t xml:space="preserve"> </w:t>
      </w:r>
      <w:r w:rsidR="0083194A" w:rsidRPr="1BA60CA1">
        <w:t xml:space="preserve">100 MW will be energized in total and </w:t>
      </w:r>
      <w:r w:rsidR="3A8F2990" w:rsidRPr="3A8F2990">
        <w:t>plans to</w:t>
      </w:r>
      <w:r w:rsidR="0083194A" w:rsidRPr="1BA60CA1">
        <w:t xml:space="preserve"> energize </w:t>
      </w:r>
      <w:r w:rsidR="4A819E1A">
        <w:t>2</w:t>
      </w:r>
      <w:r w:rsidR="0083194A" w:rsidRPr="1BA60CA1">
        <w:t xml:space="preserve">0% each year for </w:t>
      </w:r>
      <w:r w:rsidR="4A819E1A">
        <w:t>5</w:t>
      </w:r>
      <w:r w:rsidR="0083194A" w:rsidRPr="1BA60CA1">
        <w:t xml:space="preserve"> years, then </w:t>
      </w:r>
      <w:r w:rsidR="4A819E1A">
        <w:t>2</w:t>
      </w:r>
      <w:r w:rsidR="0083194A" w:rsidRPr="1BA60CA1">
        <w:t xml:space="preserve">0% of the </w:t>
      </w:r>
      <w:r w:rsidR="00EB415E" w:rsidRPr="1BA60CA1">
        <w:t xml:space="preserve">deposit </w:t>
      </w:r>
      <w:r w:rsidR="3A8F2990" w:rsidRPr="3A8F2990">
        <w:t>should</w:t>
      </w:r>
      <w:r w:rsidR="3A8F2990" w:rsidRPr="3A8F2990">
        <w:rPr>
          <w:b/>
          <w:bCs/>
        </w:rPr>
        <w:t xml:space="preserve"> </w:t>
      </w:r>
      <w:r w:rsidR="00EB415E" w:rsidRPr="1BA60CA1">
        <w:t xml:space="preserve">be refunded for every </w:t>
      </w:r>
      <w:r w:rsidR="4A819E1A">
        <w:t>2</w:t>
      </w:r>
      <w:r w:rsidR="00EB415E" w:rsidRPr="1BA60CA1">
        <w:t>0 MWs energized.</w:t>
      </w:r>
      <w:r w:rsidR="00446BD1" w:rsidRPr="1BA60CA1">
        <w:rPr>
          <w:rStyle w:val="FootnoteReference"/>
        </w:rPr>
        <w:footnoteReference w:id="3"/>
      </w:r>
      <w:r w:rsidR="00EB415E">
        <w:rPr>
          <w:szCs w:val="24"/>
        </w:rPr>
        <w:t xml:space="preserve"> </w:t>
      </w:r>
    </w:p>
    <w:p w14:paraId="479F6DE8" w14:textId="53AF1DF8" w:rsidR="00446BD1" w:rsidRDefault="429E996E" w:rsidP="54F1E41E">
      <w:pPr>
        <w:pStyle w:val="preamble"/>
        <w:ind w:left="360"/>
        <w:jc w:val="center"/>
        <w:rPr>
          <w:b/>
          <w:bCs/>
        </w:rPr>
      </w:pPr>
      <w:r w:rsidRPr="429E996E">
        <w:rPr>
          <w:b/>
          <w:bCs/>
        </w:rPr>
        <w:t>COMMENTS ON DISCUSSION DRAFT</w:t>
      </w:r>
    </w:p>
    <w:p w14:paraId="0C607436" w14:textId="09E19F0D" w:rsidR="00EC0B0D" w:rsidRDefault="4A819E1A" w:rsidP="00583909">
      <w:pPr>
        <w:pStyle w:val="preamble"/>
        <w:ind w:firstLine="360"/>
        <w:jc w:val="both"/>
      </w:pPr>
      <w:r>
        <w:t>T</w:t>
      </w:r>
      <w:r w:rsidR="00CE0B8B" w:rsidRPr="1BA60CA1">
        <w:t xml:space="preserve">here are two </w:t>
      </w:r>
      <w:r>
        <w:t>issue</w:t>
      </w:r>
      <w:r w:rsidR="00CE0B8B" w:rsidRPr="1BA60CA1">
        <w:t xml:space="preserve">s that are not </w:t>
      </w:r>
      <w:r>
        <w:t>addressed</w:t>
      </w:r>
      <w:r w:rsidR="00CE0B8B" w:rsidRPr="1BA60CA1">
        <w:t xml:space="preserve"> in the discussion draft. </w:t>
      </w:r>
      <w:r w:rsidR="000650E0" w:rsidRPr="1BA60CA1">
        <w:t xml:space="preserve"> First, </w:t>
      </w:r>
      <w:r w:rsidR="00C47EB1" w:rsidRPr="1BA60CA1">
        <w:t>it is unclear how loads that are currently in the queue will be treated following the adoption of this rule. For example, i</w:t>
      </w:r>
      <w:r w:rsidR="00486EE8" w:rsidRPr="1BA60CA1">
        <w:t xml:space="preserve">f a large load is currently in the load forecast, will that load remain in the forecast moving forward if it does not meet the newly adopted criteria or will it be removed? </w:t>
      </w:r>
      <w:r w:rsidR="00EB0F75" w:rsidRPr="1BA60CA1">
        <w:t xml:space="preserve">The </w:t>
      </w:r>
      <w:r w:rsidR="1BA60CA1">
        <w:t>absence of a</w:t>
      </w:r>
      <w:r w:rsidR="00EB0F75" w:rsidRPr="1BA60CA1">
        <w:t xml:space="preserve"> transition period creates regulatory uncertainty </w:t>
      </w:r>
      <w:r w:rsidR="00CE7AE2" w:rsidRPr="1BA60CA1">
        <w:t xml:space="preserve">about the treatment of those loads going forward. Whether addressed in this rulemaking or the load forecasting criteria rulemaking, the market </w:t>
      </w:r>
      <w:r w:rsidR="2045267F">
        <w:t>would benefit</w:t>
      </w:r>
      <w:r w:rsidR="00CE7AE2" w:rsidRPr="1BA60CA1">
        <w:t xml:space="preserve"> from </w:t>
      </w:r>
      <w:r w:rsidR="00CE7AE2" w:rsidRPr="1BA60CA1">
        <w:lastRenderedPageBreak/>
        <w:t xml:space="preserve">having </w:t>
      </w:r>
      <w:r w:rsidR="000E5B52" w:rsidRPr="1BA60CA1">
        <w:t xml:space="preserve">a clear outline of how the Commission and ERCOT </w:t>
      </w:r>
      <w:r w:rsidR="1BA60CA1">
        <w:t>intend to manage</w:t>
      </w:r>
      <w:r w:rsidR="000E5B52" w:rsidRPr="1BA60CA1">
        <w:t xml:space="preserve"> those loads </w:t>
      </w:r>
      <w:r w:rsidR="1BA60CA1">
        <w:t xml:space="preserve">after </w:t>
      </w:r>
      <w:r w:rsidR="000E5B52" w:rsidRPr="1BA60CA1">
        <w:t>the adoption of this rule and others associated with SB 6 implementation.</w:t>
      </w:r>
    </w:p>
    <w:p w14:paraId="41A9181C" w14:textId="7A8521E3" w:rsidR="000E5B52" w:rsidRPr="00E72F90" w:rsidRDefault="429E996E" w:rsidP="00583909">
      <w:pPr>
        <w:pStyle w:val="preamble"/>
        <w:ind w:firstLine="360"/>
        <w:jc w:val="both"/>
      </w:pPr>
      <w:r>
        <w:t xml:space="preserve">Second, it is unclear how loads will be tracked on their progress, particularly if they have not met the full criteria for inclusion in the long-term load forecast. TCPA recommends adding a requirement to create reports </w:t>
      </w:r>
      <w:proofErr w:type="gramStart"/>
      <w:r>
        <w:t>similar to</w:t>
      </w:r>
      <w:proofErr w:type="gramEnd"/>
      <w:r>
        <w:t xml:space="preserve"> the Generation Interconnection System (GIS), which tracks milestones.  This will enable market participants to undertake the appropriate analyses regarding long-term </w:t>
      </w:r>
      <w:r w:rsidR="2D472C05">
        <w:t xml:space="preserve">risk assessment and </w:t>
      </w:r>
      <w:r>
        <w:t xml:space="preserve">investment decisions to serve the load in the queue that has not met the full criteria but has the potential to materialize in the future. </w:t>
      </w:r>
    </w:p>
    <w:p w14:paraId="68ED5FCF" w14:textId="4973A2A8" w:rsidR="002C111E" w:rsidRPr="002C111E" w:rsidRDefault="002C111E" w:rsidP="002C111E">
      <w:pPr>
        <w:pStyle w:val="preamble"/>
        <w:ind w:left="360" w:firstLine="360"/>
        <w:jc w:val="center"/>
        <w:rPr>
          <w:b/>
          <w:bCs/>
        </w:rPr>
      </w:pPr>
      <w:proofErr w:type="gramStart"/>
      <w:r w:rsidRPr="002C111E">
        <w:rPr>
          <w:b/>
          <w:bCs/>
        </w:rPr>
        <w:t>RECOMMENDED REDLINE CHANGES</w:t>
      </w:r>
      <w:proofErr w:type="gramEnd"/>
    </w:p>
    <w:p w14:paraId="5335C33A" w14:textId="34925FF5" w:rsidR="00D90664" w:rsidRPr="00A37E6D" w:rsidRDefault="429E996E" w:rsidP="00583909">
      <w:pPr>
        <w:pStyle w:val="preamble"/>
        <w:ind w:firstLine="360"/>
        <w:jc w:val="both"/>
      </w:pPr>
      <w:r>
        <w:t xml:space="preserve">TCPA’s recommended changes to the discussion draft are discussed below. Sections that have no recommended changes are not provided. </w:t>
      </w:r>
      <w:r w:rsidR="6D84DB8F">
        <w:tab/>
      </w:r>
    </w:p>
    <w:p w14:paraId="59CAE43A" w14:textId="6C5D659C" w:rsidR="00D90664" w:rsidRPr="00A37E6D" w:rsidRDefault="429E996E" w:rsidP="00583909">
      <w:pPr>
        <w:pStyle w:val="preamble"/>
        <w:ind w:firstLine="360"/>
        <w:jc w:val="both"/>
      </w:pPr>
      <w:r>
        <w:t xml:space="preserve">First, TCPA recommends a change to the definition of “interconnecting electric utility” to reference co-located generation. The recommended change is important to capture the </w:t>
      </w:r>
      <w:proofErr w:type="gramStart"/>
      <w:r>
        <w:t>situations</w:t>
      </w:r>
      <w:proofErr w:type="gramEnd"/>
      <w:r>
        <w:t xml:space="preserve"> in which the large load customer is not directly interconnecting to the ERCOT system but is connecting </w:t>
      </w:r>
      <w:r w:rsidR="2D472C05">
        <w:t xml:space="preserve">behind the Point of Interconnection of </w:t>
      </w:r>
      <w:r>
        <w:t xml:space="preserve">a generation resource co-located with the large load. The generation resource may or may not exist currently, but in either circumstance is the entity the </w:t>
      </w:r>
      <w:r w:rsidR="2D472C05">
        <w:t xml:space="preserve">electric </w:t>
      </w:r>
      <w:r>
        <w:t xml:space="preserve">utility is interconnecting (or has interconnected) to the ERCOT grid. That generation resource will serve the co-located large load but may </w:t>
      </w:r>
      <w:r w:rsidR="2D472C05">
        <w:t xml:space="preserve">also </w:t>
      </w:r>
      <w:r>
        <w:t xml:space="preserve">be available to ERCOT system operators for </w:t>
      </w:r>
      <w:r w:rsidR="2D472C05">
        <w:t xml:space="preserve">any excess capacity or </w:t>
      </w:r>
      <w:r>
        <w:t>during energy emergencies. The proposed change ensures all circumstances are encompassed in the rule’s definition.</w:t>
      </w:r>
    </w:p>
    <w:p w14:paraId="07367889" w14:textId="6F5A7885" w:rsidR="006B028B" w:rsidRDefault="2045267F" w:rsidP="00583909">
      <w:pPr>
        <w:ind w:left="360"/>
        <w:jc w:val="both"/>
        <w:rPr>
          <w:b/>
          <w:bCs/>
        </w:rPr>
      </w:pPr>
      <w:r>
        <w:t>(b)</w:t>
      </w:r>
      <w:r w:rsidR="006B028B">
        <w:tab/>
      </w:r>
      <w:r w:rsidRPr="2045267F">
        <w:rPr>
          <w:b/>
          <w:bCs/>
        </w:rPr>
        <w:t>Definitions.</w:t>
      </w:r>
      <w:r>
        <w:t xml:space="preserve">  The following words and terms, when used in this section, have the following meanings unless the context indicates otherwise:</w:t>
      </w:r>
    </w:p>
    <w:p w14:paraId="2F8C36E1" w14:textId="25736B57" w:rsidR="0064476C" w:rsidRDefault="429E996E" w:rsidP="00583909">
      <w:pPr>
        <w:ind w:left="2160" w:hanging="720"/>
        <w:jc w:val="both"/>
      </w:pPr>
      <w:r>
        <w:lastRenderedPageBreak/>
        <w:t>(5)</w:t>
      </w:r>
      <w:r w:rsidR="4A819E1A">
        <w:tab/>
      </w:r>
      <w:r w:rsidRPr="429E996E">
        <w:rPr>
          <w:b/>
          <w:bCs/>
        </w:rPr>
        <w:t>Interconnecting electric utility</w:t>
      </w:r>
      <w:r>
        <w:t xml:space="preserve"> -- The electric utility, municipally owned utility, or electric cooperative that owns and operates the facilities necessary to interconnect a large load customer </w:t>
      </w:r>
      <w:r w:rsidRPr="429E996E">
        <w:rPr>
          <w:color w:val="EE0000"/>
          <w:u w:val="single"/>
        </w:rPr>
        <w:t xml:space="preserve">or a co-located generation </w:t>
      </w:r>
      <w:r w:rsidRPr="00583909">
        <w:rPr>
          <w:color w:val="FF0000"/>
          <w:u w:val="single"/>
        </w:rPr>
        <w:t>resource</w:t>
      </w:r>
      <w:r>
        <w:t xml:space="preserve"> to the ERCOT System.  </w:t>
      </w:r>
    </w:p>
    <w:p w14:paraId="4F78D8ED" w14:textId="40E2C00A" w:rsidR="71B722F0" w:rsidRDefault="429E996E" w:rsidP="00583909">
      <w:pPr>
        <w:ind w:firstLine="360"/>
        <w:jc w:val="both"/>
      </w:pPr>
      <w:r>
        <w:t>Second, clarifications should be added to section (e) to indicate that information on large</w:t>
      </w:r>
      <w:r w:rsidR="2D472C05">
        <w:t xml:space="preserve"> </w:t>
      </w:r>
      <w:r>
        <w:t xml:space="preserve">loads that are only partially through the process should be provided to ERCOT to give further insight into </w:t>
      </w:r>
      <w:proofErr w:type="gramStart"/>
      <w:r>
        <w:t>the load</w:t>
      </w:r>
      <w:proofErr w:type="gramEnd"/>
      <w:r>
        <w:t xml:space="preserve"> interconnection process and how loads are progressing.  TCPA also recommends adding a requirement for ERCOT to create reports </w:t>
      </w:r>
      <w:proofErr w:type="gramStart"/>
      <w:r>
        <w:t>similar to</w:t>
      </w:r>
      <w:proofErr w:type="gramEnd"/>
      <w:r>
        <w:t xml:space="preserve"> the Generation Interconnection Study (GIS) reports. This information will allow for a better understanding of how the requirements are affecting loads going through the process and allow for improved clarity in the resulting load forecasts.  ERCOT cannot provide this information to market participants unless it is provided to them.  As written in the discussion draft, it can be inferred that interconnecting utilities would be required not to provide information on load that has not met </w:t>
      </w:r>
      <w:proofErr w:type="gramStart"/>
      <w:r>
        <w:t>all of</w:t>
      </w:r>
      <w:proofErr w:type="gramEnd"/>
      <w:r>
        <w:t xml:space="preserve"> the listed requirements.  Potential investors cannot make financial commitments to build new generation </w:t>
      </w:r>
      <w:r w:rsidR="2D472C05">
        <w:t xml:space="preserve">(particularly capital-intensive thermal generation), and other loads and power marketers </w:t>
      </w:r>
      <w:r>
        <w:t xml:space="preserve">are less likely to take part in forward markets based on these forecasts without increased transparency and trust in the load projection models. </w:t>
      </w:r>
    </w:p>
    <w:p w14:paraId="6BB36CCE" w14:textId="258607E8" w:rsidR="2D472C05" w:rsidRDefault="2D472C05" w:rsidP="00D42369">
      <w:pPr>
        <w:ind w:left="720" w:hanging="360"/>
        <w:jc w:val="both"/>
        <w:rPr>
          <w:color w:val="C00000"/>
        </w:rPr>
      </w:pPr>
      <w:r>
        <w:t>(e</w:t>
      </w:r>
      <w:proofErr w:type="gramStart"/>
      <w:r>
        <w:t xml:space="preserve">) </w:t>
      </w:r>
      <w:r>
        <w:tab/>
        <w:t>Discretionary</w:t>
      </w:r>
      <w:proofErr w:type="gramEnd"/>
      <w:r>
        <w:t xml:space="preserve"> services agreement. Before the interconnecting electric utility submits the large load interconnection study to ERCOT, the large load customer must execute and securitize a discretionary services agreement that, at a minimum, includes the updated disclosures and financial commitments under this subsection. </w:t>
      </w:r>
      <w:r w:rsidRPr="00583909">
        <w:rPr>
          <w:color w:val="C00000"/>
          <w:u w:val="single"/>
        </w:rPr>
        <w:t xml:space="preserve">The interconnecting utility must submit information to ERCOT detailing large loads that are in the process of completing a discretionary services agreement, which they believe are likely to materialize </w:t>
      </w:r>
      <w:r w:rsidRPr="00583909">
        <w:rPr>
          <w:color w:val="C00000"/>
          <w:u w:val="single"/>
        </w:rPr>
        <w:lastRenderedPageBreak/>
        <w:t>but have only met a subset of the requirements including an indication of which items under this subsection have been completed.  ERCOT must publish a Large Load status report each month to the ERCOT website that aggregates Load information based on each of the criteria under this subsection by expected consumption, energization timeline, and location with the highest feasible granularity while adhering to confidentiality requirements.</w:t>
      </w:r>
    </w:p>
    <w:p w14:paraId="415D0CD0" w14:textId="781A0F6C" w:rsidR="2D472C05" w:rsidRDefault="2D472C05" w:rsidP="00583909">
      <w:pPr>
        <w:ind w:left="810" w:hanging="720"/>
        <w:jc w:val="both"/>
      </w:pPr>
    </w:p>
    <w:p w14:paraId="3C7DBAEF" w14:textId="6B2F5E8E" w:rsidR="2045267F" w:rsidRDefault="2D472C05" w:rsidP="00583909">
      <w:pPr>
        <w:ind w:firstLine="360"/>
        <w:jc w:val="both"/>
      </w:pPr>
      <w:r>
        <w:t>Third</w:t>
      </w:r>
      <w:r w:rsidR="429E996E">
        <w:t>, TCPA recommends clarifications to the CIAC provisions relating to the</w:t>
      </w:r>
      <w:r w:rsidR="000070BF">
        <w:t xml:space="preserve"> </w:t>
      </w:r>
      <w:r w:rsidR="429E996E">
        <w:t>conversion of the</w:t>
      </w:r>
      <w:r w:rsidR="00407A23">
        <w:t xml:space="preserve"> </w:t>
      </w:r>
      <w:r w:rsidR="429E996E">
        <w:t xml:space="preserve">financial security mechanisms into an actual payment for costs incurred by the interconnecting electric utility. As drafted, </w:t>
      </w:r>
      <w:r w:rsidR="429E996E">
        <w:t>t</w:t>
      </w:r>
      <w:r w:rsidR="429E996E">
        <w:t xml:space="preserve">he CIAC provisions appear to be missing a critical link </w:t>
      </w:r>
      <w:r w:rsidR="429E996E">
        <w:t xml:space="preserve">by delineating the forms of financial security that can be posted for </w:t>
      </w:r>
      <w:proofErr w:type="gramStart"/>
      <w:r w:rsidR="429E996E">
        <w:t>CIAC, but</w:t>
      </w:r>
      <w:proofErr w:type="gramEnd"/>
      <w:r w:rsidR="429E996E">
        <w:t xml:space="preserve"> not establishing how or when the financial security will be converted into an </w:t>
      </w:r>
      <w:proofErr w:type="gramStart"/>
      <w:r w:rsidR="429E996E">
        <w:t xml:space="preserve">actual </w:t>
      </w:r>
      <w:r w:rsidR="429E996E">
        <w:t xml:space="preserve"> cash</w:t>
      </w:r>
      <w:proofErr w:type="gramEnd"/>
      <w:r w:rsidR="429E996E">
        <w:t xml:space="preserve"> </w:t>
      </w:r>
      <w:r w:rsidR="429E996E">
        <w:t>payment as needed</w:t>
      </w:r>
      <w:r w:rsidR="429E996E">
        <w:t xml:space="preserve"> to construct necessary infrastructure to serve the load. This appears to be an oversight but is a key process component that needs to be delineated in </w:t>
      </w:r>
      <w:r w:rsidR="429E996E">
        <w:t xml:space="preserve">the </w:t>
      </w:r>
      <w:r w:rsidR="429E996E">
        <w:t xml:space="preserve">rule since converting </w:t>
      </w:r>
      <w:r w:rsidR="429E996E">
        <w:t xml:space="preserve">collateral </w:t>
      </w:r>
      <w:r w:rsidR="429E996E">
        <w:t xml:space="preserve">or parental guarantee into an actual payment must occur </w:t>
      </w:r>
      <w:proofErr w:type="gramStart"/>
      <w:r w:rsidR="429E996E">
        <w:t>in order to</w:t>
      </w:r>
      <w:proofErr w:type="gramEnd"/>
      <w:r w:rsidR="429E996E">
        <w:t xml:space="preserve"> protect </w:t>
      </w:r>
      <w:r>
        <w:t xml:space="preserve">other </w:t>
      </w:r>
      <w:r w:rsidR="429E996E">
        <w:t xml:space="preserve">consumers from incurring </w:t>
      </w:r>
      <w:r>
        <w:t xml:space="preserve">shifted </w:t>
      </w:r>
      <w:r w:rsidR="429E996E">
        <w:t>costs inadvertently. Without an established process, there would be a risk of insufficient funding that could potentially result in costs being</w:t>
      </w:r>
      <w:r w:rsidR="429E996E">
        <w:t xml:space="preserve"> inappropriately imposed</w:t>
      </w:r>
      <w:r w:rsidR="429E996E">
        <w:t xml:space="preserve"> on </w:t>
      </w:r>
      <w:r>
        <w:t xml:space="preserve">other </w:t>
      </w:r>
      <w:r w:rsidR="429E996E">
        <w:t xml:space="preserve">ratepayers. </w:t>
      </w:r>
      <w:r w:rsidR="429E996E">
        <w:t xml:space="preserve">For consideration, </w:t>
      </w:r>
      <w:r w:rsidR="429E996E">
        <w:t>TCPA</w:t>
      </w:r>
      <w:r w:rsidR="429E996E">
        <w:t xml:space="preserve"> proposes rule language that would allow the interconnecting electric utility to draw down the letter of credit or otherwise convert the applicable financial security into a cash payment as costs are incurred; however, as this issue directly impacts the transmission service providers and presumably is one they deal with today, TCPA defers to the transmission service providers on </w:t>
      </w:r>
      <w:r w:rsidR="429E996E">
        <w:t xml:space="preserve">the most appropriate </w:t>
      </w:r>
      <w:r w:rsidR="429E996E">
        <w:t>process</w:t>
      </w:r>
      <w:r w:rsidR="429E996E">
        <w:t xml:space="preserve"> </w:t>
      </w:r>
      <w:r w:rsidR="429E996E">
        <w:t xml:space="preserve">and associated rule language </w:t>
      </w:r>
      <w:r w:rsidR="429E996E">
        <w:t xml:space="preserve">since those entities would be ordering needed equipment and constructing the infrastructure. </w:t>
      </w:r>
    </w:p>
    <w:p w14:paraId="6F4996B2" w14:textId="3148185D" w:rsidR="00241629" w:rsidRDefault="54F1E41E" w:rsidP="00B97AF6">
      <w:pPr>
        <w:ind w:left="1440" w:hanging="720"/>
        <w:jc w:val="both"/>
      </w:pPr>
      <w:r>
        <w:lastRenderedPageBreak/>
        <w:t>(9)</w:t>
      </w:r>
      <w:r w:rsidR="00DA5EF7">
        <w:tab/>
      </w:r>
      <w:r w:rsidRPr="54F1E41E">
        <w:rPr>
          <w:b/>
          <w:bCs/>
        </w:rPr>
        <w:t>Contribution in aid of construction (CIAC).</w:t>
      </w:r>
      <w:r>
        <w:t xml:space="preserve">  Before the interconnecting electric utility begins construction of facilities to interconnect a large load customer, a large load customer must pay CIAC in an amount that is equal to the interconnecting electric utility’s expected costs to interconnect the large load customer and that are directly attributable to interconnecting the large load customer.  </w:t>
      </w:r>
    </w:p>
    <w:p w14:paraId="2E9EF9C3" w14:textId="7695F516" w:rsidR="000757A0" w:rsidRDefault="54F1E41E" w:rsidP="3558BD62">
      <w:pPr>
        <w:ind w:left="1440" w:hanging="720"/>
        <w:jc w:val="both"/>
        <w:rPr>
          <w:color w:val="C00000"/>
          <w:u w:val="single"/>
        </w:rPr>
      </w:pPr>
      <w:r w:rsidRPr="54F1E41E">
        <w:rPr>
          <w:color w:val="C00000"/>
          <w:u w:val="single"/>
        </w:rPr>
        <w:t>(E)</w:t>
      </w:r>
      <w:r w:rsidR="000757A0">
        <w:tab/>
      </w:r>
      <w:r w:rsidRPr="54F1E41E">
        <w:rPr>
          <w:color w:val="C00000"/>
          <w:u w:val="single"/>
        </w:rPr>
        <w:t>The financial security provided under subsection (h)(9)(D) of this section</w:t>
      </w:r>
      <w:r w:rsidRPr="54F1E41E">
        <w:rPr>
          <w:color w:val="C00000"/>
          <w:u w:val="single"/>
        </w:rPr>
        <w:t xml:space="preserve"> </w:t>
      </w:r>
      <w:r w:rsidRPr="54F1E41E">
        <w:rPr>
          <w:color w:val="C00000"/>
          <w:u w:val="single"/>
        </w:rPr>
        <w:t>may</w:t>
      </w:r>
      <w:r w:rsidRPr="54F1E41E">
        <w:rPr>
          <w:color w:val="C00000"/>
          <w:u w:val="single"/>
        </w:rPr>
        <w:t xml:space="preserve"> be</w:t>
      </w:r>
      <w:r w:rsidRPr="54F1E41E">
        <w:rPr>
          <w:color w:val="C00000"/>
          <w:u w:val="single"/>
        </w:rPr>
        <w:t xml:space="preserve"> drawn down or otherwise</w:t>
      </w:r>
      <w:r w:rsidRPr="54F1E41E">
        <w:rPr>
          <w:color w:val="C00000"/>
          <w:u w:val="single"/>
        </w:rPr>
        <w:t xml:space="preserve"> converted into a cash payment </w:t>
      </w:r>
      <w:r w:rsidRPr="54F1E41E">
        <w:rPr>
          <w:color w:val="C00000"/>
          <w:u w:val="single"/>
        </w:rPr>
        <w:t>as costs are incurred by the interconnecting electric utility.</w:t>
      </w:r>
    </w:p>
    <w:p w14:paraId="0D1A7E2F" w14:textId="6591E1A0" w:rsidR="54F1E41E" w:rsidRDefault="54F1E41E" w:rsidP="00063D3B">
      <w:pPr>
        <w:jc w:val="center"/>
        <w:rPr>
          <w:b/>
          <w:bCs/>
          <w:szCs w:val="24"/>
          <w:u w:val="single"/>
        </w:rPr>
      </w:pPr>
      <w:r w:rsidRPr="54F1E41E">
        <w:rPr>
          <w:b/>
          <w:bCs/>
          <w:szCs w:val="24"/>
          <w:u w:val="single"/>
        </w:rPr>
        <w:t>CONCLUSION</w:t>
      </w:r>
    </w:p>
    <w:p w14:paraId="3FF5FEE9" w14:textId="2E20DF89" w:rsidR="54F1E41E" w:rsidRDefault="3DC375E7" w:rsidP="00583909">
      <w:pPr>
        <w:ind w:firstLine="360"/>
        <w:jc w:val="both"/>
      </w:pPr>
      <w:r>
        <w:t xml:space="preserve">TCPA appreciates the opportunity to provide comments to some of the questions proposed by Staff, as well as comments on the discussion draft. TCPA </w:t>
      </w:r>
      <w:r>
        <w:t xml:space="preserve">believes that standardizing </w:t>
      </w:r>
      <w:r w:rsidR="2D472C05">
        <w:t xml:space="preserve">a baseline of </w:t>
      </w:r>
      <w:r>
        <w:t>what is competitively sensitive information and the period for refunding security when certain milestones for phased energization occur will help stakeholders better understand the rules and expectations surrounding large load interconnections. Similarly, TCPA’s suggested changes to the discussion draft would provide more clarity regarding the large load forecasting and interconnection processes.</w:t>
      </w:r>
    </w:p>
    <w:p w14:paraId="7105F84A" w14:textId="7AB0EA68" w:rsidR="54F1E41E" w:rsidRDefault="3DC375E7" w:rsidP="00063D3B">
      <w:pPr>
        <w:spacing w:line="360" w:lineRule="auto"/>
      </w:pPr>
      <w:r>
        <w:t>Dated: December 1</w:t>
      </w:r>
      <w:r w:rsidR="00063D3B">
        <w:t>9</w:t>
      </w:r>
      <w:r>
        <w:t>, 2025</w:t>
      </w:r>
    </w:p>
    <w:p w14:paraId="1F22541B" w14:textId="64D0BEA5" w:rsidR="54F1E41E" w:rsidRDefault="54F1E41E" w:rsidP="00063D3B">
      <w:pPr>
        <w:ind w:left="3330" w:firstLine="720"/>
        <w:jc w:val="both"/>
        <w:rPr>
          <w:szCs w:val="24"/>
        </w:rPr>
      </w:pPr>
      <w:r w:rsidRPr="54F1E41E">
        <w:rPr>
          <w:szCs w:val="24"/>
        </w:rPr>
        <w:t xml:space="preserve">   </w:t>
      </w:r>
    </w:p>
    <w:p w14:paraId="4BCBE5CD" w14:textId="2107524F" w:rsidR="54F1E41E" w:rsidRDefault="54F1E41E" w:rsidP="00063D3B">
      <w:pPr>
        <w:ind w:left="3330" w:firstLine="720"/>
        <w:jc w:val="both"/>
        <w:rPr>
          <w:szCs w:val="24"/>
        </w:rPr>
      </w:pPr>
      <w:r w:rsidRPr="54F1E41E">
        <w:rPr>
          <w:szCs w:val="24"/>
        </w:rPr>
        <w:t>Respectfully submitted,</w:t>
      </w:r>
    </w:p>
    <w:p w14:paraId="64C6360F" w14:textId="0EDCB885" w:rsidR="54F1E41E" w:rsidRDefault="54F1E41E" w:rsidP="00063D3B">
      <w:pPr>
        <w:tabs>
          <w:tab w:val="left" w:pos="4320"/>
        </w:tabs>
        <w:ind w:left="4320" w:right="-540"/>
      </w:pPr>
      <w:r>
        <w:rPr>
          <w:noProof/>
        </w:rPr>
        <w:drawing>
          <wp:inline distT="0" distB="0" distL="0" distR="0" wp14:anchorId="74DCE857" wp14:editId="04A05C06">
            <wp:extent cx="1924050" cy="504825"/>
            <wp:effectExtent l="0" t="0" r="0" b="0"/>
            <wp:docPr id="1307271103" name="drawing" title="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71103" name="Picture 1307271103"/>
                    <pic:cNvPicPr/>
                  </pic:nvPicPr>
                  <pic:blipFill>
                    <a:blip r:embed="rId9">
                      <a:extLst>
                        <a:ext uri="{28A0092B-C50C-407E-A947-70E740481C1C}">
                          <a14:useLocalDpi xmlns:a14="http://schemas.microsoft.com/office/drawing/2010/main"/>
                        </a:ext>
                      </a:extLst>
                    </a:blip>
                    <a:stretch>
                      <a:fillRect/>
                    </a:stretch>
                  </pic:blipFill>
                  <pic:spPr>
                    <a:xfrm>
                      <a:off x="0" y="0"/>
                      <a:ext cx="1924050" cy="504825"/>
                    </a:xfrm>
                    <a:prstGeom prst="rect">
                      <a:avLst/>
                    </a:prstGeom>
                  </pic:spPr>
                </pic:pic>
              </a:graphicData>
            </a:graphic>
          </wp:inline>
        </w:drawing>
      </w:r>
    </w:p>
    <w:p w14:paraId="1203A4D0" w14:textId="681B8362" w:rsidR="54F1E41E" w:rsidRDefault="54F1E41E" w:rsidP="00063D3B">
      <w:pPr>
        <w:spacing w:line="240" w:lineRule="auto"/>
        <w:ind w:left="4320"/>
        <w:rPr>
          <w:szCs w:val="24"/>
        </w:rPr>
      </w:pPr>
      <w:r w:rsidRPr="54F1E41E">
        <w:rPr>
          <w:szCs w:val="24"/>
        </w:rPr>
        <w:t>Michele Richmond</w:t>
      </w:r>
    </w:p>
    <w:p w14:paraId="4DA25D71" w14:textId="02A9C32F" w:rsidR="54F1E41E" w:rsidRDefault="54F1E41E" w:rsidP="00063D3B">
      <w:pPr>
        <w:spacing w:line="240" w:lineRule="auto"/>
        <w:ind w:left="4320"/>
        <w:rPr>
          <w:szCs w:val="24"/>
        </w:rPr>
      </w:pPr>
      <w:r w:rsidRPr="54F1E41E">
        <w:rPr>
          <w:szCs w:val="24"/>
        </w:rPr>
        <w:t>President &amp; CEO</w:t>
      </w:r>
    </w:p>
    <w:p w14:paraId="22A22695" w14:textId="22E66356" w:rsidR="54F1E41E" w:rsidRDefault="54F1E41E" w:rsidP="00063D3B">
      <w:pPr>
        <w:spacing w:line="240" w:lineRule="auto"/>
        <w:ind w:left="4320"/>
        <w:rPr>
          <w:szCs w:val="24"/>
        </w:rPr>
      </w:pPr>
      <w:r w:rsidRPr="54F1E41E">
        <w:rPr>
          <w:szCs w:val="24"/>
        </w:rPr>
        <w:t>Texas Competitive Power Advocates (TCPA)</w:t>
      </w:r>
    </w:p>
    <w:p w14:paraId="7C6312E5" w14:textId="2ABE5E3A" w:rsidR="54F1E41E" w:rsidRDefault="54F1E41E" w:rsidP="00063D3B">
      <w:pPr>
        <w:spacing w:line="240" w:lineRule="auto"/>
        <w:ind w:left="4320"/>
        <w:rPr>
          <w:szCs w:val="24"/>
        </w:rPr>
      </w:pPr>
      <w:r w:rsidRPr="54F1E41E">
        <w:rPr>
          <w:szCs w:val="24"/>
        </w:rPr>
        <w:t>(512) 653-7447</w:t>
      </w:r>
    </w:p>
    <w:p w14:paraId="13D6488F" w14:textId="2244840F" w:rsidR="54F1E41E" w:rsidRDefault="54F1E41E" w:rsidP="00063D3B">
      <w:pPr>
        <w:spacing w:line="240" w:lineRule="auto"/>
        <w:ind w:left="3600" w:firstLine="720"/>
        <w:rPr>
          <w:rStyle w:val="Hyperlink"/>
          <w:color w:val="0563C1"/>
          <w:szCs w:val="24"/>
        </w:rPr>
      </w:pPr>
      <w:hyperlink r:id="rId10">
        <w:r w:rsidRPr="54F1E41E">
          <w:rPr>
            <w:rStyle w:val="Hyperlink"/>
            <w:color w:val="0563C1"/>
            <w:szCs w:val="24"/>
          </w:rPr>
          <w:t>michele@competitivepower.org</w:t>
        </w:r>
      </w:hyperlink>
    </w:p>
    <w:p w14:paraId="10FF8890" w14:textId="59368ACF" w:rsidR="54F1E41E" w:rsidRDefault="54F1E41E" w:rsidP="54F1E41E">
      <w:pPr>
        <w:spacing w:after="480"/>
        <w:jc w:val="center"/>
        <w:rPr>
          <w:b/>
          <w:bCs/>
        </w:rPr>
      </w:pPr>
      <w:r w:rsidRPr="54F1E41E">
        <w:rPr>
          <w:b/>
          <w:bCs/>
        </w:rPr>
        <w:lastRenderedPageBreak/>
        <w:t>PROJECT NO. 58481</w:t>
      </w:r>
    </w:p>
    <w:tbl>
      <w:tblPr>
        <w:tblW w:w="0" w:type="auto"/>
        <w:jc w:val="center"/>
        <w:tblLook w:val="0000" w:firstRow="0" w:lastRow="0" w:firstColumn="0" w:lastColumn="0" w:noHBand="0" w:noVBand="0"/>
      </w:tblPr>
      <w:tblGrid>
        <w:gridCol w:w="4474"/>
        <w:gridCol w:w="623"/>
        <w:gridCol w:w="4263"/>
      </w:tblGrid>
      <w:tr w:rsidR="54F1E41E" w14:paraId="1DD5CF92" w14:textId="77777777" w:rsidTr="00735BAD">
        <w:trPr>
          <w:trHeight w:val="300"/>
          <w:jc w:val="center"/>
        </w:trPr>
        <w:tc>
          <w:tcPr>
            <w:tcW w:w="4518" w:type="dxa"/>
          </w:tcPr>
          <w:p w14:paraId="6A9F56C7" w14:textId="0FD90040" w:rsidR="54F1E41E" w:rsidRDefault="54F1E41E" w:rsidP="54F1E41E">
            <w:pPr>
              <w:pStyle w:val="preamble"/>
              <w:suppressLineNumbers/>
              <w:spacing w:line="240" w:lineRule="auto"/>
              <w:rPr>
                <w:b/>
                <w:bCs/>
              </w:rPr>
            </w:pPr>
            <w:r w:rsidRPr="54F1E41E">
              <w:rPr>
                <w:b/>
                <w:bCs/>
              </w:rPr>
              <w:t>RULEMAKING TO IMPLEMENT LARGE LOAD INTERCONNECTION STANDARDS UNDER PURA §37.0561</w:t>
            </w:r>
          </w:p>
        </w:tc>
        <w:tc>
          <w:tcPr>
            <w:tcW w:w="630" w:type="dxa"/>
          </w:tcPr>
          <w:p w14:paraId="4890EF82" w14:textId="77777777" w:rsidR="54F1E41E" w:rsidRDefault="54F1E41E" w:rsidP="54F1E41E">
            <w:pPr>
              <w:pStyle w:val="preamble"/>
              <w:suppressLineNumbers/>
              <w:spacing w:line="240" w:lineRule="auto"/>
              <w:jc w:val="center"/>
              <w:rPr>
                <w:b/>
                <w:bCs/>
              </w:rPr>
            </w:pPr>
            <w:r w:rsidRPr="54F1E41E">
              <w:rPr>
                <w:b/>
                <w:bCs/>
              </w:rPr>
              <w:t>§</w:t>
            </w:r>
          </w:p>
          <w:p w14:paraId="30EC8F1A" w14:textId="77777777" w:rsidR="54F1E41E" w:rsidRDefault="54F1E41E" w:rsidP="54F1E41E">
            <w:pPr>
              <w:pStyle w:val="preamble"/>
              <w:suppressLineNumbers/>
              <w:spacing w:line="240" w:lineRule="auto"/>
              <w:jc w:val="center"/>
              <w:rPr>
                <w:b/>
                <w:bCs/>
              </w:rPr>
            </w:pPr>
            <w:r w:rsidRPr="54F1E41E">
              <w:rPr>
                <w:b/>
                <w:bCs/>
              </w:rPr>
              <w:t>§</w:t>
            </w:r>
          </w:p>
          <w:p w14:paraId="3839DA2D" w14:textId="0EA8DAE6" w:rsidR="54F1E41E" w:rsidRDefault="54F1E41E" w:rsidP="54F1E41E">
            <w:pPr>
              <w:pStyle w:val="preamble"/>
              <w:suppressLineNumbers/>
              <w:spacing w:line="240" w:lineRule="auto"/>
              <w:jc w:val="center"/>
              <w:rPr>
                <w:b/>
                <w:bCs/>
              </w:rPr>
            </w:pPr>
            <w:r w:rsidRPr="54F1E41E">
              <w:rPr>
                <w:b/>
                <w:bCs/>
              </w:rPr>
              <w:t>§</w:t>
            </w:r>
          </w:p>
          <w:p w14:paraId="651B017A" w14:textId="7A66F198" w:rsidR="54F1E41E" w:rsidRDefault="54F1E41E" w:rsidP="54F1E41E">
            <w:pPr>
              <w:pStyle w:val="preamble"/>
              <w:suppressLineNumbers/>
              <w:spacing w:line="240" w:lineRule="auto"/>
              <w:rPr>
                <w:b/>
                <w:bCs/>
              </w:rPr>
            </w:pPr>
          </w:p>
        </w:tc>
        <w:tc>
          <w:tcPr>
            <w:tcW w:w="4320" w:type="dxa"/>
          </w:tcPr>
          <w:p w14:paraId="0EDDE6FB" w14:textId="77777777" w:rsidR="54F1E41E" w:rsidRDefault="54F1E41E" w:rsidP="54F1E41E">
            <w:pPr>
              <w:pStyle w:val="preamble"/>
              <w:suppressLineNumbers/>
              <w:spacing w:line="240" w:lineRule="auto"/>
              <w:jc w:val="center"/>
              <w:rPr>
                <w:b/>
                <w:bCs/>
              </w:rPr>
            </w:pPr>
            <w:r w:rsidRPr="54F1E41E">
              <w:rPr>
                <w:b/>
                <w:bCs/>
              </w:rPr>
              <w:t>PUBLIC UTILITY COMMISSION</w:t>
            </w:r>
          </w:p>
          <w:p w14:paraId="5ADBCDFD" w14:textId="77777777" w:rsidR="54F1E41E" w:rsidRDefault="54F1E41E" w:rsidP="54F1E41E">
            <w:pPr>
              <w:pStyle w:val="preamble"/>
              <w:suppressLineNumbers/>
              <w:spacing w:line="240" w:lineRule="auto"/>
              <w:jc w:val="center"/>
              <w:rPr>
                <w:b/>
                <w:bCs/>
              </w:rPr>
            </w:pPr>
          </w:p>
          <w:p w14:paraId="12F3AB2E" w14:textId="77777777" w:rsidR="54F1E41E" w:rsidRDefault="54F1E41E" w:rsidP="54F1E41E">
            <w:pPr>
              <w:pStyle w:val="preamble"/>
              <w:suppressLineNumbers/>
              <w:spacing w:line="240" w:lineRule="auto"/>
              <w:jc w:val="center"/>
              <w:rPr>
                <w:b/>
                <w:bCs/>
              </w:rPr>
            </w:pPr>
            <w:r w:rsidRPr="54F1E41E">
              <w:rPr>
                <w:b/>
                <w:bCs/>
              </w:rPr>
              <w:t>OF TEXAS</w:t>
            </w:r>
          </w:p>
          <w:p w14:paraId="189D20CB" w14:textId="77777777" w:rsidR="54F1E41E" w:rsidRDefault="54F1E41E" w:rsidP="54F1E41E">
            <w:pPr>
              <w:pStyle w:val="preamble"/>
              <w:suppressLineNumbers/>
              <w:spacing w:line="240" w:lineRule="auto"/>
              <w:jc w:val="center"/>
              <w:rPr>
                <w:b/>
                <w:bCs/>
              </w:rPr>
            </w:pPr>
          </w:p>
          <w:p w14:paraId="3E8B93C3" w14:textId="77777777" w:rsidR="54F1E41E" w:rsidRDefault="54F1E41E" w:rsidP="54F1E41E">
            <w:pPr>
              <w:pStyle w:val="preamble"/>
              <w:suppressLineNumbers/>
              <w:spacing w:line="240" w:lineRule="auto"/>
              <w:jc w:val="center"/>
              <w:rPr>
                <w:b/>
                <w:bCs/>
              </w:rPr>
            </w:pPr>
          </w:p>
          <w:p w14:paraId="088D5FEF" w14:textId="77777777" w:rsidR="54F1E41E" w:rsidRDefault="54F1E41E" w:rsidP="54F1E41E">
            <w:pPr>
              <w:pStyle w:val="preamble"/>
              <w:suppressLineNumbers/>
              <w:spacing w:line="240" w:lineRule="auto"/>
              <w:jc w:val="center"/>
              <w:rPr>
                <w:b/>
                <w:bCs/>
              </w:rPr>
            </w:pPr>
          </w:p>
        </w:tc>
      </w:tr>
    </w:tbl>
    <w:p w14:paraId="70C3C552" w14:textId="4ABABDEF" w:rsidR="54F1E41E" w:rsidRDefault="54F1E41E" w:rsidP="00063D3B">
      <w:pPr>
        <w:jc w:val="center"/>
        <w:rPr>
          <w:b/>
          <w:bCs/>
          <w:szCs w:val="24"/>
          <w:u w:val="single"/>
        </w:rPr>
      </w:pPr>
      <w:r w:rsidRPr="54F1E41E">
        <w:rPr>
          <w:b/>
          <w:bCs/>
          <w:szCs w:val="24"/>
          <w:u w:val="single"/>
        </w:rPr>
        <w:t>EXECUTIVE SUMMARY OF TCPA’S REPLY COMMENTS</w:t>
      </w:r>
    </w:p>
    <w:p w14:paraId="254BB277" w14:textId="64F8A5A8" w:rsidR="54F1E41E" w:rsidRDefault="54F1E41E" w:rsidP="005E6AC8">
      <w:pPr>
        <w:numPr>
          <w:ilvl w:val="0"/>
          <w:numId w:val="5"/>
        </w:numPr>
        <w:jc w:val="both"/>
      </w:pPr>
      <w:r>
        <w:t xml:space="preserve">The Commission should establish a clear, universal </w:t>
      </w:r>
      <w:r w:rsidR="2D472C05">
        <w:t xml:space="preserve">baseline </w:t>
      </w:r>
      <w:r>
        <w:t>standard for what qualifies as competitively sensitive information. TCPA recommends a non-exhaustive list of specified items that could be expanded as needed.</w:t>
      </w:r>
    </w:p>
    <w:p w14:paraId="56F0E0CA" w14:textId="08CCA9BC" w:rsidR="54F1E41E" w:rsidRDefault="3DC375E7" w:rsidP="005E6AC8">
      <w:pPr>
        <w:pStyle w:val="preamble"/>
        <w:numPr>
          <w:ilvl w:val="0"/>
          <w:numId w:val="3"/>
        </w:numPr>
        <w:jc w:val="both"/>
      </w:pPr>
      <w:r>
        <w:t xml:space="preserve">TCPA supports the establishment of a standardized period for refund when certain milestones for phased energization occur and recommends that the refund </w:t>
      </w:r>
      <w:proofErr w:type="gramStart"/>
      <w:r>
        <w:t>correspond</w:t>
      </w:r>
      <w:proofErr w:type="gramEnd"/>
      <w:r>
        <w:t xml:space="preserve"> to the percentage of expected MW energized. For example, if a large load has indicated that 100 MW will be energized in total and plans to energize 20% each year for 5 years, then 20% of the deposit should be refunded for every 20 MW energized.</w:t>
      </w:r>
    </w:p>
    <w:p w14:paraId="3E1DE8B8" w14:textId="003B5126" w:rsidR="54F1E41E" w:rsidRDefault="54F1E41E" w:rsidP="005E6AC8">
      <w:pPr>
        <w:pStyle w:val="preamble"/>
        <w:numPr>
          <w:ilvl w:val="0"/>
          <w:numId w:val="3"/>
        </w:numPr>
        <w:jc w:val="both"/>
      </w:pPr>
      <w:proofErr w:type="spellStart"/>
      <w:r>
        <w:t>Though</w:t>
      </w:r>
      <w:proofErr w:type="spellEnd"/>
      <w:r>
        <w:t xml:space="preserve"> not addressed in the discussion draft, the market would benefit from having a clear outline of how the Commission and ERCOT intends to manage large loads that are currently in the queue after the adoption of this rule and others associated with SB 6 implementation. For example, will that load remain in the forecast moving forward if it does not meet the newly adopted criteria or will it be removed?</w:t>
      </w:r>
    </w:p>
    <w:p w14:paraId="669FB9D3" w14:textId="4F951269" w:rsidR="54F1E41E" w:rsidRDefault="54F1E41E" w:rsidP="005E6AC8">
      <w:pPr>
        <w:pStyle w:val="preamble"/>
        <w:numPr>
          <w:ilvl w:val="0"/>
          <w:numId w:val="3"/>
        </w:numPr>
        <w:jc w:val="both"/>
      </w:pPr>
      <w:r>
        <w:t xml:space="preserve">Similarly, it is unclear from the discussion draft how loads will be tracked, particularly if they have not met the full criteria for inclusion in the load forecast. TCPA recommends adding a requirement to create reports </w:t>
      </w:r>
      <w:proofErr w:type="gramStart"/>
      <w:r>
        <w:t>similar to</w:t>
      </w:r>
      <w:proofErr w:type="gramEnd"/>
      <w:r>
        <w:t xml:space="preserve"> the Generation Interconnection System (GIS), which tracks milestones so that the market can do effective risk analysis and make </w:t>
      </w:r>
      <w:r>
        <w:lastRenderedPageBreak/>
        <w:t>longer term investment decisions to serve the load in the queue that has not met the full criteria but has the potential to materialize in the future.</w:t>
      </w:r>
    </w:p>
    <w:p w14:paraId="11659FE1" w14:textId="1D9EF06F" w:rsidR="2D472C05" w:rsidRDefault="2D472C05" w:rsidP="2D472C05">
      <w:pPr>
        <w:pStyle w:val="preamble"/>
        <w:numPr>
          <w:ilvl w:val="0"/>
          <w:numId w:val="3"/>
        </w:numPr>
        <w:jc w:val="both"/>
      </w:pPr>
      <w:r>
        <w:t xml:space="preserve">TCPA recommends a change to the definition of “interconnecting electric utility” to reference co-located generation. The recommended change is important to capture the </w:t>
      </w:r>
      <w:proofErr w:type="gramStart"/>
      <w:r>
        <w:t>situations</w:t>
      </w:r>
      <w:proofErr w:type="gramEnd"/>
      <w:r>
        <w:t xml:space="preserve"> in which the large load customer is not directly interconnecting to the ERCOT system but is connecting behind the Point of Interconnection of a generation resource co-located with the large load.</w:t>
      </w:r>
    </w:p>
    <w:p w14:paraId="7956B84B" w14:textId="38F546DB" w:rsidR="54F1E41E" w:rsidRDefault="2D472C05" w:rsidP="005E6AC8">
      <w:pPr>
        <w:pStyle w:val="preamble"/>
        <w:numPr>
          <w:ilvl w:val="0"/>
          <w:numId w:val="3"/>
        </w:numPr>
        <w:jc w:val="both"/>
      </w:pPr>
      <w:r>
        <w:t>TCPA also recommends clarifications to the CIAC provisions relating to the conversion of the financial security mechanisms into an actual payment for costs incurred by the interconnecting electric utility.</w:t>
      </w:r>
    </w:p>
    <w:sectPr w:rsidR="54F1E41E" w:rsidSect="00FF774A">
      <w:headerReference w:type="first" r:id="rId11"/>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73AD" w14:textId="77777777" w:rsidR="008D456A" w:rsidRDefault="008D456A">
      <w:r>
        <w:separator/>
      </w:r>
    </w:p>
  </w:endnote>
  <w:endnote w:type="continuationSeparator" w:id="0">
    <w:p w14:paraId="5C49251F" w14:textId="77777777" w:rsidR="008D456A" w:rsidRDefault="008D456A">
      <w:r>
        <w:continuationSeparator/>
      </w:r>
    </w:p>
  </w:endnote>
  <w:endnote w:type="continuationNotice" w:id="1">
    <w:p w14:paraId="1A134679" w14:textId="77777777" w:rsidR="008D456A" w:rsidRDefault="008D45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MOJEL+TimesNewRoman,Bold">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0BEE" w14:textId="77777777" w:rsidR="008D456A" w:rsidRDefault="008D456A">
      <w:r>
        <w:separator/>
      </w:r>
    </w:p>
  </w:footnote>
  <w:footnote w:type="continuationSeparator" w:id="0">
    <w:p w14:paraId="155E0CAF" w14:textId="77777777" w:rsidR="008D456A" w:rsidRDefault="008D456A">
      <w:r>
        <w:continuationSeparator/>
      </w:r>
    </w:p>
  </w:footnote>
  <w:footnote w:type="continuationNotice" w:id="1">
    <w:p w14:paraId="685971CC" w14:textId="77777777" w:rsidR="008D456A" w:rsidRDefault="008D456A">
      <w:pPr>
        <w:spacing w:line="240" w:lineRule="auto"/>
      </w:pPr>
    </w:p>
  </w:footnote>
  <w:footnote w:id="2">
    <w:p w14:paraId="67060FCA" w14:textId="558DEB5A" w:rsidR="001506A9" w:rsidRPr="00176158" w:rsidRDefault="001506A9">
      <w:pPr>
        <w:pStyle w:val="FootnoteText"/>
      </w:pPr>
      <w:r>
        <w:rPr>
          <w:rStyle w:val="FootnoteReference"/>
        </w:rPr>
        <w:footnoteRef/>
      </w:r>
      <w:r>
        <w:t xml:space="preserve"> </w:t>
      </w:r>
      <w:r w:rsidR="00176158">
        <w:t xml:space="preserve">PUC </w:t>
      </w:r>
      <w:r>
        <w:t xml:space="preserve">Project </w:t>
      </w:r>
      <w:r w:rsidR="00293A30">
        <w:t>58481</w:t>
      </w:r>
      <w:r w:rsidR="00176158">
        <w:t xml:space="preserve">, </w:t>
      </w:r>
      <w:r w:rsidR="00176158">
        <w:rPr>
          <w:bCs/>
          <w:i/>
          <w:iCs/>
        </w:rPr>
        <w:t>R</w:t>
      </w:r>
      <w:r w:rsidR="00176158" w:rsidRPr="00176158">
        <w:rPr>
          <w:bCs/>
          <w:i/>
          <w:iCs/>
        </w:rPr>
        <w:t xml:space="preserve">ulemaking to </w:t>
      </w:r>
      <w:r w:rsidR="00176158">
        <w:rPr>
          <w:bCs/>
          <w:i/>
          <w:iCs/>
        </w:rPr>
        <w:t>I</w:t>
      </w:r>
      <w:r w:rsidR="00176158" w:rsidRPr="00176158">
        <w:rPr>
          <w:bCs/>
          <w:i/>
          <w:iCs/>
        </w:rPr>
        <w:t xml:space="preserve">mplement </w:t>
      </w:r>
      <w:r w:rsidR="00176158">
        <w:rPr>
          <w:bCs/>
          <w:i/>
          <w:iCs/>
        </w:rPr>
        <w:t>L</w:t>
      </w:r>
      <w:r w:rsidR="00176158" w:rsidRPr="00176158">
        <w:rPr>
          <w:bCs/>
          <w:i/>
          <w:iCs/>
        </w:rPr>
        <w:t xml:space="preserve">arge </w:t>
      </w:r>
      <w:r w:rsidR="00176158">
        <w:rPr>
          <w:bCs/>
          <w:i/>
          <w:iCs/>
        </w:rPr>
        <w:t>L</w:t>
      </w:r>
      <w:r w:rsidR="00176158" w:rsidRPr="00176158">
        <w:rPr>
          <w:bCs/>
          <w:i/>
          <w:iCs/>
        </w:rPr>
        <w:t xml:space="preserve">oad </w:t>
      </w:r>
      <w:r w:rsidR="00176158">
        <w:rPr>
          <w:bCs/>
          <w:i/>
          <w:iCs/>
        </w:rPr>
        <w:t>I</w:t>
      </w:r>
      <w:r w:rsidR="00176158" w:rsidRPr="00176158">
        <w:rPr>
          <w:bCs/>
          <w:i/>
          <w:iCs/>
        </w:rPr>
        <w:t xml:space="preserve">nterconnection </w:t>
      </w:r>
      <w:r w:rsidR="00176158">
        <w:rPr>
          <w:bCs/>
          <w:i/>
          <w:iCs/>
        </w:rPr>
        <w:t>S</w:t>
      </w:r>
      <w:r w:rsidR="00176158" w:rsidRPr="00176158">
        <w:rPr>
          <w:bCs/>
          <w:i/>
          <w:iCs/>
        </w:rPr>
        <w:t xml:space="preserve">tandards </w:t>
      </w:r>
      <w:r w:rsidR="00176158">
        <w:rPr>
          <w:bCs/>
          <w:i/>
          <w:iCs/>
        </w:rPr>
        <w:t>U</w:t>
      </w:r>
      <w:r w:rsidR="00176158" w:rsidRPr="00176158">
        <w:rPr>
          <w:bCs/>
          <w:i/>
          <w:iCs/>
        </w:rPr>
        <w:t xml:space="preserve">nder </w:t>
      </w:r>
      <w:r w:rsidR="00176158">
        <w:rPr>
          <w:bCs/>
          <w:i/>
          <w:iCs/>
        </w:rPr>
        <w:t xml:space="preserve">PURA </w:t>
      </w:r>
      <w:r w:rsidR="00176158" w:rsidRPr="00176158">
        <w:rPr>
          <w:bCs/>
          <w:i/>
          <w:iCs/>
        </w:rPr>
        <w:t>§37.0561</w:t>
      </w:r>
      <w:r w:rsidR="00176158">
        <w:rPr>
          <w:bCs/>
          <w:i/>
          <w:iCs/>
        </w:rPr>
        <w:t xml:space="preserve">, </w:t>
      </w:r>
      <w:r w:rsidR="00176158">
        <w:rPr>
          <w:bCs/>
        </w:rPr>
        <w:t>TCPA Response to Staff Questions, October 10, 2025, at</w:t>
      </w:r>
      <w:r w:rsidR="00A31132">
        <w:rPr>
          <w:bCs/>
        </w:rPr>
        <w:t xml:space="preserve"> 4-5.</w:t>
      </w:r>
    </w:p>
  </w:footnote>
  <w:footnote w:id="3">
    <w:p w14:paraId="5C4E0372" w14:textId="478A3883" w:rsidR="00446BD1" w:rsidRPr="00446BD1" w:rsidRDefault="00446BD1">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FFBF" w14:textId="41EE9D61" w:rsidR="00FF774A" w:rsidRDefault="00FF7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4C6"/>
    <w:multiLevelType w:val="multilevel"/>
    <w:tmpl w:val="40DA606E"/>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76F4F"/>
    <w:multiLevelType w:val="hybridMultilevel"/>
    <w:tmpl w:val="E130A8B2"/>
    <w:lvl w:ilvl="0" w:tplc="4AE0E75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973C5"/>
    <w:multiLevelType w:val="hybridMultilevel"/>
    <w:tmpl w:val="478E91B2"/>
    <w:lvl w:ilvl="0" w:tplc="DD5216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37429"/>
    <w:multiLevelType w:val="hybridMultilevel"/>
    <w:tmpl w:val="4E4C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22BD"/>
    <w:multiLevelType w:val="hybridMultilevel"/>
    <w:tmpl w:val="C32E5868"/>
    <w:lvl w:ilvl="0" w:tplc="CA325FD4">
      <w:start w:val="1"/>
      <w:numFmt w:val="decimal"/>
      <w:lvlText w:val="(%1)"/>
      <w:lvlJc w:val="left"/>
      <w:pPr>
        <w:ind w:left="1440" w:hanging="360"/>
      </w:pPr>
      <w:rPr>
        <w:rFonts w:ascii="Times New Roman" w:hAnsi="Times New Roman" w:cs="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132C3F"/>
    <w:multiLevelType w:val="multilevel"/>
    <w:tmpl w:val="556A2E6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B7EE2"/>
    <w:multiLevelType w:val="multilevel"/>
    <w:tmpl w:val="14684C90"/>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BB76D2"/>
    <w:multiLevelType w:val="multilevel"/>
    <w:tmpl w:val="38882B4C"/>
    <w:lvl w:ilvl="0">
      <w:start w:val="1"/>
      <w:numFmt w:val="lowerRoman"/>
      <w:lvlText w:val="(%1)"/>
      <w:lvlJc w:val="left"/>
      <w:pPr>
        <w:tabs>
          <w:tab w:val="left" w:pos="64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ECE78C"/>
    <w:multiLevelType w:val="hybridMultilevel"/>
    <w:tmpl w:val="FFFFFFFF"/>
    <w:lvl w:ilvl="0" w:tplc="F9BA1ED2">
      <w:start w:val="1"/>
      <w:numFmt w:val="bullet"/>
      <w:lvlText w:val=""/>
      <w:lvlJc w:val="left"/>
      <w:pPr>
        <w:ind w:left="720" w:hanging="360"/>
      </w:pPr>
      <w:rPr>
        <w:rFonts w:ascii="Symbol" w:hAnsi="Symbol" w:hint="default"/>
      </w:rPr>
    </w:lvl>
    <w:lvl w:ilvl="1" w:tplc="C22EDA82">
      <w:start w:val="1"/>
      <w:numFmt w:val="bullet"/>
      <w:lvlText w:val="o"/>
      <w:lvlJc w:val="left"/>
      <w:pPr>
        <w:ind w:left="1440" w:hanging="360"/>
      </w:pPr>
      <w:rPr>
        <w:rFonts w:ascii="Courier New" w:hAnsi="Courier New" w:hint="default"/>
      </w:rPr>
    </w:lvl>
    <w:lvl w:ilvl="2" w:tplc="555C0C22">
      <w:start w:val="1"/>
      <w:numFmt w:val="bullet"/>
      <w:lvlText w:val=""/>
      <w:lvlJc w:val="left"/>
      <w:pPr>
        <w:ind w:left="2160" w:hanging="360"/>
      </w:pPr>
      <w:rPr>
        <w:rFonts w:ascii="Wingdings" w:hAnsi="Wingdings" w:hint="default"/>
      </w:rPr>
    </w:lvl>
    <w:lvl w:ilvl="3" w:tplc="BDF875F8">
      <w:start w:val="1"/>
      <w:numFmt w:val="bullet"/>
      <w:lvlText w:val=""/>
      <w:lvlJc w:val="left"/>
      <w:pPr>
        <w:ind w:left="2880" w:hanging="360"/>
      </w:pPr>
      <w:rPr>
        <w:rFonts w:ascii="Symbol" w:hAnsi="Symbol" w:hint="default"/>
      </w:rPr>
    </w:lvl>
    <w:lvl w:ilvl="4" w:tplc="2E44375E">
      <w:start w:val="1"/>
      <w:numFmt w:val="bullet"/>
      <w:lvlText w:val="o"/>
      <w:lvlJc w:val="left"/>
      <w:pPr>
        <w:ind w:left="3600" w:hanging="360"/>
      </w:pPr>
      <w:rPr>
        <w:rFonts w:ascii="Courier New" w:hAnsi="Courier New" w:hint="default"/>
      </w:rPr>
    </w:lvl>
    <w:lvl w:ilvl="5" w:tplc="A3080C7E">
      <w:start w:val="1"/>
      <w:numFmt w:val="bullet"/>
      <w:lvlText w:val=""/>
      <w:lvlJc w:val="left"/>
      <w:pPr>
        <w:ind w:left="4320" w:hanging="360"/>
      </w:pPr>
      <w:rPr>
        <w:rFonts w:ascii="Wingdings" w:hAnsi="Wingdings" w:hint="default"/>
      </w:rPr>
    </w:lvl>
    <w:lvl w:ilvl="6" w:tplc="780C01E0">
      <w:start w:val="1"/>
      <w:numFmt w:val="bullet"/>
      <w:lvlText w:val=""/>
      <w:lvlJc w:val="left"/>
      <w:pPr>
        <w:ind w:left="5040" w:hanging="360"/>
      </w:pPr>
      <w:rPr>
        <w:rFonts w:ascii="Symbol" w:hAnsi="Symbol" w:hint="default"/>
      </w:rPr>
    </w:lvl>
    <w:lvl w:ilvl="7" w:tplc="361E9D1A">
      <w:start w:val="1"/>
      <w:numFmt w:val="bullet"/>
      <w:lvlText w:val="o"/>
      <w:lvlJc w:val="left"/>
      <w:pPr>
        <w:ind w:left="5760" w:hanging="360"/>
      </w:pPr>
      <w:rPr>
        <w:rFonts w:ascii="Courier New" w:hAnsi="Courier New" w:hint="default"/>
      </w:rPr>
    </w:lvl>
    <w:lvl w:ilvl="8" w:tplc="730E7BEA">
      <w:start w:val="1"/>
      <w:numFmt w:val="bullet"/>
      <w:lvlText w:val=""/>
      <w:lvlJc w:val="left"/>
      <w:pPr>
        <w:ind w:left="6480" w:hanging="360"/>
      </w:pPr>
      <w:rPr>
        <w:rFonts w:ascii="Wingdings" w:hAnsi="Wingdings" w:hint="default"/>
      </w:rPr>
    </w:lvl>
  </w:abstractNum>
  <w:abstractNum w:abstractNumId="9" w15:restartNumberingAfterBreak="0">
    <w:nsid w:val="227A37EF"/>
    <w:multiLevelType w:val="hybridMultilevel"/>
    <w:tmpl w:val="FFFFFFFF"/>
    <w:lvl w:ilvl="0" w:tplc="4F90DB8E">
      <w:start w:val="1"/>
      <w:numFmt w:val="bullet"/>
      <w:lvlText w:val=""/>
      <w:lvlJc w:val="left"/>
      <w:pPr>
        <w:ind w:left="720" w:hanging="360"/>
      </w:pPr>
      <w:rPr>
        <w:rFonts w:ascii="Wingdings" w:hAnsi="Wingdings" w:hint="default"/>
      </w:rPr>
    </w:lvl>
    <w:lvl w:ilvl="1" w:tplc="7AE8B700">
      <w:start w:val="1"/>
      <w:numFmt w:val="bullet"/>
      <w:lvlText w:val=""/>
      <w:lvlJc w:val="left"/>
      <w:pPr>
        <w:ind w:left="1440" w:hanging="360"/>
      </w:pPr>
      <w:rPr>
        <w:rFonts w:ascii="Wingdings" w:hAnsi="Wingdings" w:hint="default"/>
      </w:rPr>
    </w:lvl>
    <w:lvl w:ilvl="2" w:tplc="FDAAF766">
      <w:start w:val="1"/>
      <w:numFmt w:val="bullet"/>
      <w:lvlText w:val=""/>
      <w:lvlJc w:val="left"/>
      <w:pPr>
        <w:ind w:left="2160" w:hanging="360"/>
      </w:pPr>
      <w:rPr>
        <w:rFonts w:ascii="Wingdings" w:hAnsi="Wingdings" w:hint="default"/>
      </w:rPr>
    </w:lvl>
    <w:lvl w:ilvl="3" w:tplc="A2422DC4">
      <w:start w:val="1"/>
      <w:numFmt w:val="bullet"/>
      <w:lvlText w:val=""/>
      <w:lvlJc w:val="left"/>
      <w:pPr>
        <w:ind w:left="2880" w:hanging="360"/>
      </w:pPr>
      <w:rPr>
        <w:rFonts w:ascii="Wingdings" w:hAnsi="Wingdings" w:hint="default"/>
      </w:rPr>
    </w:lvl>
    <w:lvl w:ilvl="4" w:tplc="224E6278">
      <w:start w:val="1"/>
      <w:numFmt w:val="bullet"/>
      <w:lvlText w:val=""/>
      <w:lvlJc w:val="left"/>
      <w:pPr>
        <w:ind w:left="3600" w:hanging="360"/>
      </w:pPr>
      <w:rPr>
        <w:rFonts w:ascii="Wingdings" w:hAnsi="Wingdings" w:hint="default"/>
      </w:rPr>
    </w:lvl>
    <w:lvl w:ilvl="5" w:tplc="18364F0E">
      <w:start w:val="1"/>
      <w:numFmt w:val="bullet"/>
      <w:lvlText w:val=""/>
      <w:lvlJc w:val="left"/>
      <w:pPr>
        <w:ind w:left="4320" w:hanging="360"/>
      </w:pPr>
      <w:rPr>
        <w:rFonts w:ascii="Wingdings" w:hAnsi="Wingdings" w:hint="default"/>
      </w:rPr>
    </w:lvl>
    <w:lvl w:ilvl="6" w:tplc="371EE9D8">
      <w:start w:val="1"/>
      <w:numFmt w:val="bullet"/>
      <w:lvlText w:val=""/>
      <w:lvlJc w:val="left"/>
      <w:pPr>
        <w:ind w:left="5040" w:hanging="360"/>
      </w:pPr>
      <w:rPr>
        <w:rFonts w:ascii="Wingdings" w:hAnsi="Wingdings" w:hint="default"/>
      </w:rPr>
    </w:lvl>
    <w:lvl w:ilvl="7" w:tplc="B1E09212">
      <w:start w:val="1"/>
      <w:numFmt w:val="bullet"/>
      <w:lvlText w:val=""/>
      <w:lvlJc w:val="left"/>
      <w:pPr>
        <w:ind w:left="5760" w:hanging="360"/>
      </w:pPr>
      <w:rPr>
        <w:rFonts w:ascii="Wingdings" w:hAnsi="Wingdings" w:hint="default"/>
      </w:rPr>
    </w:lvl>
    <w:lvl w:ilvl="8" w:tplc="30E06670">
      <w:start w:val="1"/>
      <w:numFmt w:val="bullet"/>
      <w:lvlText w:val=""/>
      <w:lvlJc w:val="left"/>
      <w:pPr>
        <w:ind w:left="6480" w:hanging="360"/>
      </w:pPr>
      <w:rPr>
        <w:rFonts w:ascii="Wingdings" w:hAnsi="Wingdings" w:hint="default"/>
      </w:rPr>
    </w:lvl>
  </w:abstractNum>
  <w:abstractNum w:abstractNumId="10" w15:restartNumberingAfterBreak="0">
    <w:nsid w:val="2283AB54"/>
    <w:multiLevelType w:val="hybridMultilevel"/>
    <w:tmpl w:val="FFFFFFFF"/>
    <w:lvl w:ilvl="0" w:tplc="EAA2C66A">
      <w:start w:val="1"/>
      <w:numFmt w:val="bullet"/>
      <w:lvlText w:val=""/>
      <w:lvlJc w:val="left"/>
      <w:pPr>
        <w:ind w:left="720" w:hanging="360"/>
      </w:pPr>
      <w:rPr>
        <w:rFonts w:ascii="Symbol" w:hAnsi="Symbol" w:hint="default"/>
      </w:rPr>
    </w:lvl>
    <w:lvl w:ilvl="1" w:tplc="5524C28C">
      <w:start w:val="1"/>
      <w:numFmt w:val="bullet"/>
      <w:lvlText w:val="o"/>
      <w:lvlJc w:val="left"/>
      <w:pPr>
        <w:ind w:left="1440" w:hanging="360"/>
      </w:pPr>
      <w:rPr>
        <w:rFonts w:ascii="Courier New" w:hAnsi="Courier New" w:hint="default"/>
      </w:rPr>
    </w:lvl>
    <w:lvl w:ilvl="2" w:tplc="23C81DC4">
      <w:start w:val="1"/>
      <w:numFmt w:val="bullet"/>
      <w:lvlText w:val=""/>
      <w:lvlJc w:val="left"/>
      <w:pPr>
        <w:ind w:left="2160" w:hanging="360"/>
      </w:pPr>
      <w:rPr>
        <w:rFonts w:ascii="Wingdings" w:hAnsi="Wingdings" w:hint="default"/>
      </w:rPr>
    </w:lvl>
    <w:lvl w:ilvl="3" w:tplc="5E6262D8">
      <w:start w:val="1"/>
      <w:numFmt w:val="bullet"/>
      <w:lvlText w:val=""/>
      <w:lvlJc w:val="left"/>
      <w:pPr>
        <w:ind w:left="2880" w:hanging="360"/>
      </w:pPr>
      <w:rPr>
        <w:rFonts w:ascii="Symbol" w:hAnsi="Symbol" w:hint="default"/>
      </w:rPr>
    </w:lvl>
    <w:lvl w:ilvl="4" w:tplc="6B18F0E8">
      <w:start w:val="1"/>
      <w:numFmt w:val="bullet"/>
      <w:lvlText w:val="o"/>
      <w:lvlJc w:val="left"/>
      <w:pPr>
        <w:ind w:left="3600" w:hanging="360"/>
      </w:pPr>
      <w:rPr>
        <w:rFonts w:ascii="Courier New" w:hAnsi="Courier New" w:hint="default"/>
      </w:rPr>
    </w:lvl>
    <w:lvl w:ilvl="5" w:tplc="8F7C2514">
      <w:start w:val="1"/>
      <w:numFmt w:val="bullet"/>
      <w:lvlText w:val=""/>
      <w:lvlJc w:val="left"/>
      <w:pPr>
        <w:ind w:left="4320" w:hanging="360"/>
      </w:pPr>
      <w:rPr>
        <w:rFonts w:ascii="Wingdings" w:hAnsi="Wingdings" w:hint="default"/>
      </w:rPr>
    </w:lvl>
    <w:lvl w:ilvl="6" w:tplc="C84A709A">
      <w:start w:val="1"/>
      <w:numFmt w:val="bullet"/>
      <w:lvlText w:val=""/>
      <w:lvlJc w:val="left"/>
      <w:pPr>
        <w:ind w:left="5040" w:hanging="360"/>
      </w:pPr>
      <w:rPr>
        <w:rFonts w:ascii="Symbol" w:hAnsi="Symbol" w:hint="default"/>
      </w:rPr>
    </w:lvl>
    <w:lvl w:ilvl="7" w:tplc="41CCB7AA">
      <w:start w:val="1"/>
      <w:numFmt w:val="bullet"/>
      <w:lvlText w:val="o"/>
      <w:lvlJc w:val="left"/>
      <w:pPr>
        <w:ind w:left="5760" w:hanging="360"/>
      </w:pPr>
      <w:rPr>
        <w:rFonts w:ascii="Courier New" w:hAnsi="Courier New" w:hint="default"/>
      </w:rPr>
    </w:lvl>
    <w:lvl w:ilvl="8" w:tplc="91CE2CC2">
      <w:start w:val="1"/>
      <w:numFmt w:val="bullet"/>
      <w:lvlText w:val=""/>
      <w:lvlJc w:val="left"/>
      <w:pPr>
        <w:ind w:left="6480" w:hanging="360"/>
      </w:pPr>
      <w:rPr>
        <w:rFonts w:ascii="Wingdings" w:hAnsi="Wingdings" w:hint="default"/>
      </w:rPr>
    </w:lvl>
  </w:abstractNum>
  <w:abstractNum w:abstractNumId="11" w15:restartNumberingAfterBreak="0">
    <w:nsid w:val="2345596E"/>
    <w:multiLevelType w:val="multilevel"/>
    <w:tmpl w:val="28C43EC8"/>
    <w:lvl w:ilvl="0">
      <w:start w:val="4"/>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C5E53"/>
    <w:multiLevelType w:val="multilevel"/>
    <w:tmpl w:val="DFF2F40A"/>
    <w:lvl w:ilvl="0">
      <w:start w:val="7"/>
      <w:numFmt w:val="upperLetter"/>
      <w:lvlText w:val="(%1)"/>
      <w:lvlJc w:val="left"/>
      <w:pPr>
        <w:tabs>
          <w:tab w:val="left" w:pos="72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885A15"/>
    <w:multiLevelType w:val="multilevel"/>
    <w:tmpl w:val="5A221D00"/>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30FBA"/>
    <w:multiLevelType w:val="multilevel"/>
    <w:tmpl w:val="FA52D0AA"/>
    <w:lvl w:ilvl="0">
      <w:start w:val="4"/>
      <w:numFmt w:val="lowerLetter"/>
      <w:lvlText w:val="(%1)"/>
      <w:lvlJc w:val="left"/>
      <w:pPr>
        <w:tabs>
          <w:tab w:val="left" w:pos="720"/>
        </w:tabs>
        <w:ind w:left="720"/>
      </w:pPr>
      <w:rPr>
        <w:rFonts w:ascii="Times New Roman" w:eastAsia="Times New Roman" w:hAnsi="Times New Roman"/>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5C1F1B"/>
    <w:multiLevelType w:val="hybridMultilevel"/>
    <w:tmpl w:val="7FEE36FC"/>
    <w:lvl w:ilvl="0" w:tplc="FB467958">
      <w:start w:val="1"/>
      <w:numFmt w:val="lowerLetter"/>
      <w:lvlText w:val="(%1)"/>
      <w:lvlJc w:val="left"/>
      <w:pPr>
        <w:ind w:left="720" w:hanging="360"/>
      </w:pPr>
    </w:lvl>
    <w:lvl w:ilvl="1" w:tplc="ED78C934">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0725A9"/>
    <w:multiLevelType w:val="multilevel"/>
    <w:tmpl w:val="E130698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76A821"/>
    <w:multiLevelType w:val="hybridMultilevel"/>
    <w:tmpl w:val="FFFFFFFF"/>
    <w:lvl w:ilvl="0" w:tplc="9F40C294">
      <w:start w:val="1"/>
      <w:numFmt w:val="bullet"/>
      <w:lvlText w:val=""/>
      <w:lvlJc w:val="left"/>
      <w:pPr>
        <w:ind w:left="720" w:hanging="360"/>
      </w:pPr>
      <w:rPr>
        <w:rFonts w:ascii="Symbol" w:hAnsi="Symbol" w:hint="default"/>
      </w:rPr>
    </w:lvl>
    <w:lvl w:ilvl="1" w:tplc="567A0748">
      <w:start w:val="1"/>
      <w:numFmt w:val="bullet"/>
      <w:lvlText w:val="o"/>
      <w:lvlJc w:val="left"/>
      <w:pPr>
        <w:ind w:left="1440" w:hanging="360"/>
      </w:pPr>
      <w:rPr>
        <w:rFonts w:ascii="Courier New" w:hAnsi="Courier New" w:hint="default"/>
      </w:rPr>
    </w:lvl>
    <w:lvl w:ilvl="2" w:tplc="95DA598C">
      <w:start w:val="1"/>
      <w:numFmt w:val="bullet"/>
      <w:lvlText w:val=""/>
      <w:lvlJc w:val="left"/>
      <w:pPr>
        <w:ind w:left="2160" w:hanging="360"/>
      </w:pPr>
      <w:rPr>
        <w:rFonts w:ascii="Wingdings" w:hAnsi="Wingdings" w:hint="default"/>
      </w:rPr>
    </w:lvl>
    <w:lvl w:ilvl="3" w:tplc="D8749D80">
      <w:start w:val="1"/>
      <w:numFmt w:val="bullet"/>
      <w:lvlText w:val=""/>
      <w:lvlJc w:val="left"/>
      <w:pPr>
        <w:ind w:left="2880" w:hanging="360"/>
      </w:pPr>
      <w:rPr>
        <w:rFonts w:ascii="Symbol" w:hAnsi="Symbol" w:hint="default"/>
      </w:rPr>
    </w:lvl>
    <w:lvl w:ilvl="4" w:tplc="CF7439C2">
      <w:start w:val="1"/>
      <w:numFmt w:val="bullet"/>
      <w:lvlText w:val="o"/>
      <w:lvlJc w:val="left"/>
      <w:pPr>
        <w:ind w:left="3600" w:hanging="360"/>
      </w:pPr>
      <w:rPr>
        <w:rFonts w:ascii="Courier New" w:hAnsi="Courier New" w:hint="default"/>
      </w:rPr>
    </w:lvl>
    <w:lvl w:ilvl="5" w:tplc="13786A72">
      <w:start w:val="1"/>
      <w:numFmt w:val="bullet"/>
      <w:lvlText w:val=""/>
      <w:lvlJc w:val="left"/>
      <w:pPr>
        <w:ind w:left="4320" w:hanging="360"/>
      </w:pPr>
      <w:rPr>
        <w:rFonts w:ascii="Wingdings" w:hAnsi="Wingdings" w:hint="default"/>
      </w:rPr>
    </w:lvl>
    <w:lvl w:ilvl="6" w:tplc="F68C0204">
      <w:start w:val="1"/>
      <w:numFmt w:val="bullet"/>
      <w:lvlText w:val=""/>
      <w:lvlJc w:val="left"/>
      <w:pPr>
        <w:ind w:left="5040" w:hanging="360"/>
      </w:pPr>
      <w:rPr>
        <w:rFonts w:ascii="Symbol" w:hAnsi="Symbol" w:hint="default"/>
      </w:rPr>
    </w:lvl>
    <w:lvl w:ilvl="7" w:tplc="CA8CCFC6">
      <w:start w:val="1"/>
      <w:numFmt w:val="bullet"/>
      <w:lvlText w:val="o"/>
      <w:lvlJc w:val="left"/>
      <w:pPr>
        <w:ind w:left="5760" w:hanging="360"/>
      </w:pPr>
      <w:rPr>
        <w:rFonts w:ascii="Courier New" w:hAnsi="Courier New" w:hint="default"/>
      </w:rPr>
    </w:lvl>
    <w:lvl w:ilvl="8" w:tplc="704EC312">
      <w:start w:val="1"/>
      <w:numFmt w:val="bullet"/>
      <w:lvlText w:val=""/>
      <w:lvlJc w:val="left"/>
      <w:pPr>
        <w:ind w:left="6480" w:hanging="360"/>
      </w:pPr>
      <w:rPr>
        <w:rFonts w:ascii="Wingdings" w:hAnsi="Wingdings" w:hint="default"/>
      </w:rPr>
    </w:lvl>
  </w:abstractNum>
  <w:abstractNum w:abstractNumId="18" w15:restartNumberingAfterBreak="0">
    <w:nsid w:val="384C0AF2"/>
    <w:multiLevelType w:val="multilevel"/>
    <w:tmpl w:val="164CA79E"/>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8E747E"/>
    <w:multiLevelType w:val="multilevel"/>
    <w:tmpl w:val="ABDA461A"/>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943BA6"/>
    <w:multiLevelType w:val="hybridMultilevel"/>
    <w:tmpl w:val="561E58EA"/>
    <w:lvl w:ilvl="0" w:tplc="69428A7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430801"/>
    <w:multiLevelType w:val="multilevel"/>
    <w:tmpl w:val="6D12A5B8"/>
    <w:lvl w:ilvl="0">
      <w:start w:val="1"/>
      <w:numFmt w:val="lowerRoman"/>
      <w:lvlText w:val="(%1)"/>
      <w:lvlJc w:val="left"/>
      <w:pPr>
        <w:tabs>
          <w:tab w:val="left" w:pos="64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787BC3"/>
    <w:multiLevelType w:val="multilevel"/>
    <w:tmpl w:val="5A864CA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F61195"/>
    <w:multiLevelType w:val="multilevel"/>
    <w:tmpl w:val="7E6EC720"/>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250E6A"/>
    <w:multiLevelType w:val="multilevel"/>
    <w:tmpl w:val="3288E458"/>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316DFA"/>
    <w:multiLevelType w:val="multilevel"/>
    <w:tmpl w:val="9A8425A6"/>
    <w:lvl w:ilvl="0">
      <w:start w:val="3"/>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F46B8"/>
    <w:multiLevelType w:val="multilevel"/>
    <w:tmpl w:val="9970F788"/>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B5E62"/>
    <w:multiLevelType w:val="multilevel"/>
    <w:tmpl w:val="491283DC"/>
    <w:lvl w:ilvl="0">
      <w:start w:val="2"/>
      <w:numFmt w:val="upperLetter"/>
      <w:lvlText w:val="(%1)"/>
      <w:lvlJc w:val="left"/>
      <w:pPr>
        <w:tabs>
          <w:tab w:val="left" w:pos="72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546922"/>
    <w:multiLevelType w:val="multilevel"/>
    <w:tmpl w:val="15E2EC38"/>
    <w:lvl w:ilvl="0">
      <w:start w:val="3"/>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4C5230"/>
    <w:multiLevelType w:val="multilevel"/>
    <w:tmpl w:val="81FC4864"/>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0C7D7C"/>
    <w:multiLevelType w:val="multilevel"/>
    <w:tmpl w:val="9EB4CCA0"/>
    <w:lvl w:ilvl="0">
      <w:start w:val="1"/>
      <w:numFmt w:val="upperLetter"/>
      <w:lvlText w:val="(%1)"/>
      <w:lvlJc w:val="left"/>
      <w:pPr>
        <w:tabs>
          <w:tab w:val="left" w:pos="72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2D6702"/>
    <w:multiLevelType w:val="multilevel"/>
    <w:tmpl w:val="285CD052"/>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285DD0"/>
    <w:multiLevelType w:val="multilevel"/>
    <w:tmpl w:val="8DDA4B4E"/>
    <w:lvl w:ilvl="0">
      <w:start w:val="1"/>
      <w:numFmt w:val="lowerRoman"/>
      <w:lvlText w:val="(%1)"/>
      <w:lvlJc w:val="left"/>
      <w:pPr>
        <w:tabs>
          <w:tab w:val="left" w:pos="64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7D2A6A"/>
    <w:multiLevelType w:val="multilevel"/>
    <w:tmpl w:val="A6A20CBA"/>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2113E7"/>
    <w:multiLevelType w:val="multilevel"/>
    <w:tmpl w:val="89C25B9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3A2AF2"/>
    <w:multiLevelType w:val="hybridMultilevel"/>
    <w:tmpl w:val="6C52093C"/>
    <w:lvl w:ilvl="0" w:tplc="CE18E4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C64B4"/>
    <w:multiLevelType w:val="hybridMultilevel"/>
    <w:tmpl w:val="E638B120"/>
    <w:lvl w:ilvl="0" w:tplc="4434004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78C41B9"/>
    <w:multiLevelType w:val="multilevel"/>
    <w:tmpl w:val="313C5768"/>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DA2DE4"/>
    <w:multiLevelType w:val="multilevel"/>
    <w:tmpl w:val="70C01612"/>
    <w:lvl w:ilvl="0">
      <w:start w:val="5"/>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7B7559"/>
    <w:multiLevelType w:val="multilevel"/>
    <w:tmpl w:val="5D2610A8"/>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10441A"/>
    <w:multiLevelType w:val="hybridMultilevel"/>
    <w:tmpl w:val="C9D2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6483D"/>
    <w:multiLevelType w:val="multilevel"/>
    <w:tmpl w:val="04B4CCB4"/>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AD3ABB"/>
    <w:multiLevelType w:val="multilevel"/>
    <w:tmpl w:val="C52475A2"/>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15475F"/>
    <w:multiLevelType w:val="hybridMultilevel"/>
    <w:tmpl w:val="82DE2096"/>
    <w:lvl w:ilvl="0" w:tplc="591E27B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475E0"/>
    <w:multiLevelType w:val="multilevel"/>
    <w:tmpl w:val="DB40BC74"/>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692DB3"/>
    <w:multiLevelType w:val="hybridMultilevel"/>
    <w:tmpl w:val="FFFFFFFF"/>
    <w:lvl w:ilvl="0" w:tplc="6F96714A">
      <w:start w:val="1"/>
      <w:numFmt w:val="bullet"/>
      <w:lvlText w:val="·"/>
      <w:lvlJc w:val="left"/>
      <w:pPr>
        <w:ind w:left="720" w:hanging="360"/>
      </w:pPr>
      <w:rPr>
        <w:rFonts w:ascii="Symbol" w:hAnsi="Symbol" w:hint="default"/>
      </w:rPr>
    </w:lvl>
    <w:lvl w:ilvl="1" w:tplc="A09CF5F8">
      <w:start w:val="1"/>
      <w:numFmt w:val="bullet"/>
      <w:lvlText w:val="o"/>
      <w:lvlJc w:val="left"/>
      <w:pPr>
        <w:ind w:left="1440" w:hanging="360"/>
      </w:pPr>
      <w:rPr>
        <w:rFonts w:ascii="Courier New" w:hAnsi="Courier New" w:hint="default"/>
      </w:rPr>
    </w:lvl>
    <w:lvl w:ilvl="2" w:tplc="C658A1A6">
      <w:start w:val="1"/>
      <w:numFmt w:val="bullet"/>
      <w:lvlText w:val=""/>
      <w:lvlJc w:val="left"/>
      <w:pPr>
        <w:ind w:left="2160" w:hanging="360"/>
      </w:pPr>
      <w:rPr>
        <w:rFonts w:ascii="Wingdings" w:hAnsi="Wingdings" w:hint="default"/>
      </w:rPr>
    </w:lvl>
    <w:lvl w:ilvl="3" w:tplc="F5B24510">
      <w:start w:val="1"/>
      <w:numFmt w:val="bullet"/>
      <w:lvlText w:val=""/>
      <w:lvlJc w:val="left"/>
      <w:pPr>
        <w:ind w:left="2880" w:hanging="360"/>
      </w:pPr>
      <w:rPr>
        <w:rFonts w:ascii="Symbol" w:hAnsi="Symbol" w:hint="default"/>
      </w:rPr>
    </w:lvl>
    <w:lvl w:ilvl="4" w:tplc="C414CCD0">
      <w:start w:val="1"/>
      <w:numFmt w:val="bullet"/>
      <w:lvlText w:val="o"/>
      <w:lvlJc w:val="left"/>
      <w:pPr>
        <w:ind w:left="3600" w:hanging="360"/>
      </w:pPr>
      <w:rPr>
        <w:rFonts w:ascii="Courier New" w:hAnsi="Courier New" w:hint="default"/>
      </w:rPr>
    </w:lvl>
    <w:lvl w:ilvl="5" w:tplc="CE2E6284">
      <w:start w:val="1"/>
      <w:numFmt w:val="bullet"/>
      <w:lvlText w:val=""/>
      <w:lvlJc w:val="left"/>
      <w:pPr>
        <w:ind w:left="4320" w:hanging="360"/>
      </w:pPr>
      <w:rPr>
        <w:rFonts w:ascii="Wingdings" w:hAnsi="Wingdings" w:hint="default"/>
      </w:rPr>
    </w:lvl>
    <w:lvl w:ilvl="6" w:tplc="E0B89982">
      <w:start w:val="1"/>
      <w:numFmt w:val="bullet"/>
      <w:lvlText w:val=""/>
      <w:lvlJc w:val="left"/>
      <w:pPr>
        <w:ind w:left="5040" w:hanging="360"/>
      </w:pPr>
      <w:rPr>
        <w:rFonts w:ascii="Symbol" w:hAnsi="Symbol" w:hint="default"/>
      </w:rPr>
    </w:lvl>
    <w:lvl w:ilvl="7" w:tplc="ADC04984">
      <w:start w:val="1"/>
      <w:numFmt w:val="bullet"/>
      <w:lvlText w:val="o"/>
      <w:lvlJc w:val="left"/>
      <w:pPr>
        <w:ind w:left="5760" w:hanging="360"/>
      </w:pPr>
      <w:rPr>
        <w:rFonts w:ascii="Courier New" w:hAnsi="Courier New" w:hint="default"/>
      </w:rPr>
    </w:lvl>
    <w:lvl w:ilvl="8" w:tplc="BD8AE43C">
      <w:start w:val="1"/>
      <w:numFmt w:val="bullet"/>
      <w:lvlText w:val=""/>
      <w:lvlJc w:val="left"/>
      <w:pPr>
        <w:ind w:left="6480" w:hanging="360"/>
      </w:pPr>
      <w:rPr>
        <w:rFonts w:ascii="Wingdings" w:hAnsi="Wingdings" w:hint="default"/>
      </w:rPr>
    </w:lvl>
  </w:abstractNum>
  <w:abstractNum w:abstractNumId="46" w15:restartNumberingAfterBreak="0">
    <w:nsid w:val="7CF05821"/>
    <w:multiLevelType w:val="multilevel"/>
    <w:tmpl w:val="8564EA1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5358295">
    <w:abstractNumId w:val="8"/>
  </w:num>
  <w:num w:numId="2" w16cid:durableId="1909992662">
    <w:abstractNumId w:val="9"/>
  </w:num>
  <w:num w:numId="3" w16cid:durableId="570232779">
    <w:abstractNumId w:val="10"/>
  </w:num>
  <w:num w:numId="4" w16cid:durableId="1408769068">
    <w:abstractNumId w:val="17"/>
  </w:num>
  <w:num w:numId="5" w16cid:durableId="588929636">
    <w:abstractNumId w:val="45"/>
  </w:num>
  <w:num w:numId="6" w16cid:durableId="632253611">
    <w:abstractNumId w:val="44"/>
  </w:num>
  <w:num w:numId="7" w16cid:durableId="1243950221">
    <w:abstractNumId w:val="16"/>
  </w:num>
  <w:num w:numId="8" w16cid:durableId="1170561858">
    <w:abstractNumId w:val="14"/>
  </w:num>
  <w:num w:numId="9" w16cid:durableId="909533692">
    <w:abstractNumId w:val="20"/>
  </w:num>
  <w:num w:numId="10" w16cid:durableId="1917979622">
    <w:abstractNumId w:val="24"/>
  </w:num>
  <w:num w:numId="11" w16cid:durableId="1408192786">
    <w:abstractNumId w:val="19"/>
  </w:num>
  <w:num w:numId="12" w16cid:durableId="1183472957">
    <w:abstractNumId w:val="27"/>
  </w:num>
  <w:num w:numId="13" w16cid:durableId="424499360">
    <w:abstractNumId w:val="5"/>
  </w:num>
  <w:num w:numId="14" w16cid:durableId="1902013135">
    <w:abstractNumId w:val="12"/>
  </w:num>
  <w:num w:numId="15" w16cid:durableId="1328707045">
    <w:abstractNumId w:val="41"/>
  </w:num>
  <w:num w:numId="16" w16cid:durableId="233930064">
    <w:abstractNumId w:val="23"/>
  </w:num>
  <w:num w:numId="17" w16cid:durableId="1028415487">
    <w:abstractNumId w:val="31"/>
  </w:num>
  <w:num w:numId="18" w16cid:durableId="1495100574">
    <w:abstractNumId w:val="18"/>
  </w:num>
  <w:num w:numId="19" w16cid:durableId="2044356027">
    <w:abstractNumId w:val="33"/>
  </w:num>
  <w:num w:numId="20" w16cid:durableId="108396731">
    <w:abstractNumId w:val="26"/>
  </w:num>
  <w:num w:numId="21" w16cid:durableId="2131506150">
    <w:abstractNumId w:val="29"/>
  </w:num>
  <w:num w:numId="22" w16cid:durableId="900946745">
    <w:abstractNumId w:val="28"/>
  </w:num>
  <w:num w:numId="23" w16cid:durableId="518859182">
    <w:abstractNumId w:val="37"/>
  </w:num>
  <w:num w:numId="24" w16cid:durableId="1577276177">
    <w:abstractNumId w:val="30"/>
  </w:num>
  <w:num w:numId="25" w16cid:durableId="818570274">
    <w:abstractNumId w:val="25"/>
  </w:num>
  <w:num w:numId="26" w16cid:durableId="140116780">
    <w:abstractNumId w:val="34"/>
  </w:num>
  <w:num w:numId="27" w16cid:durableId="1554779016">
    <w:abstractNumId w:val="42"/>
  </w:num>
  <w:num w:numId="28" w16cid:durableId="812673079">
    <w:abstractNumId w:val="13"/>
  </w:num>
  <w:num w:numId="29" w16cid:durableId="1552306622">
    <w:abstractNumId w:val="38"/>
  </w:num>
  <w:num w:numId="30" w16cid:durableId="1853299653">
    <w:abstractNumId w:val="6"/>
  </w:num>
  <w:num w:numId="31" w16cid:durableId="1682508642">
    <w:abstractNumId w:val="22"/>
  </w:num>
  <w:num w:numId="32" w16cid:durableId="1645305895">
    <w:abstractNumId w:val="32"/>
  </w:num>
  <w:num w:numId="33" w16cid:durableId="1528373928">
    <w:abstractNumId w:val="21"/>
  </w:num>
  <w:num w:numId="34" w16cid:durableId="1793596512">
    <w:abstractNumId w:val="7"/>
  </w:num>
  <w:num w:numId="35" w16cid:durableId="1205289045">
    <w:abstractNumId w:val="11"/>
  </w:num>
  <w:num w:numId="36" w16cid:durableId="1452284134">
    <w:abstractNumId w:val="0"/>
  </w:num>
  <w:num w:numId="37" w16cid:durableId="1975676411">
    <w:abstractNumId w:val="46"/>
  </w:num>
  <w:num w:numId="38" w16cid:durableId="86774077">
    <w:abstractNumId w:val="39"/>
  </w:num>
  <w:num w:numId="39" w16cid:durableId="342780731">
    <w:abstractNumId w:val="36"/>
  </w:num>
  <w:num w:numId="40" w16cid:durableId="1604607982">
    <w:abstractNumId w:val="1"/>
  </w:num>
  <w:num w:numId="41" w16cid:durableId="1407455935">
    <w:abstractNumId w:val="15"/>
  </w:num>
  <w:num w:numId="42" w16cid:durableId="550993284">
    <w:abstractNumId w:val="2"/>
  </w:num>
  <w:num w:numId="43" w16cid:durableId="1911958275">
    <w:abstractNumId w:val="4"/>
  </w:num>
  <w:num w:numId="44" w16cid:durableId="794368574">
    <w:abstractNumId w:val="40"/>
  </w:num>
  <w:num w:numId="45" w16cid:durableId="1313828252">
    <w:abstractNumId w:val="3"/>
  </w:num>
  <w:num w:numId="46" w16cid:durableId="1450321734">
    <w:abstractNumId w:val="35"/>
  </w:num>
  <w:num w:numId="47" w16cid:durableId="84601852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21"/>
    <w:rsid w:val="00001F2E"/>
    <w:rsid w:val="000023AA"/>
    <w:rsid w:val="000028A0"/>
    <w:rsid w:val="00002FB5"/>
    <w:rsid w:val="00003210"/>
    <w:rsid w:val="0000326E"/>
    <w:rsid w:val="000035CB"/>
    <w:rsid w:val="000037EA"/>
    <w:rsid w:val="000046FD"/>
    <w:rsid w:val="00004E7A"/>
    <w:rsid w:val="00005660"/>
    <w:rsid w:val="00005B3F"/>
    <w:rsid w:val="00006445"/>
    <w:rsid w:val="000065D5"/>
    <w:rsid w:val="000065EF"/>
    <w:rsid w:val="00006814"/>
    <w:rsid w:val="00006C08"/>
    <w:rsid w:val="000070BF"/>
    <w:rsid w:val="00007146"/>
    <w:rsid w:val="00007D1A"/>
    <w:rsid w:val="00011846"/>
    <w:rsid w:val="00011DE2"/>
    <w:rsid w:val="000120E8"/>
    <w:rsid w:val="00012773"/>
    <w:rsid w:val="000129BB"/>
    <w:rsid w:val="00012C2E"/>
    <w:rsid w:val="00012F21"/>
    <w:rsid w:val="0001486F"/>
    <w:rsid w:val="00014DA3"/>
    <w:rsid w:val="00016AE9"/>
    <w:rsid w:val="000172F5"/>
    <w:rsid w:val="00022026"/>
    <w:rsid w:val="00022DBE"/>
    <w:rsid w:val="00022EC3"/>
    <w:rsid w:val="000235C8"/>
    <w:rsid w:val="000240E4"/>
    <w:rsid w:val="00025F97"/>
    <w:rsid w:val="0002689B"/>
    <w:rsid w:val="00026F16"/>
    <w:rsid w:val="00027073"/>
    <w:rsid w:val="000279EB"/>
    <w:rsid w:val="000303E9"/>
    <w:rsid w:val="00030DA9"/>
    <w:rsid w:val="0003122E"/>
    <w:rsid w:val="00031B91"/>
    <w:rsid w:val="00031F4A"/>
    <w:rsid w:val="00032064"/>
    <w:rsid w:val="000321EF"/>
    <w:rsid w:val="00032591"/>
    <w:rsid w:val="00032651"/>
    <w:rsid w:val="00032767"/>
    <w:rsid w:val="000332BB"/>
    <w:rsid w:val="00034928"/>
    <w:rsid w:val="00035138"/>
    <w:rsid w:val="00035AF6"/>
    <w:rsid w:val="000374D2"/>
    <w:rsid w:val="00041BAF"/>
    <w:rsid w:val="0004278E"/>
    <w:rsid w:val="00043953"/>
    <w:rsid w:val="0004446D"/>
    <w:rsid w:val="00044A78"/>
    <w:rsid w:val="00045055"/>
    <w:rsid w:val="00046BE2"/>
    <w:rsid w:val="00050974"/>
    <w:rsid w:val="00050F55"/>
    <w:rsid w:val="00051554"/>
    <w:rsid w:val="0005174E"/>
    <w:rsid w:val="000518E2"/>
    <w:rsid w:val="00052743"/>
    <w:rsid w:val="00052A43"/>
    <w:rsid w:val="00053286"/>
    <w:rsid w:val="00053935"/>
    <w:rsid w:val="00053F03"/>
    <w:rsid w:val="000562BE"/>
    <w:rsid w:val="000566D6"/>
    <w:rsid w:val="0005673B"/>
    <w:rsid w:val="00057415"/>
    <w:rsid w:val="000574CB"/>
    <w:rsid w:val="00060D43"/>
    <w:rsid w:val="00060FC1"/>
    <w:rsid w:val="00061AAE"/>
    <w:rsid w:val="000620B6"/>
    <w:rsid w:val="00062848"/>
    <w:rsid w:val="00062E0A"/>
    <w:rsid w:val="000633C3"/>
    <w:rsid w:val="00063D3B"/>
    <w:rsid w:val="000645DA"/>
    <w:rsid w:val="0006479F"/>
    <w:rsid w:val="000649A3"/>
    <w:rsid w:val="00064BD4"/>
    <w:rsid w:val="000650E0"/>
    <w:rsid w:val="0006556F"/>
    <w:rsid w:val="00065EA1"/>
    <w:rsid w:val="000661D5"/>
    <w:rsid w:val="00070726"/>
    <w:rsid w:val="000709E9"/>
    <w:rsid w:val="00070C91"/>
    <w:rsid w:val="00071FA0"/>
    <w:rsid w:val="00071FA2"/>
    <w:rsid w:val="00071FC1"/>
    <w:rsid w:val="00073223"/>
    <w:rsid w:val="000742AD"/>
    <w:rsid w:val="00074C0C"/>
    <w:rsid w:val="00074DC3"/>
    <w:rsid w:val="00075449"/>
    <w:rsid w:val="0007552A"/>
    <w:rsid w:val="000757A0"/>
    <w:rsid w:val="00075C05"/>
    <w:rsid w:val="00075F0E"/>
    <w:rsid w:val="00076250"/>
    <w:rsid w:val="000776C5"/>
    <w:rsid w:val="000806DB"/>
    <w:rsid w:val="00080BCB"/>
    <w:rsid w:val="00080C72"/>
    <w:rsid w:val="00081B72"/>
    <w:rsid w:val="00082D47"/>
    <w:rsid w:val="00084657"/>
    <w:rsid w:val="00087325"/>
    <w:rsid w:val="00087522"/>
    <w:rsid w:val="000879C6"/>
    <w:rsid w:val="000901F4"/>
    <w:rsid w:val="0009045E"/>
    <w:rsid w:val="000909AF"/>
    <w:rsid w:val="00091CB3"/>
    <w:rsid w:val="00091DB6"/>
    <w:rsid w:val="00092284"/>
    <w:rsid w:val="0009234A"/>
    <w:rsid w:val="00092874"/>
    <w:rsid w:val="0009399D"/>
    <w:rsid w:val="000939B2"/>
    <w:rsid w:val="00093CCB"/>
    <w:rsid w:val="00094857"/>
    <w:rsid w:val="00094EA7"/>
    <w:rsid w:val="00095602"/>
    <w:rsid w:val="00095DCE"/>
    <w:rsid w:val="00095EB5"/>
    <w:rsid w:val="000963FD"/>
    <w:rsid w:val="00096954"/>
    <w:rsid w:val="00097741"/>
    <w:rsid w:val="000A06FA"/>
    <w:rsid w:val="000A11C2"/>
    <w:rsid w:val="000A143E"/>
    <w:rsid w:val="000A19B1"/>
    <w:rsid w:val="000A298C"/>
    <w:rsid w:val="000A2C95"/>
    <w:rsid w:val="000A4E8A"/>
    <w:rsid w:val="000A57EB"/>
    <w:rsid w:val="000A5F0C"/>
    <w:rsid w:val="000A6008"/>
    <w:rsid w:val="000A61AE"/>
    <w:rsid w:val="000A6E18"/>
    <w:rsid w:val="000A6FD5"/>
    <w:rsid w:val="000A78A1"/>
    <w:rsid w:val="000B1462"/>
    <w:rsid w:val="000B2A62"/>
    <w:rsid w:val="000B34F1"/>
    <w:rsid w:val="000B35D9"/>
    <w:rsid w:val="000B371C"/>
    <w:rsid w:val="000B39D0"/>
    <w:rsid w:val="000B4091"/>
    <w:rsid w:val="000B411E"/>
    <w:rsid w:val="000B47DF"/>
    <w:rsid w:val="000B4E19"/>
    <w:rsid w:val="000B5451"/>
    <w:rsid w:val="000B57C0"/>
    <w:rsid w:val="000B7205"/>
    <w:rsid w:val="000B727E"/>
    <w:rsid w:val="000B733B"/>
    <w:rsid w:val="000B75D7"/>
    <w:rsid w:val="000C10AD"/>
    <w:rsid w:val="000C2355"/>
    <w:rsid w:val="000C28E2"/>
    <w:rsid w:val="000C2BF8"/>
    <w:rsid w:val="000C33E7"/>
    <w:rsid w:val="000C37F2"/>
    <w:rsid w:val="000C389A"/>
    <w:rsid w:val="000C6F03"/>
    <w:rsid w:val="000C7E95"/>
    <w:rsid w:val="000D080B"/>
    <w:rsid w:val="000D0887"/>
    <w:rsid w:val="000D100B"/>
    <w:rsid w:val="000D191A"/>
    <w:rsid w:val="000D26AA"/>
    <w:rsid w:val="000D3C2C"/>
    <w:rsid w:val="000D4DF6"/>
    <w:rsid w:val="000D4E61"/>
    <w:rsid w:val="000D5203"/>
    <w:rsid w:val="000D60DD"/>
    <w:rsid w:val="000D6537"/>
    <w:rsid w:val="000D6AB6"/>
    <w:rsid w:val="000D7990"/>
    <w:rsid w:val="000D7A22"/>
    <w:rsid w:val="000E07E2"/>
    <w:rsid w:val="000E0C3F"/>
    <w:rsid w:val="000E1B75"/>
    <w:rsid w:val="000E264F"/>
    <w:rsid w:val="000E27A7"/>
    <w:rsid w:val="000E3FA4"/>
    <w:rsid w:val="000E5222"/>
    <w:rsid w:val="000E5789"/>
    <w:rsid w:val="000E5B52"/>
    <w:rsid w:val="000E76D5"/>
    <w:rsid w:val="000E7B8A"/>
    <w:rsid w:val="000E7D15"/>
    <w:rsid w:val="000E7FCE"/>
    <w:rsid w:val="000F00E8"/>
    <w:rsid w:val="000F0546"/>
    <w:rsid w:val="000F133A"/>
    <w:rsid w:val="000F36F9"/>
    <w:rsid w:val="000F3A05"/>
    <w:rsid w:val="000F4D4F"/>
    <w:rsid w:val="000F5726"/>
    <w:rsid w:val="000F686E"/>
    <w:rsid w:val="000F734B"/>
    <w:rsid w:val="000F735D"/>
    <w:rsid w:val="000F752D"/>
    <w:rsid w:val="000F767A"/>
    <w:rsid w:val="000F7BA2"/>
    <w:rsid w:val="000F7EA7"/>
    <w:rsid w:val="00100168"/>
    <w:rsid w:val="001008BD"/>
    <w:rsid w:val="00100A43"/>
    <w:rsid w:val="0010143C"/>
    <w:rsid w:val="00101723"/>
    <w:rsid w:val="001028B3"/>
    <w:rsid w:val="00103632"/>
    <w:rsid w:val="001049BC"/>
    <w:rsid w:val="0010512B"/>
    <w:rsid w:val="001057FD"/>
    <w:rsid w:val="00105CF8"/>
    <w:rsid w:val="00105DFA"/>
    <w:rsid w:val="001079F0"/>
    <w:rsid w:val="0011022E"/>
    <w:rsid w:val="001108C3"/>
    <w:rsid w:val="001114CD"/>
    <w:rsid w:val="00112CC4"/>
    <w:rsid w:val="00112FCF"/>
    <w:rsid w:val="00113523"/>
    <w:rsid w:val="00113AC9"/>
    <w:rsid w:val="00114D01"/>
    <w:rsid w:val="00115C25"/>
    <w:rsid w:val="0011636D"/>
    <w:rsid w:val="00116D20"/>
    <w:rsid w:val="00116F5F"/>
    <w:rsid w:val="001208DF"/>
    <w:rsid w:val="00121060"/>
    <w:rsid w:val="00121170"/>
    <w:rsid w:val="0012164E"/>
    <w:rsid w:val="001225FA"/>
    <w:rsid w:val="00124493"/>
    <w:rsid w:val="0012498B"/>
    <w:rsid w:val="001262CC"/>
    <w:rsid w:val="00126390"/>
    <w:rsid w:val="00126478"/>
    <w:rsid w:val="00126B3A"/>
    <w:rsid w:val="00127F58"/>
    <w:rsid w:val="00130460"/>
    <w:rsid w:val="00130B23"/>
    <w:rsid w:val="00130C6A"/>
    <w:rsid w:val="00132392"/>
    <w:rsid w:val="0013257C"/>
    <w:rsid w:val="00132F49"/>
    <w:rsid w:val="00132F9F"/>
    <w:rsid w:val="00133493"/>
    <w:rsid w:val="00133F87"/>
    <w:rsid w:val="00134255"/>
    <w:rsid w:val="00134ADE"/>
    <w:rsid w:val="00134EB1"/>
    <w:rsid w:val="0013571E"/>
    <w:rsid w:val="001363AF"/>
    <w:rsid w:val="00136D7C"/>
    <w:rsid w:val="00136F6B"/>
    <w:rsid w:val="0013756D"/>
    <w:rsid w:val="00137D90"/>
    <w:rsid w:val="001406AB"/>
    <w:rsid w:val="00140A21"/>
    <w:rsid w:val="00140BBC"/>
    <w:rsid w:val="00140D7B"/>
    <w:rsid w:val="00141EB9"/>
    <w:rsid w:val="00143180"/>
    <w:rsid w:val="001434C9"/>
    <w:rsid w:val="00143FBD"/>
    <w:rsid w:val="001440B1"/>
    <w:rsid w:val="00144A80"/>
    <w:rsid w:val="001452E8"/>
    <w:rsid w:val="00145961"/>
    <w:rsid w:val="001471A6"/>
    <w:rsid w:val="00147310"/>
    <w:rsid w:val="00147BCC"/>
    <w:rsid w:val="001506A9"/>
    <w:rsid w:val="00150A69"/>
    <w:rsid w:val="00150AEA"/>
    <w:rsid w:val="00152559"/>
    <w:rsid w:val="00152B18"/>
    <w:rsid w:val="0015348E"/>
    <w:rsid w:val="00153651"/>
    <w:rsid w:val="00153CE4"/>
    <w:rsid w:val="0015486B"/>
    <w:rsid w:val="00154AE9"/>
    <w:rsid w:val="001553FF"/>
    <w:rsid w:val="0015552A"/>
    <w:rsid w:val="00157397"/>
    <w:rsid w:val="00157D0D"/>
    <w:rsid w:val="00161E2D"/>
    <w:rsid w:val="001620C7"/>
    <w:rsid w:val="001625AD"/>
    <w:rsid w:val="001627E4"/>
    <w:rsid w:val="0016453E"/>
    <w:rsid w:val="00164544"/>
    <w:rsid w:val="0016468B"/>
    <w:rsid w:val="00164C5A"/>
    <w:rsid w:val="00164DF4"/>
    <w:rsid w:val="00164EC4"/>
    <w:rsid w:val="001663DC"/>
    <w:rsid w:val="00166BAA"/>
    <w:rsid w:val="00166CF9"/>
    <w:rsid w:val="00167647"/>
    <w:rsid w:val="00170DAE"/>
    <w:rsid w:val="00170DD6"/>
    <w:rsid w:val="001724FF"/>
    <w:rsid w:val="00172F58"/>
    <w:rsid w:val="0017323E"/>
    <w:rsid w:val="00173D43"/>
    <w:rsid w:val="00173E0D"/>
    <w:rsid w:val="00174113"/>
    <w:rsid w:val="00174F10"/>
    <w:rsid w:val="00175331"/>
    <w:rsid w:val="00176158"/>
    <w:rsid w:val="001769EF"/>
    <w:rsid w:val="001774C3"/>
    <w:rsid w:val="001774EC"/>
    <w:rsid w:val="00180212"/>
    <w:rsid w:val="00180419"/>
    <w:rsid w:val="00180794"/>
    <w:rsid w:val="001813AC"/>
    <w:rsid w:val="00183B72"/>
    <w:rsid w:val="00183C8F"/>
    <w:rsid w:val="00183EF9"/>
    <w:rsid w:val="00185777"/>
    <w:rsid w:val="0018580D"/>
    <w:rsid w:val="00185C56"/>
    <w:rsid w:val="00186D3F"/>
    <w:rsid w:val="001870D1"/>
    <w:rsid w:val="001873E7"/>
    <w:rsid w:val="00187AE0"/>
    <w:rsid w:val="00187EA9"/>
    <w:rsid w:val="00187ED1"/>
    <w:rsid w:val="00190C3B"/>
    <w:rsid w:val="00190E29"/>
    <w:rsid w:val="001912DD"/>
    <w:rsid w:val="00191B54"/>
    <w:rsid w:val="00191BA1"/>
    <w:rsid w:val="00192BE9"/>
    <w:rsid w:val="00193373"/>
    <w:rsid w:val="001938AA"/>
    <w:rsid w:val="00194508"/>
    <w:rsid w:val="00194A9D"/>
    <w:rsid w:val="00194DA5"/>
    <w:rsid w:val="00194DCD"/>
    <w:rsid w:val="00194DE1"/>
    <w:rsid w:val="00195232"/>
    <w:rsid w:val="00195BAD"/>
    <w:rsid w:val="0019638A"/>
    <w:rsid w:val="00196529"/>
    <w:rsid w:val="00196C36"/>
    <w:rsid w:val="00197391"/>
    <w:rsid w:val="001A05D5"/>
    <w:rsid w:val="001A11DB"/>
    <w:rsid w:val="001A1C23"/>
    <w:rsid w:val="001A1E57"/>
    <w:rsid w:val="001A22E6"/>
    <w:rsid w:val="001A38FD"/>
    <w:rsid w:val="001A3EFF"/>
    <w:rsid w:val="001A48B1"/>
    <w:rsid w:val="001A6A19"/>
    <w:rsid w:val="001A76C9"/>
    <w:rsid w:val="001B081C"/>
    <w:rsid w:val="001B08D4"/>
    <w:rsid w:val="001B246A"/>
    <w:rsid w:val="001B24F9"/>
    <w:rsid w:val="001B2810"/>
    <w:rsid w:val="001B3C94"/>
    <w:rsid w:val="001B5401"/>
    <w:rsid w:val="001B5477"/>
    <w:rsid w:val="001B5DFE"/>
    <w:rsid w:val="001B7579"/>
    <w:rsid w:val="001B7E81"/>
    <w:rsid w:val="001C0430"/>
    <w:rsid w:val="001C229B"/>
    <w:rsid w:val="001C3A7B"/>
    <w:rsid w:val="001C3D18"/>
    <w:rsid w:val="001C46B3"/>
    <w:rsid w:val="001C4D86"/>
    <w:rsid w:val="001C6428"/>
    <w:rsid w:val="001C6E8E"/>
    <w:rsid w:val="001C74FE"/>
    <w:rsid w:val="001C7A9F"/>
    <w:rsid w:val="001D1058"/>
    <w:rsid w:val="001D1D73"/>
    <w:rsid w:val="001D1E0D"/>
    <w:rsid w:val="001D25EE"/>
    <w:rsid w:val="001D32F5"/>
    <w:rsid w:val="001D3762"/>
    <w:rsid w:val="001D377D"/>
    <w:rsid w:val="001D515A"/>
    <w:rsid w:val="001D538C"/>
    <w:rsid w:val="001D5CA9"/>
    <w:rsid w:val="001D618F"/>
    <w:rsid w:val="001D665C"/>
    <w:rsid w:val="001D6CFF"/>
    <w:rsid w:val="001D72EB"/>
    <w:rsid w:val="001D7F78"/>
    <w:rsid w:val="001E1BBA"/>
    <w:rsid w:val="001E1E1B"/>
    <w:rsid w:val="001E2BCB"/>
    <w:rsid w:val="001E345D"/>
    <w:rsid w:val="001E4FB1"/>
    <w:rsid w:val="001E574A"/>
    <w:rsid w:val="001E5971"/>
    <w:rsid w:val="001E5AC3"/>
    <w:rsid w:val="001E6133"/>
    <w:rsid w:val="001E652A"/>
    <w:rsid w:val="001E6639"/>
    <w:rsid w:val="001E69E7"/>
    <w:rsid w:val="001E72AC"/>
    <w:rsid w:val="001ED3D0"/>
    <w:rsid w:val="001F107A"/>
    <w:rsid w:val="001F16BD"/>
    <w:rsid w:val="001F1F87"/>
    <w:rsid w:val="001F200A"/>
    <w:rsid w:val="001F29C8"/>
    <w:rsid w:val="001F4150"/>
    <w:rsid w:val="001F4FB4"/>
    <w:rsid w:val="001F5D73"/>
    <w:rsid w:val="001F6732"/>
    <w:rsid w:val="001F6CBD"/>
    <w:rsid w:val="001F6D85"/>
    <w:rsid w:val="001F7F76"/>
    <w:rsid w:val="00200053"/>
    <w:rsid w:val="0020097C"/>
    <w:rsid w:val="002009AA"/>
    <w:rsid w:val="00200EB3"/>
    <w:rsid w:val="002013BA"/>
    <w:rsid w:val="00201881"/>
    <w:rsid w:val="00203296"/>
    <w:rsid w:val="00204E88"/>
    <w:rsid w:val="00205624"/>
    <w:rsid w:val="00205DD9"/>
    <w:rsid w:val="002071B7"/>
    <w:rsid w:val="00207537"/>
    <w:rsid w:val="00210F30"/>
    <w:rsid w:val="00211504"/>
    <w:rsid w:val="00211EA9"/>
    <w:rsid w:val="00212264"/>
    <w:rsid w:val="00212B93"/>
    <w:rsid w:val="00213744"/>
    <w:rsid w:val="00215CFE"/>
    <w:rsid w:val="00217041"/>
    <w:rsid w:val="00217F64"/>
    <w:rsid w:val="002207E3"/>
    <w:rsid w:val="00220B9F"/>
    <w:rsid w:val="00221A23"/>
    <w:rsid w:val="00222845"/>
    <w:rsid w:val="00222A4A"/>
    <w:rsid w:val="00222CD0"/>
    <w:rsid w:val="002239D0"/>
    <w:rsid w:val="00223C70"/>
    <w:rsid w:val="0022507A"/>
    <w:rsid w:val="002253F9"/>
    <w:rsid w:val="00225AD8"/>
    <w:rsid w:val="00226107"/>
    <w:rsid w:val="00227DCB"/>
    <w:rsid w:val="00230427"/>
    <w:rsid w:val="0023143B"/>
    <w:rsid w:val="002318D7"/>
    <w:rsid w:val="002334EE"/>
    <w:rsid w:val="00233D23"/>
    <w:rsid w:val="00234E67"/>
    <w:rsid w:val="00235465"/>
    <w:rsid w:val="00235C01"/>
    <w:rsid w:val="002364C8"/>
    <w:rsid w:val="0023679C"/>
    <w:rsid w:val="00236A27"/>
    <w:rsid w:val="00237A5F"/>
    <w:rsid w:val="00240733"/>
    <w:rsid w:val="00240E2A"/>
    <w:rsid w:val="00241629"/>
    <w:rsid w:val="002416E3"/>
    <w:rsid w:val="00241E57"/>
    <w:rsid w:val="00242227"/>
    <w:rsid w:val="00242DB7"/>
    <w:rsid w:val="002436A3"/>
    <w:rsid w:val="00245993"/>
    <w:rsid w:val="00245BF4"/>
    <w:rsid w:val="00245D6A"/>
    <w:rsid w:val="0024680A"/>
    <w:rsid w:val="002475EE"/>
    <w:rsid w:val="002479B4"/>
    <w:rsid w:val="00247AA1"/>
    <w:rsid w:val="002501B4"/>
    <w:rsid w:val="0025098B"/>
    <w:rsid w:val="0025172A"/>
    <w:rsid w:val="00252BC8"/>
    <w:rsid w:val="00252CD4"/>
    <w:rsid w:val="00253BA7"/>
    <w:rsid w:val="00253C6A"/>
    <w:rsid w:val="002548DB"/>
    <w:rsid w:val="00254FFA"/>
    <w:rsid w:val="002558F5"/>
    <w:rsid w:val="00255ACB"/>
    <w:rsid w:val="0025644A"/>
    <w:rsid w:val="002579C8"/>
    <w:rsid w:val="00260A14"/>
    <w:rsid w:val="0026137E"/>
    <w:rsid w:val="00261E37"/>
    <w:rsid w:val="00262362"/>
    <w:rsid w:val="00262632"/>
    <w:rsid w:val="00262D24"/>
    <w:rsid w:val="00263546"/>
    <w:rsid w:val="00263929"/>
    <w:rsid w:val="00263D07"/>
    <w:rsid w:val="00264DCF"/>
    <w:rsid w:val="00265CFB"/>
    <w:rsid w:val="00266B12"/>
    <w:rsid w:val="002670EF"/>
    <w:rsid w:val="00267421"/>
    <w:rsid w:val="00270A0B"/>
    <w:rsid w:val="00270A90"/>
    <w:rsid w:val="00270AB9"/>
    <w:rsid w:val="00270E7B"/>
    <w:rsid w:val="0027178E"/>
    <w:rsid w:val="00271AA0"/>
    <w:rsid w:val="0027256C"/>
    <w:rsid w:val="002729E8"/>
    <w:rsid w:val="002732FB"/>
    <w:rsid w:val="002737AD"/>
    <w:rsid w:val="00273A57"/>
    <w:rsid w:val="00273D45"/>
    <w:rsid w:val="002741A8"/>
    <w:rsid w:val="002743BF"/>
    <w:rsid w:val="0027521A"/>
    <w:rsid w:val="00275BC0"/>
    <w:rsid w:val="00275CB1"/>
    <w:rsid w:val="00275EA9"/>
    <w:rsid w:val="00276D55"/>
    <w:rsid w:val="0027764E"/>
    <w:rsid w:val="0028087B"/>
    <w:rsid w:val="00280D5D"/>
    <w:rsid w:val="00281893"/>
    <w:rsid w:val="0028203A"/>
    <w:rsid w:val="002837B9"/>
    <w:rsid w:val="002845F8"/>
    <w:rsid w:val="00286487"/>
    <w:rsid w:val="00286972"/>
    <w:rsid w:val="00286A59"/>
    <w:rsid w:val="00286C42"/>
    <w:rsid w:val="00287608"/>
    <w:rsid w:val="002877C1"/>
    <w:rsid w:val="0029041A"/>
    <w:rsid w:val="00290BC2"/>
    <w:rsid w:val="00290DCD"/>
    <w:rsid w:val="00292BAB"/>
    <w:rsid w:val="00293A30"/>
    <w:rsid w:val="002941B9"/>
    <w:rsid w:val="0029459E"/>
    <w:rsid w:val="002948E1"/>
    <w:rsid w:val="00296480"/>
    <w:rsid w:val="002A081A"/>
    <w:rsid w:val="002A091F"/>
    <w:rsid w:val="002A0EE0"/>
    <w:rsid w:val="002A1A7C"/>
    <w:rsid w:val="002A1ED0"/>
    <w:rsid w:val="002A21C4"/>
    <w:rsid w:val="002A3682"/>
    <w:rsid w:val="002A521B"/>
    <w:rsid w:val="002A5525"/>
    <w:rsid w:val="002A5769"/>
    <w:rsid w:val="002A57EC"/>
    <w:rsid w:val="002A6BAF"/>
    <w:rsid w:val="002A730A"/>
    <w:rsid w:val="002A7347"/>
    <w:rsid w:val="002B037D"/>
    <w:rsid w:val="002B0B5C"/>
    <w:rsid w:val="002B1FB1"/>
    <w:rsid w:val="002B28FC"/>
    <w:rsid w:val="002B347F"/>
    <w:rsid w:val="002B3C28"/>
    <w:rsid w:val="002B3EC6"/>
    <w:rsid w:val="002C0C18"/>
    <w:rsid w:val="002C111E"/>
    <w:rsid w:val="002C133B"/>
    <w:rsid w:val="002C190D"/>
    <w:rsid w:val="002C1970"/>
    <w:rsid w:val="002C1F5B"/>
    <w:rsid w:val="002C2DCC"/>
    <w:rsid w:val="002C35A4"/>
    <w:rsid w:val="002C3D90"/>
    <w:rsid w:val="002C451F"/>
    <w:rsid w:val="002C627D"/>
    <w:rsid w:val="002C63BF"/>
    <w:rsid w:val="002C7BAA"/>
    <w:rsid w:val="002D2957"/>
    <w:rsid w:val="002D3EE2"/>
    <w:rsid w:val="002D47FB"/>
    <w:rsid w:val="002D4967"/>
    <w:rsid w:val="002D522C"/>
    <w:rsid w:val="002D5348"/>
    <w:rsid w:val="002D53B4"/>
    <w:rsid w:val="002D5778"/>
    <w:rsid w:val="002D593F"/>
    <w:rsid w:val="002D679E"/>
    <w:rsid w:val="002E0809"/>
    <w:rsid w:val="002E0C2B"/>
    <w:rsid w:val="002E14BE"/>
    <w:rsid w:val="002E15AB"/>
    <w:rsid w:val="002E272B"/>
    <w:rsid w:val="002E3179"/>
    <w:rsid w:val="002E35AF"/>
    <w:rsid w:val="002E3E04"/>
    <w:rsid w:val="002E4AE5"/>
    <w:rsid w:val="002E5264"/>
    <w:rsid w:val="002E54C0"/>
    <w:rsid w:val="002E5B9B"/>
    <w:rsid w:val="002E60E7"/>
    <w:rsid w:val="002E65CD"/>
    <w:rsid w:val="002E69BB"/>
    <w:rsid w:val="002E6AD6"/>
    <w:rsid w:val="002E6B03"/>
    <w:rsid w:val="002E7055"/>
    <w:rsid w:val="002F037E"/>
    <w:rsid w:val="002F0714"/>
    <w:rsid w:val="002F0727"/>
    <w:rsid w:val="002F0AF6"/>
    <w:rsid w:val="002F1CEA"/>
    <w:rsid w:val="002F20D9"/>
    <w:rsid w:val="002F31B4"/>
    <w:rsid w:val="002F3B14"/>
    <w:rsid w:val="002F5B1F"/>
    <w:rsid w:val="002F657F"/>
    <w:rsid w:val="002F6CCB"/>
    <w:rsid w:val="002F7031"/>
    <w:rsid w:val="002F7264"/>
    <w:rsid w:val="00300238"/>
    <w:rsid w:val="0030080B"/>
    <w:rsid w:val="0030129D"/>
    <w:rsid w:val="003031DB"/>
    <w:rsid w:val="00304C6A"/>
    <w:rsid w:val="00304D70"/>
    <w:rsid w:val="00304D7E"/>
    <w:rsid w:val="00304DA7"/>
    <w:rsid w:val="003061E6"/>
    <w:rsid w:val="0030673A"/>
    <w:rsid w:val="00307C4D"/>
    <w:rsid w:val="003100CE"/>
    <w:rsid w:val="003103B9"/>
    <w:rsid w:val="0031106A"/>
    <w:rsid w:val="00311BE7"/>
    <w:rsid w:val="003126A7"/>
    <w:rsid w:val="003128BC"/>
    <w:rsid w:val="00312B67"/>
    <w:rsid w:val="00312BCA"/>
    <w:rsid w:val="00313643"/>
    <w:rsid w:val="00313AD7"/>
    <w:rsid w:val="00315BA2"/>
    <w:rsid w:val="00315E40"/>
    <w:rsid w:val="0031604E"/>
    <w:rsid w:val="00316F02"/>
    <w:rsid w:val="0031712F"/>
    <w:rsid w:val="0031723D"/>
    <w:rsid w:val="00317D9A"/>
    <w:rsid w:val="003200B6"/>
    <w:rsid w:val="00320218"/>
    <w:rsid w:val="003204B2"/>
    <w:rsid w:val="003207C7"/>
    <w:rsid w:val="00321D36"/>
    <w:rsid w:val="0032202F"/>
    <w:rsid w:val="0032281C"/>
    <w:rsid w:val="0032288B"/>
    <w:rsid w:val="00322924"/>
    <w:rsid w:val="00322AF6"/>
    <w:rsid w:val="0032377D"/>
    <w:rsid w:val="00323FC0"/>
    <w:rsid w:val="00324582"/>
    <w:rsid w:val="00324794"/>
    <w:rsid w:val="00324FDD"/>
    <w:rsid w:val="00325528"/>
    <w:rsid w:val="00326089"/>
    <w:rsid w:val="0032641B"/>
    <w:rsid w:val="0032699C"/>
    <w:rsid w:val="003272B6"/>
    <w:rsid w:val="0032772F"/>
    <w:rsid w:val="00331969"/>
    <w:rsid w:val="003319E0"/>
    <w:rsid w:val="00331A54"/>
    <w:rsid w:val="00331E56"/>
    <w:rsid w:val="00334856"/>
    <w:rsid w:val="00334D55"/>
    <w:rsid w:val="003354D9"/>
    <w:rsid w:val="003365B4"/>
    <w:rsid w:val="00336836"/>
    <w:rsid w:val="00336CDD"/>
    <w:rsid w:val="00336D68"/>
    <w:rsid w:val="003407FE"/>
    <w:rsid w:val="0034282B"/>
    <w:rsid w:val="0034351A"/>
    <w:rsid w:val="0034410E"/>
    <w:rsid w:val="003443C0"/>
    <w:rsid w:val="00344F49"/>
    <w:rsid w:val="003455D5"/>
    <w:rsid w:val="00346096"/>
    <w:rsid w:val="00346A9F"/>
    <w:rsid w:val="003477CE"/>
    <w:rsid w:val="00347C51"/>
    <w:rsid w:val="00350732"/>
    <w:rsid w:val="00350894"/>
    <w:rsid w:val="00351538"/>
    <w:rsid w:val="0035171F"/>
    <w:rsid w:val="003518F5"/>
    <w:rsid w:val="00351B74"/>
    <w:rsid w:val="00351F70"/>
    <w:rsid w:val="00352023"/>
    <w:rsid w:val="00354397"/>
    <w:rsid w:val="00356731"/>
    <w:rsid w:val="00357D83"/>
    <w:rsid w:val="00362C57"/>
    <w:rsid w:val="00364FB8"/>
    <w:rsid w:val="00365698"/>
    <w:rsid w:val="003660AB"/>
    <w:rsid w:val="003666CB"/>
    <w:rsid w:val="00366C0B"/>
    <w:rsid w:val="00367AFF"/>
    <w:rsid w:val="00371DA2"/>
    <w:rsid w:val="0037292E"/>
    <w:rsid w:val="00372E01"/>
    <w:rsid w:val="0037334F"/>
    <w:rsid w:val="003739B5"/>
    <w:rsid w:val="00374699"/>
    <w:rsid w:val="0037608D"/>
    <w:rsid w:val="003763BC"/>
    <w:rsid w:val="0037663F"/>
    <w:rsid w:val="003772CE"/>
    <w:rsid w:val="003774AA"/>
    <w:rsid w:val="003800E4"/>
    <w:rsid w:val="003805B7"/>
    <w:rsid w:val="0038174B"/>
    <w:rsid w:val="00381D47"/>
    <w:rsid w:val="0038219C"/>
    <w:rsid w:val="003823DA"/>
    <w:rsid w:val="00382932"/>
    <w:rsid w:val="003835A5"/>
    <w:rsid w:val="003836E5"/>
    <w:rsid w:val="00383837"/>
    <w:rsid w:val="00383F39"/>
    <w:rsid w:val="00384984"/>
    <w:rsid w:val="00384BA6"/>
    <w:rsid w:val="00384C8A"/>
    <w:rsid w:val="003859D8"/>
    <w:rsid w:val="00385FD9"/>
    <w:rsid w:val="003867F7"/>
    <w:rsid w:val="00386E53"/>
    <w:rsid w:val="003870A9"/>
    <w:rsid w:val="003871C9"/>
    <w:rsid w:val="00387790"/>
    <w:rsid w:val="00387FAA"/>
    <w:rsid w:val="003903AC"/>
    <w:rsid w:val="0039156C"/>
    <w:rsid w:val="00391AC8"/>
    <w:rsid w:val="00391C13"/>
    <w:rsid w:val="00391E1E"/>
    <w:rsid w:val="00392EB2"/>
    <w:rsid w:val="00392EE1"/>
    <w:rsid w:val="003932DA"/>
    <w:rsid w:val="00393644"/>
    <w:rsid w:val="00393CC9"/>
    <w:rsid w:val="00393D15"/>
    <w:rsid w:val="00395211"/>
    <w:rsid w:val="00395336"/>
    <w:rsid w:val="003955BE"/>
    <w:rsid w:val="00396CD4"/>
    <w:rsid w:val="00397677"/>
    <w:rsid w:val="00397BDB"/>
    <w:rsid w:val="003A0208"/>
    <w:rsid w:val="003A034D"/>
    <w:rsid w:val="003A09B7"/>
    <w:rsid w:val="003A0E27"/>
    <w:rsid w:val="003A1B77"/>
    <w:rsid w:val="003A3A7D"/>
    <w:rsid w:val="003A417C"/>
    <w:rsid w:val="003A492A"/>
    <w:rsid w:val="003A4F8A"/>
    <w:rsid w:val="003A576A"/>
    <w:rsid w:val="003A6484"/>
    <w:rsid w:val="003A73F5"/>
    <w:rsid w:val="003B03CA"/>
    <w:rsid w:val="003B1953"/>
    <w:rsid w:val="003B2D41"/>
    <w:rsid w:val="003B50A7"/>
    <w:rsid w:val="003B5815"/>
    <w:rsid w:val="003B5B33"/>
    <w:rsid w:val="003B5C5C"/>
    <w:rsid w:val="003B6258"/>
    <w:rsid w:val="003B769F"/>
    <w:rsid w:val="003B7A4C"/>
    <w:rsid w:val="003B7EFB"/>
    <w:rsid w:val="003C0452"/>
    <w:rsid w:val="003C0BFF"/>
    <w:rsid w:val="003C258D"/>
    <w:rsid w:val="003C2A98"/>
    <w:rsid w:val="003C62D4"/>
    <w:rsid w:val="003C64D9"/>
    <w:rsid w:val="003C6AF1"/>
    <w:rsid w:val="003C6B61"/>
    <w:rsid w:val="003C6C61"/>
    <w:rsid w:val="003C7628"/>
    <w:rsid w:val="003D02D5"/>
    <w:rsid w:val="003D0B3D"/>
    <w:rsid w:val="003D120C"/>
    <w:rsid w:val="003D1A56"/>
    <w:rsid w:val="003D1F7F"/>
    <w:rsid w:val="003D1FF4"/>
    <w:rsid w:val="003D21D2"/>
    <w:rsid w:val="003D4AFF"/>
    <w:rsid w:val="003D4F25"/>
    <w:rsid w:val="003D69DB"/>
    <w:rsid w:val="003D6F3A"/>
    <w:rsid w:val="003E032F"/>
    <w:rsid w:val="003E0943"/>
    <w:rsid w:val="003E09B2"/>
    <w:rsid w:val="003E0C49"/>
    <w:rsid w:val="003E1F6A"/>
    <w:rsid w:val="003E2B76"/>
    <w:rsid w:val="003E3586"/>
    <w:rsid w:val="003E35DD"/>
    <w:rsid w:val="003E5227"/>
    <w:rsid w:val="003E5FAA"/>
    <w:rsid w:val="003E6ED2"/>
    <w:rsid w:val="003E7175"/>
    <w:rsid w:val="003E7B7C"/>
    <w:rsid w:val="003F077A"/>
    <w:rsid w:val="003F29AB"/>
    <w:rsid w:val="003F3B89"/>
    <w:rsid w:val="003F3C70"/>
    <w:rsid w:val="003F4A67"/>
    <w:rsid w:val="003F5EBB"/>
    <w:rsid w:val="0040136F"/>
    <w:rsid w:val="00402EAF"/>
    <w:rsid w:val="0040300F"/>
    <w:rsid w:val="004038BD"/>
    <w:rsid w:val="00403924"/>
    <w:rsid w:val="004049B7"/>
    <w:rsid w:val="0040520F"/>
    <w:rsid w:val="0040592C"/>
    <w:rsid w:val="00406C4E"/>
    <w:rsid w:val="00407A23"/>
    <w:rsid w:val="00410C77"/>
    <w:rsid w:val="004120F3"/>
    <w:rsid w:val="0041212A"/>
    <w:rsid w:val="00412F02"/>
    <w:rsid w:val="00413E3D"/>
    <w:rsid w:val="00414209"/>
    <w:rsid w:val="004142A5"/>
    <w:rsid w:val="00415474"/>
    <w:rsid w:val="00415AD5"/>
    <w:rsid w:val="00416907"/>
    <w:rsid w:val="004172DB"/>
    <w:rsid w:val="00417AB4"/>
    <w:rsid w:val="00417ABF"/>
    <w:rsid w:val="004201A2"/>
    <w:rsid w:val="00420AC3"/>
    <w:rsid w:val="00420B89"/>
    <w:rsid w:val="00420FE0"/>
    <w:rsid w:val="00421B92"/>
    <w:rsid w:val="00422940"/>
    <w:rsid w:val="00422E40"/>
    <w:rsid w:val="0042376B"/>
    <w:rsid w:val="00424211"/>
    <w:rsid w:val="0042523E"/>
    <w:rsid w:val="0042535F"/>
    <w:rsid w:val="00425A8A"/>
    <w:rsid w:val="00425E81"/>
    <w:rsid w:val="00426A79"/>
    <w:rsid w:val="00426AAF"/>
    <w:rsid w:val="00426D9C"/>
    <w:rsid w:val="00427486"/>
    <w:rsid w:val="00431A2C"/>
    <w:rsid w:val="004325EC"/>
    <w:rsid w:val="00434105"/>
    <w:rsid w:val="0043447C"/>
    <w:rsid w:val="00435DA6"/>
    <w:rsid w:val="00436AB8"/>
    <w:rsid w:val="0044047F"/>
    <w:rsid w:val="00441F71"/>
    <w:rsid w:val="00442092"/>
    <w:rsid w:val="004420A2"/>
    <w:rsid w:val="00442E62"/>
    <w:rsid w:val="00443B0B"/>
    <w:rsid w:val="00444225"/>
    <w:rsid w:val="004448AF"/>
    <w:rsid w:val="00444B59"/>
    <w:rsid w:val="00444DE0"/>
    <w:rsid w:val="00445576"/>
    <w:rsid w:val="00445751"/>
    <w:rsid w:val="0044637A"/>
    <w:rsid w:val="00446ACC"/>
    <w:rsid w:val="00446BD1"/>
    <w:rsid w:val="00447126"/>
    <w:rsid w:val="0044770D"/>
    <w:rsid w:val="004501E9"/>
    <w:rsid w:val="0045072C"/>
    <w:rsid w:val="00451038"/>
    <w:rsid w:val="0045151A"/>
    <w:rsid w:val="004519B1"/>
    <w:rsid w:val="0045225D"/>
    <w:rsid w:val="00452DEA"/>
    <w:rsid w:val="0045318C"/>
    <w:rsid w:val="00453AB4"/>
    <w:rsid w:val="00454D4F"/>
    <w:rsid w:val="004555C4"/>
    <w:rsid w:val="004567C4"/>
    <w:rsid w:val="004577D3"/>
    <w:rsid w:val="004577DB"/>
    <w:rsid w:val="00460524"/>
    <w:rsid w:val="00460FB6"/>
    <w:rsid w:val="004625E1"/>
    <w:rsid w:val="004633B8"/>
    <w:rsid w:val="00464065"/>
    <w:rsid w:val="00465D25"/>
    <w:rsid w:val="00466F97"/>
    <w:rsid w:val="004671B0"/>
    <w:rsid w:val="00467382"/>
    <w:rsid w:val="0046746F"/>
    <w:rsid w:val="0046768C"/>
    <w:rsid w:val="004678ED"/>
    <w:rsid w:val="0047103E"/>
    <w:rsid w:val="00471477"/>
    <w:rsid w:val="00472320"/>
    <w:rsid w:val="00472926"/>
    <w:rsid w:val="00472CFD"/>
    <w:rsid w:val="004748BB"/>
    <w:rsid w:val="00476185"/>
    <w:rsid w:val="004806A1"/>
    <w:rsid w:val="004809A2"/>
    <w:rsid w:val="0048190A"/>
    <w:rsid w:val="00481D35"/>
    <w:rsid w:val="00482416"/>
    <w:rsid w:val="00483A02"/>
    <w:rsid w:val="00484432"/>
    <w:rsid w:val="00484FB0"/>
    <w:rsid w:val="00485BD4"/>
    <w:rsid w:val="004864CD"/>
    <w:rsid w:val="00486C5E"/>
    <w:rsid w:val="00486EE8"/>
    <w:rsid w:val="00486F3F"/>
    <w:rsid w:val="004901E8"/>
    <w:rsid w:val="00490455"/>
    <w:rsid w:val="00491651"/>
    <w:rsid w:val="004928DE"/>
    <w:rsid w:val="004943E7"/>
    <w:rsid w:val="0049499F"/>
    <w:rsid w:val="00494A0F"/>
    <w:rsid w:val="00496427"/>
    <w:rsid w:val="00496E7A"/>
    <w:rsid w:val="004A2289"/>
    <w:rsid w:val="004A22BA"/>
    <w:rsid w:val="004A33A4"/>
    <w:rsid w:val="004A3C92"/>
    <w:rsid w:val="004A40AD"/>
    <w:rsid w:val="004A477A"/>
    <w:rsid w:val="004A4C2A"/>
    <w:rsid w:val="004A52C5"/>
    <w:rsid w:val="004A5F62"/>
    <w:rsid w:val="004A6456"/>
    <w:rsid w:val="004A674D"/>
    <w:rsid w:val="004A6A74"/>
    <w:rsid w:val="004A6FB7"/>
    <w:rsid w:val="004A71F1"/>
    <w:rsid w:val="004B09B0"/>
    <w:rsid w:val="004B178F"/>
    <w:rsid w:val="004B1E38"/>
    <w:rsid w:val="004B1F2F"/>
    <w:rsid w:val="004B226E"/>
    <w:rsid w:val="004B3420"/>
    <w:rsid w:val="004B38FC"/>
    <w:rsid w:val="004B3D50"/>
    <w:rsid w:val="004B3DEB"/>
    <w:rsid w:val="004B5992"/>
    <w:rsid w:val="004B5E7C"/>
    <w:rsid w:val="004B6C64"/>
    <w:rsid w:val="004B738A"/>
    <w:rsid w:val="004C05F7"/>
    <w:rsid w:val="004C076A"/>
    <w:rsid w:val="004C1249"/>
    <w:rsid w:val="004C24E9"/>
    <w:rsid w:val="004C2B2F"/>
    <w:rsid w:val="004C34BC"/>
    <w:rsid w:val="004C69D4"/>
    <w:rsid w:val="004C6CA3"/>
    <w:rsid w:val="004C7C23"/>
    <w:rsid w:val="004D05B6"/>
    <w:rsid w:val="004D1605"/>
    <w:rsid w:val="004D3CA1"/>
    <w:rsid w:val="004D4C9E"/>
    <w:rsid w:val="004D4E2E"/>
    <w:rsid w:val="004D5591"/>
    <w:rsid w:val="004D772C"/>
    <w:rsid w:val="004D7F71"/>
    <w:rsid w:val="004D7FAA"/>
    <w:rsid w:val="004E061C"/>
    <w:rsid w:val="004E1055"/>
    <w:rsid w:val="004E12FB"/>
    <w:rsid w:val="004E1D3E"/>
    <w:rsid w:val="004E2991"/>
    <w:rsid w:val="004E391B"/>
    <w:rsid w:val="004E3A3E"/>
    <w:rsid w:val="004E4731"/>
    <w:rsid w:val="004E4B29"/>
    <w:rsid w:val="004E4C43"/>
    <w:rsid w:val="004E515F"/>
    <w:rsid w:val="004E59CD"/>
    <w:rsid w:val="004E5A23"/>
    <w:rsid w:val="004E6659"/>
    <w:rsid w:val="004E671C"/>
    <w:rsid w:val="004E73BD"/>
    <w:rsid w:val="004F009F"/>
    <w:rsid w:val="004F031D"/>
    <w:rsid w:val="004F03AE"/>
    <w:rsid w:val="004F0991"/>
    <w:rsid w:val="004F0FD3"/>
    <w:rsid w:val="004F2129"/>
    <w:rsid w:val="004F2864"/>
    <w:rsid w:val="004F2BA5"/>
    <w:rsid w:val="004F2FE5"/>
    <w:rsid w:val="004F3595"/>
    <w:rsid w:val="004F60A5"/>
    <w:rsid w:val="004F69A1"/>
    <w:rsid w:val="004F6F3E"/>
    <w:rsid w:val="004F7156"/>
    <w:rsid w:val="004F729A"/>
    <w:rsid w:val="004F7769"/>
    <w:rsid w:val="00500998"/>
    <w:rsid w:val="00501040"/>
    <w:rsid w:val="0050112C"/>
    <w:rsid w:val="0050123B"/>
    <w:rsid w:val="00503C0D"/>
    <w:rsid w:val="005042B6"/>
    <w:rsid w:val="00505999"/>
    <w:rsid w:val="005059C2"/>
    <w:rsid w:val="00506C0E"/>
    <w:rsid w:val="00507072"/>
    <w:rsid w:val="00507A40"/>
    <w:rsid w:val="00507CF6"/>
    <w:rsid w:val="00507FD4"/>
    <w:rsid w:val="005113AA"/>
    <w:rsid w:val="005117B4"/>
    <w:rsid w:val="00511D6C"/>
    <w:rsid w:val="005121A7"/>
    <w:rsid w:val="005125E4"/>
    <w:rsid w:val="0051271D"/>
    <w:rsid w:val="00512E0D"/>
    <w:rsid w:val="005142BF"/>
    <w:rsid w:val="005147D2"/>
    <w:rsid w:val="00515EAE"/>
    <w:rsid w:val="00516AF0"/>
    <w:rsid w:val="00517227"/>
    <w:rsid w:val="00517A04"/>
    <w:rsid w:val="00517F13"/>
    <w:rsid w:val="0052085E"/>
    <w:rsid w:val="00521444"/>
    <w:rsid w:val="00523279"/>
    <w:rsid w:val="005235C9"/>
    <w:rsid w:val="00523F08"/>
    <w:rsid w:val="00524CE6"/>
    <w:rsid w:val="005252E2"/>
    <w:rsid w:val="005258FF"/>
    <w:rsid w:val="00525C4B"/>
    <w:rsid w:val="00525C61"/>
    <w:rsid w:val="00527928"/>
    <w:rsid w:val="00531102"/>
    <w:rsid w:val="00531C84"/>
    <w:rsid w:val="0053252A"/>
    <w:rsid w:val="00533038"/>
    <w:rsid w:val="00533241"/>
    <w:rsid w:val="00533642"/>
    <w:rsid w:val="00534D3D"/>
    <w:rsid w:val="00535B69"/>
    <w:rsid w:val="005362A6"/>
    <w:rsid w:val="0053645D"/>
    <w:rsid w:val="005378EC"/>
    <w:rsid w:val="00540692"/>
    <w:rsid w:val="00541280"/>
    <w:rsid w:val="00541289"/>
    <w:rsid w:val="00541C81"/>
    <w:rsid w:val="005426FE"/>
    <w:rsid w:val="00542F52"/>
    <w:rsid w:val="00543288"/>
    <w:rsid w:val="00543DF2"/>
    <w:rsid w:val="00544250"/>
    <w:rsid w:val="0054449A"/>
    <w:rsid w:val="00545D56"/>
    <w:rsid w:val="00545E6F"/>
    <w:rsid w:val="00546379"/>
    <w:rsid w:val="005464CB"/>
    <w:rsid w:val="00547A84"/>
    <w:rsid w:val="00550572"/>
    <w:rsid w:val="0055084B"/>
    <w:rsid w:val="00550F57"/>
    <w:rsid w:val="00551463"/>
    <w:rsid w:val="00552573"/>
    <w:rsid w:val="005535D0"/>
    <w:rsid w:val="00553DD8"/>
    <w:rsid w:val="005541D0"/>
    <w:rsid w:val="00555835"/>
    <w:rsid w:val="00555A79"/>
    <w:rsid w:val="005568CC"/>
    <w:rsid w:val="00557192"/>
    <w:rsid w:val="005607DB"/>
    <w:rsid w:val="00560FA6"/>
    <w:rsid w:val="0056102D"/>
    <w:rsid w:val="005615BC"/>
    <w:rsid w:val="00562142"/>
    <w:rsid w:val="00562643"/>
    <w:rsid w:val="00562AC0"/>
    <w:rsid w:val="00562D2B"/>
    <w:rsid w:val="0056358F"/>
    <w:rsid w:val="00563C90"/>
    <w:rsid w:val="00564411"/>
    <w:rsid w:val="00564C0B"/>
    <w:rsid w:val="00564E62"/>
    <w:rsid w:val="00565900"/>
    <w:rsid w:val="00565BD2"/>
    <w:rsid w:val="00565CE2"/>
    <w:rsid w:val="00565E57"/>
    <w:rsid w:val="005664C1"/>
    <w:rsid w:val="0056693A"/>
    <w:rsid w:val="005675E8"/>
    <w:rsid w:val="00567884"/>
    <w:rsid w:val="005679F6"/>
    <w:rsid w:val="00567B76"/>
    <w:rsid w:val="00567EB3"/>
    <w:rsid w:val="0057037D"/>
    <w:rsid w:val="00570DF5"/>
    <w:rsid w:val="005712F6"/>
    <w:rsid w:val="00571633"/>
    <w:rsid w:val="00572D2D"/>
    <w:rsid w:val="00572FD8"/>
    <w:rsid w:val="00573551"/>
    <w:rsid w:val="00573D78"/>
    <w:rsid w:val="00574BD6"/>
    <w:rsid w:val="005759BE"/>
    <w:rsid w:val="00575CB5"/>
    <w:rsid w:val="00576AC8"/>
    <w:rsid w:val="00577B28"/>
    <w:rsid w:val="0058000C"/>
    <w:rsid w:val="00580A1E"/>
    <w:rsid w:val="005810CB"/>
    <w:rsid w:val="00581D99"/>
    <w:rsid w:val="0058225E"/>
    <w:rsid w:val="00583909"/>
    <w:rsid w:val="00583C85"/>
    <w:rsid w:val="00584371"/>
    <w:rsid w:val="00584451"/>
    <w:rsid w:val="0058514E"/>
    <w:rsid w:val="00586B09"/>
    <w:rsid w:val="005875D1"/>
    <w:rsid w:val="00587625"/>
    <w:rsid w:val="0059047F"/>
    <w:rsid w:val="00590B2E"/>
    <w:rsid w:val="0059164D"/>
    <w:rsid w:val="00591723"/>
    <w:rsid w:val="00591FC3"/>
    <w:rsid w:val="005922D0"/>
    <w:rsid w:val="00592402"/>
    <w:rsid w:val="0059248D"/>
    <w:rsid w:val="00592D44"/>
    <w:rsid w:val="00594C5C"/>
    <w:rsid w:val="00594E79"/>
    <w:rsid w:val="00596F34"/>
    <w:rsid w:val="00597123"/>
    <w:rsid w:val="00597FF7"/>
    <w:rsid w:val="005A081A"/>
    <w:rsid w:val="005A5F22"/>
    <w:rsid w:val="005A6652"/>
    <w:rsid w:val="005A66F3"/>
    <w:rsid w:val="005B2003"/>
    <w:rsid w:val="005B2326"/>
    <w:rsid w:val="005B2459"/>
    <w:rsid w:val="005B24BB"/>
    <w:rsid w:val="005B2786"/>
    <w:rsid w:val="005B2ADD"/>
    <w:rsid w:val="005B55FD"/>
    <w:rsid w:val="005B6A18"/>
    <w:rsid w:val="005B7527"/>
    <w:rsid w:val="005B7E0F"/>
    <w:rsid w:val="005C1085"/>
    <w:rsid w:val="005C202E"/>
    <w:rsid w:val="005C3555"/>
    <w:rsid w:val="005C35A0"/>
    <w:rsid w:val="005C38DC"/>
    <w:rsid w:val="005C47B1"/>
    <w:rsid w:val="005C4E83"/>
    <w:rsid w:val="005C5BA4"/>
    <w:rsid w:val="005C5FBC"/>
    <w:rsid w:val="005C70BC"/>
    <w:rsid w:val="005C7467"/>
    <w:rsid w:val="005C7814"/>
    <w:rsid w:val="005C7871"/>
    <w:rsid w:val="005C7873"/>
    <w:rsid w:val="005D133E"/>
    <w:rsid w:val="005D1C3F"/>
    <w:rsid w:val="005D2C33"/>
    <w:rsid w:val="005D337F"/>
    <w:rsid w:val="005D3C80"/>
    <w:rsid w:val="005D3C93"/>
    <w:rsid w:val="005D48E0"/>
    <w:rsid w:val="005D5BC5"/>
    <w:rsid w:val="005D5F51"/>
    <w:rsid w:val="005D64A3"/>
    <w:rsid w:val="005D76AE"/>
    <w:rsid w:val="005E0474"/>
    <w:rsid w:val="005E063E"/>
    <w:rsid w:val="005E0B27"/>
    <w:rsid w:val="005E0E5A"/>
    <w:rsid w:val="005E1059"/>
    <w:rsid w:val="005E1EEC"/>
    <w:rsid w:val="005E2400"/>
    <w:rsid w:val="005E294B"/>
    <w:rsid w:val="005E3030"/>
    <w:rsid w:val="005E316A"/>
    <w:rsid w:val="005E332B"/>
    <w:rsid w:val="005E3A10"/>
    <w:rsid w:val="005E4490"/>
    <w:rsid w:val="005E6AC8"/>
    <w:rsid w:val="005E7A3F"/>
    <w:rsid w:val="005F0732"/>
    <w:rsid w:val="005F0F45"/>
    <w:rsid w:val="005F1D06"/>
    <w:rsid w:val="005F211B"/>
    <w:rsid w:val="005F4321"/>
    <w:rsid w:val="005F5AB2"/>
    <w:rsid w:val="005F6253"/>
    <w:rsid w:val="005F6B6E"/>
    <w:rsid w:val="005F6DB7"/>
    <w:rsid w:val="006003A9"/>
    <w:rsid w:val="00600541"/>
    <w:rsid w:val="006014BA"/>
    <w:rsid w:val="0060243A"/>
    <w:rsid w:val="00602A63"/>
    <w:rsid w:val="00604103"/>
    <w:rsid w:val="00604A3C"/>
    <w:rsid w:val="0060581B"/>
    <w:rsid w:val="006062AF"/>
    <w:rsid w:val="00606323"/>
    <w:rsid w:val="00606FC7"/>
    <w:rsid w:val="006072FC"/>
    <w:rsid w:val="00607EBB"/>
    <w:rsid w:val="00607EF4"/>
    <w:rsid w:val="00610544"/>
    <w:rsid w:val="006110F0"/>
    <w:rsid w:val="006124BC"/>
    <w:rsid w:val="00612BBC"/>
    <w:rsid w:val="00612C5C"/>
    <w:rsid w:val="00613562"/>
    <w:rsid w:val="006141D6"/>
    <w:rsid w:val="00614220"/>
    <w:rsid w:val="00614706"/>
    <w:rsid w:val="00614F61"/>
    <w:rsid w:val="0061770A"/>
    <w:rsid w:val="00617AAC"/>
    <w:rsid w:val="00620633"/>
    <w:rsid w:val="0062063D"/>
    <w:rsid w:val="00620B08"/>
    <w:rsid w:val="00620E14"/>
    <w:rsid w:val="0062195C"/>
    <w:rsid w:val="00621C43"/>
    <w:rsid w:val="0062224E"/>
    <w:rsid w:val="006224AD"/>
    <w:rsid w:val="0062278B"/>
    <w:rsid w:val="006229F8"/>
    <w:rsid w:val="0062389B"/>
    <w:rsid w:val="006243F0"/>
    <w:rsid w:val="0062571A"/>
    <w:rsid w:val="00625D7C"/>
    <w:rsid w:val="00626196"/>
    <w:rsid w:val="00627258"/>
    <w:rsid w:val="0063132B"/>
    <w:rsid w:val="00631EF0"/>
    <w:rsid w:val="00633384"/>
    <w:rsid w:val="00634F32"/>
    <w:rsid w:val="00634F6A"/>
    <w:rsid w:val="00635875"/>
    <w:rsid w:val="00635961"/>
    <w:rsid w:val="00635F8F"/>
    <w:rsid w:val="00636E99"/>
    <w:rsid w:val="006374A8"/>
    <w:rsid w:val="00637B81"/>
    <w:rsid w:val="00642066"/>
    <w:rsid w:val="00642122"/>
    <w:rsid w:val="00642C2C"/>
    <w:rsid w:val="00643BC3"/>
    <w:rsid w:val="0064476C"/>
    <w:rsid w:val="00644FA3"/>
    <w:rsid w:val="00645B2C"/>
    <w:rsid w:val="00646108"/>
    <w:rsid w:val="00646482"/>
    <w:rsid w:val="006473FF"/>
    <w:rsid w:val="00647EDB"/>
    <w:rsid w:val="00651427"/>
    <w:rsid w:val="00651772"/>
    <w:rsid w:val="00651D65"/>
    <w:rsid w:val="006520CB"/>
    <w:rsid w:val="0065280B"/>
    <w:rsid w:val="006532F0"/>
    <w:rsid w:val="00653A72"/>
    <w:rsid w:val="0065404B"/>
    <w:rsid w:val="00654EC1"/>
    <w:rsid w:val="00654FF5"/>
    <w:rsid w:val="006558CB"/>
    <w:rsid w:val="00655E26"/>
    <w:rsid w:val="006560C0"/>
    <w:rsid w:val="00656B7B"/>
    <w:rsid w:val="006572D8"/>
    <w:rsid w:val="0065744F"/>
    <w:rsid w:val="0065798C"/>
    <w:rsid w:val="00657CFA"/>
    <w:rsid w:val="00660725"/>
    <w:rsid w:val="00660B03"/>
    <w:rsid w:val="00660BFC"/>
    <w:rsid w:val="00660F56"/>
    <w:rsid w:val="00661329"/>
    <w:rsid w:val="00661423"/>
    <w:rsid w:val="006616E2"/>
    <w:rsid w:val="00661D04"/>
    <w:rsid w:val="00661EB3"/>
    <w:rsid w:val="00661F71"/>
    <w:rsid w:val="006621F4"/>
    <w:rsid w:val="00662837"/>
    <w:rsid w:val="006631EE"/>
    <w:rsid w:val="0066328E"/>
    <w:rsid w:val="00663C78"/>
    <w:rsid w:val="00664F2C"/>
    <w:rsid w:val="00665503"/>
    <w:rsid w:val="00665AD5"/>
    <w:rsid w:val="00665E87"/>
    <w:rsid w:val="00666796"/>
    <w:rsid w:val="00667344"/>
    <w:rsid w:val="00671024"/>
    <w:rsid w:val="00671224"/>
    <w:rsid w:val="0067169D"/>
    <w:rsid w:val="006730AA"/>
    <w:rsid w:val="0067337B"/>
    <w:rsid w:val="00673596"/>
    <w:rsid w:val="00673F47"/>
    <w:rsid w:val="0067417C"/>
    <w:rsid w:val="0067442D"/>
    <w:rsid w:val="00674560"/>
    <w:rsid w:val="0067489E"/>
    <w:rsid w:val="00674CA2"/>
    <w:rsid w:val="00675258"/>
    <w:rsid w:val="00675A0C"/>
    <w:rsid w:val="006764EF"/>
    <w:rsid w:val="00676C7B"/>
    <w:rsid w:val="00680723"/>
    <w:rsid w:val="00680A07"/>
    <w:rsid w:val="00681433"/>
    <w:rsid w:val="0068298E"/>
    <w:rsid w:val="006829CE"/>
    <w:rsid w:val="006830F1"/>
    <w:rsid w:val="00685334"/>
    <w:rsid w:val="00685B04"/>
    <w:rsid w:val="0068650A"/>
    <w:rsid w:val="0068686C"/>
    <w:rsid w:val="006869DC"/>
    <w:rsid w:val="00686E0C"/>
    <w:rsid w:val="00686FE2"/>
    <w:rsid w:val="00687879"/>
    <w:rsid w:val="006904CA"/>
    <w:rsid w:val="006908DA"/>
    <w:rsid w:val="00691983"/>
    <w:rsid w:val="00691CCF"/>
    <w:rsid w:val="00692D0F"/>
    <w:rsid w:val="00692E4B"/>
    <w:rsid w:val="006930C1"/>
    <w:rsid w:val="00693347"/>
    <w:rsid w:val="00697BEF"/>
    <w:rsid w:val="006A004B"/>
    <w:rsid w:val="006A0080"/>
    <w:rsid w:val="006A0216"/>
    <w:rsid w:val="006A0B30"/>
    <w:rsid w:val="006A19B6"/>
    <w:rsid w:val="006A23E9"/>
    <w:rsid w:val="006A2822"/>
    <w:rsid w:val="006A2BAD"/>
    <w:rsid w:val="006A3029"/>
    <w:rsid w:val="006A3F40"/>
    <w:rsid w:val="006A408A"/>
    <w:rsid w:val="006A42C6"/>
    <w:rsid w:val="006A449B"/>
    <w:rsid w:val="006A532F"/>
    <w:rsid w:val="006A6111"/>
    <w:rsid w:val="006A7BB9"/>
    <w:rsid w:val="006B01F8"/>
    <w:rsid w:val="006B028B"/>
    <w:rsid w:val="006B0F42"/>
    <w:rsid w:val="006B1367"/>
    <w:rsid w:val="006B1657"/>
    <w:rsid w:val="006B1CFF"/>
    <w:rsid w:val="006B1DF2"/>
    <w:rsid w:val="006B2EBB"/>
    <w:rsid w:val="006B3B5A"/>
    <w:rsid w:val="006B73B4"/>
    <w:rsid w:val="006B7B99"/>
    <w:rsid w:val="006C0165"/>
    <w:rsid w:val="006C0FE2"/>
    <w:rsid w:val="006C110C"/>
    <w:rsid w:val="006C123E"/>
    <w:rsid w:val="006C19AB"/>
    <w:rsid w:val="006C1D9F"/>
    <w:rsid w:val="006C2DFD"/>
    <w:rsid w:val="006C314D"/>
    <w:rsid w:val="006C33D9"/>
    <w:rsid w:val="006C3650"/>
    <w:rsid w:val="006C385B"/>
    <w:rsid w:val="006C3F81"/>
    <w:rsid w:val="006C52AA"/>
    <w:rsid w:val="006C53F7"/>
    <w:rsid w:val="006C561C"/>
    <w:rsid w:val="006C7159"/>
    <w:rsid w:val="006C73B3"/>
    <w:rsid w:val="006C7B9C"/>
    <w:rsid w:val="006C7EEC"/>
    <w:rsid w:val="006D0CD1"/>
    <w:rsid w:val="006D1EC5"/>
    <w:rsid w:val="006D24F8"/>
    <w:rsid w:val="006D28C7"/>
    <w:rsid w:val="006D32E9"/>
    <w:rsid w:val="006D4C74"/>
    <w:rsid w:val="006D4E00"/>
    <w:rsid w:val="006D662F"/>
    <w:rsid w:val="006D6B47"/>
    <w:rsid w:val="006D7838"/>
    <w:rsid w:val="006D7D4E"/>
    <w:rsid w:val="006D7DAD"/>
    <w:rsid w:val="006E0E00"/>
    <w:rsid w:val="006E0FDF"/>
    <w:rsid w:val="006E235E"/>
    <w:rsid w:val="006E2CE2"/>
    <w:rsid w:val="006E409D"/>
    <w:rsid w:val="006E41C0"/>
    <w:rsid w:val="006E44BA"/>
    <w:rsid w:val="006E50CA"/>
    <w:rsid w:val="006E5890"/>
    <w:rsid w:val="006E6B81"/>
    <w:rsid w:val="006E6EDC"/>
    <w:rsid w:val="006E7743"/>
    <w:rsid w:val="006F0B66"/>
    <w:rsid w:val="006F0DB2"/>
    <w:rsid w:val="006F2C2A"/>
    <w:rsid w:val="006F3966"/>
    <w:rsid w:val="006F3FAF"/>
    <w:rsid w:val="006F4621"/>
    <w:rsid w:val="006F4D94"/>
    <w:rsid w:val="006F5D4D"/>
    <w:rsid w:val="006F5DA7"/>
    <w:rsid w:val="006F6501"/>
    <w:rsid w:val="006F74FE"/>
    <w:rsid w:val="0070090D"/>
    <w:rsid w:val="00700A32"/>
    <w:rsid w:val="00701D04"/>
    <w:rsid w:val="0070253F"/>
    <w:rsid w:val="00704161"/>
    <w:rsid w:val="007045E3"/>
    <w:rsid w:val="00705912"/>
    <w:rsid w:val="00705BD9"/>
    <w:rsid w:val="00705D59"/>
    <w:rsid w:val="00705D6D"/>
    <w:rsid w:val="007066DB"/>
    <w:rsid w:val="00706C01"/>
    <w:rsid w:val="0070769D"/>
    <w:rsid w:val="00707840"/>
    <w:rsid w:val="007078DE"/>
    <w:rsid w:val="00707937"/>
    <w:rsid w:val="00710E63"/>
    <w:rsid w:val="0071217E"/>
    <w:rsid w:val="00712E65"/>
    <w:rsid w:val="00714AC7"/>
    <w:rsid w:val="00715163"/>
    <w:rsid w:val="00715630"/>
    <w:rsid w:val="00715976"/>
    <w:rsid w:val="00716A26"/>
    <w:rsid w:val="00716B21"/>
    <w:rsid w:val="00716C15"/>
    <w:rsid w:val="00720046"/>
    <w:rsid w:val="00720226"/>
    <w:rsid w:val="007215BD"/>
    <w:rsid w:val="00721B09"/>
    <w:rsid w:val="00723B7C"/>
    <w:rsid w:val="00723C2C"/>
    <w:rsid w:val="00723FA1"/>
    <w:rsid w:val="007249E5"/>
    <w:rsid w:val="00724C55"/>
    <w:rsid w:val="007256D3"/>
    <w:rsid w:val="00726BDC"/>
    <w:rsid w:val="00726DAE"/>
    <w:rsid w:val="00730778"/>
    <w:rsid w:val="00730FD9"/>
    <w:rsid w:val="007343F6"/>
    <w:rsid w:val="00735A78"/>
    <w:rsid w:val="00735BAD"/>
    <w:rsid w:val="00736032"/>
    <w:rsid w:val="00736299"/>
    <w:rsid w:val="00736521"/>
    <w:rsid w:val="00736A98"/>
    <w:rsid w:val="007372E0"/>
    <w:rsid w:val="00737CF6"/>
    <w:rsid w:val="00737E96"/>
    <w:rsid w:val="0074041B"/>
    <w:rsid w:val="007404D9"/>
    <w:rsid w:val="00740685"/>
    <w:rsid w:val="00741047"/>
    <w:rsid w:val="00741FD1"/>
    <w:rsid w:val="00742290"/>
    <w:rsid w:val="00742955"/>
    <w:rsid w:val="00742A43"/>
    <w:rsid w:val="00743A47"/>
    <w:rsid w:val="00744774"/>
    <w:rsid w:val="00744AFF"/>
    <w:rsid w:val="00745783"/>
    <w:rsid w:val="00747249"/>
    <w:rsid w:val="00747A11"/>
    <w:rsid w:val="00747E04"/>
    <w:rsid w:val="0075042A"/>
    <w:rsid w:val="00750F6B"/>
    <w:rsid w:val="00750F8F"/>
    <w:rsid w:val="0075147E"/>
    <w:rsid w:val="007518A1"/>
    <w:rsid w:val="00752101"/>
    <w:rsid w:val="00752A9B"/>
    <w:rsid w:val="00753E2D"/>
    <w:rsid w:val="007541E5"/>
    <w:rsid w:val="00754393"/>
    <w:rsid w:val="007545DB"/>
    <w:rsid w:val="007546FC"/>
    <w:rsid w:val="0075605C"/>
    <w:rsid w:val="007568C9"/>
    <w:rsid w:val="00756FAE"/>
    <w:rsid w:val="00757010"/>
    <w:rsid w:val="00757275"/>
    <w:rsid w:val="00760B50"/>
    <w:rsid w:val="00760EB3"/>
    <w:rsid w:val="00761518"/>
    <w:rsid w:val="00761DD8"/>
    <w:rsid w:val="0076254C"/>
    <w:rsid w:val="00762C4F"/>
    <w:rsid w:val="00762F82"/>
    <w:rsid w:val="00764090"/>
    <w:rsid w:val="007640E6"/>
    <w:rsid w:val="00764EDE"/>
    <w:rsid w:val="00765341"/>
    <w:rsid w:val="00765425"/>
    <w:rsid w:val="00765820"/>
    <w:rsid w:val="0076666D"/>
    <w:rsid w:val="0076742B"/>
    <w:rsid w:val="0077126F"/>
    <w:rsid w:val="00772B09"/>
    <w:rsid w:val="00772DAC"/>
    <w:rsid w:val="00773196"/>
    <w:rsid w:val="00773359"/>
    <w:rsid w:val="00773573"/>
    <w:rsid w:val="00773583"/>
    <w:rsid w:val="00773FD4"/>
    <w:rsid w:val="00774223"/>
    <w:rsid w:val="00774403"/>
    <w:rsid w:val="00774B6A"/>
    <w:rsid w:val="0077664F"/>
    <w:rsid w:val="00776EE9"/>
    <w:rsid w:val="00777084"/>
    <w:rsid w:val="007772A1"/>
    <w:rsid w:val="00780E9A"/>
    <w:rsid w:val="00781C76"/>
    <w:rsid w:val="00781F2F"/>
    <w:rsid w:val="007822D5"/>
    <w:rsid w:val="00782352"/>
    <w:rsid w:val="00782841"/>
    <w:rsid w:val="007832BF"/>
    <w:rsid w:val="0078385E"/>
    <w:rsid w:val="00783BA5"/>
    <w:rsid w:val="007845B3"/>
    <w:rsid w:val="0078470D"/>
    <w:rsid w:val="00787330"/>
    <w:rsid w:val="0079099C"/>
    <w:rsid w:val="007909A5"/>
    <w:rsid w:val="00790A8E"/>
    <w:rsid w:val="007910C4"/>
    <w:rsid w:val="00791151"/>
    <w:rsid w:val="00791F66"/>
    <w:rsid w:val="0079201D"/>
    <w:rsid w:val="007934B3"/>
    <w:rsid w:val="007935BB"/>
    <w:rsid w:val="00795B7B"/>
    <w:rsid w:val="00795EB0"/>
    <w:rsid w:val="00796941"/>
    <w:rsid w:val="007A0E34"/>
    <w:rsid w:val="007A15B5"/>
    <w:rsid w:val="007A1A03"/>
    <w:rsid w:val="007A348F"/>
    <w:rsid w:val="007A3502"/>
    <w:rsid w:val="007A35D4"/>
    <w:rsid w:val="007A3D45"/>
    <w:rsid w:val="007A4D3B"/>
    <w:rsid w:val="007A4E72"/>
    <w:rsid w:val="007A5574"/>
    <w:rsid w:val="007A5A31"/>
    <w:rsid w:val="007A5AC0"/>
    <w:rsid w:val="007A5AE4"/>
    <w:rsid w:val="007A5CA4"/>
    <w:rsid w:val="007B1A98"/>
    <w:rsid w:val="007B2B2B"/>
    <w:rsid w:val="007B3957"/>
    <w:rsid w:val="007B4582"/>
    <w:rsid w:val="007B475F"/>
    <w:rsid w:val="007B5D58"/>
    <w:rsid w:val="007B5F3B"/>
    <w:rsid w:val="007B5F9D"/>
    <w:rsid w:val="007B60E0"/>
    <w:rsid w:val="007B615E"/>
    <w:rsid w:val="007B6D1C"/>
    <w:rsid w:val="007B7A9F"/>
    <w:rsid w:val="007C0450"/>
    <w:rsid w:val="007C1424"/>
    <w:rsid w:val="007C1F0E"/>
    <w:rsid w:val="007C20AE"/>
    <w:rsid w:val="007C29D0"/>
    <w:rsid w:val="007C3142"/>
    <w:rsid w:val="007C432A"/>
    <w:rsid w:val="007C483D"/>
    <w:rsid w:val="007C538F"/>
    <w:rsid w:val="007C57AC"/>
    <w:rsid w:val="007C5BB4"/>
    <w:rsid w:val="007C5E65"/>
    <w:rsid w:val="007C6DA1"/>
    <w:rsid w:val="007C791C"/>
    <w:rsid w:val="007C7EB2"/>
    <w:rsid w:val="007D0084"/>
    <w:rsid w:val="007D0433"/>
    <w:rsid w:val="007D1728"/>
    <w:rsid w:val="007D1997"/>
    <w:rsid w:val="007D1B6D"/>
    <w:rsid w:val="007D22E5"/>
    <w:rsid w:val="007D251D"/>
    <w:rsid w:val="007D2854"/>
    <w:rsid w:val="007D3208"/>
    <w:rsid w:val="007D34A6"/>
    <w:rsid w:val="007D3541"/>
    <w:rsid w:val="007D35AC"/>
    <w:rsid w:val="007D3CDF"/>
    <w:rsid w:val="007D3E42"/>
    <w:rsid w:val="007D3FC6"/>
    <w:rsid w:val="007D46FA"/>
    <w:rsid w:val="007D48CD"/>
    <w:rsid w:val="007D4A7A"/>
    <w:rsid w:val="007D545C"/>
    <w:rsid w:val="007D5CBD"/>
    <w:rsid w:val="007D5D9A"/>
    <w:rsid w:val="007D5FF6"/>
    <w:rsid w:val="007D66B2"/>
    <w:rsid w:val="007D7044"/>
    <w:rsid w:val="007D798A"/>
    <w:rsid w:val="007E125A"/>
    <w:rsid w:val="007E1333"/>
    <w:rsid w:val="007E49F0"/>
    <w:rsid w:val="007E4DFC"/>
    <w:rsid w:val="007E53BE"/>
    <w:rsid w:val="007E69DD"/>
    <w:rsid w:val="007E6D45"/>
    <w:rsid w:val="007E70A9"/>
    <w:rsid w:val="007E7D24"/>
    <w:rsid w:val="007F0AB8"/>
    <w:rsid w:val="007F126F"/>
    <w:rsid w:val="007F1AB9"/>
    <w:rsid w:val="007F302F"/>
    <w:rsid w:val="007F34DB"/>
    <w:rsid w:val="007F4080"/>
    <w:rsid w:val="007F5803"/>
    <w:rsid w:val="007F69C6"/>
    <w:rsid w:val="007F74A7"/>
    <w:rsid w:val="007F7720"/>
    <w:rsid w:val="008001B5"/>
    <w:rsid w:val="00800262"/>
    <w:rsid w:val="008003DA"/>
    <w:rsid w:val="00800594"/>
    <w:rsid w:val="00801F63"/>
    <w:rsid w:val="00803166"/>
    <w:rsid w:val="008036A3"/>
    <w:rsid w:val="008037B5"/>
    <w:rsid w:val="0080410F"/>
    <w:rsid w:val="00804729"/>
    <w:rsid w:val="0080481B"/>
    <w:rsid w:val="008048B4"/>
    <w:rsid w:val="00805076"/>
    <w:rsid w:val="008050E2"/>
    <w:rsid w:val="008054D4"/>
    <w:rsid w:val="00805C7D"/>
    <w:rsid w:val="00807023"/>
    <w:rsid w:val="00807171"/>
    <w:rsid w:val="00807258"/>
    <w:rsid w:val="0080750C"/>
    <w:rsid w:val="00807543"/>
    <w:rsid w:val="00807B76"/>
    <w:rsid w:val="00813001"/>
    <w:rsid w:val="00813913"/>
    <w:rsid w:val="00815077"/>
    <w:rsid w:val="00815F31"/>
    <w:rsid w:val="0082214E"/>
    <w:rsid w:val="0082301C"/>
    <w:rsid w:val="008231C9"/>
    <w:rsid w:val="00823827"/>
    <w:rsid w:val="008243E7"/>
    <w:rsid w:val="0082468D"/>
    <w:rsid w:val="0082475F"/>
    <w:rsid w:val="00824B6D"/>
    <w:rsid w:val="00824CC7"/>
    <w:rsid w:val="00824FCF"/>
    <w:rsid w:val="008262AF"/>
    <w:rsid w:val="00827139"/>
    <w:rsid w:val="00827DAA"/>
    <w:rsid w:val="00830231"/>
    <w:rsid w:val="00830275"/>
    <w:rsid w:val="008302FD"/>
    <w:rsid w:val="008309D7"/>
    <w:rsid w:val="0083194A"/>
    <w:rsid w:val="00832663"/>
    <w:rsid w:val="00832767"/>
    <w:rsid w:val="00832BB6"/>
    <w:rsid w:val="00832D25"/>
    <w:rsid w:val="00833022"/>
    <w:rsid w:val="00833095"/>
    <w:rsid w:val="00833330"/>
    <w:rsid w:val="00833350"/>
    <w:rsid w:val="00833458"/>
    <w:rsid w:val="00834053"/>
    <w:rsid w:val="008344E9"/>
    <w:rsid w:val="00834590"/>
    <w:rsid w:val="00835697"/>
    <w:rsid w:val="008364FA"/>
    <w:rsid w:val="00836556"/>
    <w:rsid w:val="00836AB4"/>
    <w:rsid w:val="00837071"/>
    <w:rsid w:val="008402E6"/>
    <w:rsid w:val="008419CB"/>
    <w:rsid w:val="0084203B"/>
    <w:rsid w:val="00842550"/>
    <w:rsid w:val="00843292"/>
    <w:rsid w:val="008445B1"/>
    <w:rsid w:val="0084493C"/>
    <w:rsid w:val="0084575C"/>
    <w:rsid w:val="008464D0"/>
    <w:rsid w:val="008473B0"/>
    <w:rsid w:val="00847D72"/>
    <w:rsid w:val="00850590"/>
    <w:rsid w:val="00850AC2"/>
    <w:rsid w:val="0085195E"/>
    <w:rsid w:val="00852768"/>
    <w:rsid w:val="00852A7C"/>
    <w:rsid w:val="00852D2F"/>
    <w:rsid w:val="0085373E"/>
    <w:rsid w:val="00854CF9"/>
    <w:rsid w:val="00854F6E"/>
    <w:rsid w:val="00854FE3"/>
    <w:rsid w:val="0085564B"/>
    <w:rsid w:val="00855732"/>
    <w:rsid w:val="00856825"/>
    <w:rsid w:val="00856A61"/>
    <w:rsid w:val="00857A97"/>
    <w:rsid w:val="0086016C"/>
    <w:rsid w:val="00860295"/>
    <w:rsid w:val="008612BA"/>
    <w:rsid w:val="00861559"/>
    <w:rsid w:val="00861827"/>
    <w:rsid w:val="008629B5"/>
    <w:rsid w:val="00862BE3"/>
    <w:rsid w:val="00863923"/>
    <w:rsid w:val="00863B45"/>
    <w:rsid w:val="00863EDB"/>
    <w:rsid w:val="00864701"/>
    <w:rsid w:val="00864B18"/>
    <w:rsid w:val="00865629"/>
    <w:rsid w:val="008668F9"/>
    <w:rsid w:val="008674F4"/>
    <w:rsid w:val="00869086"/>
    <w:rsid w:val="008700BB"/>
    <w:rsid w:val="00871E87"/>
    <w:rsid w:val="00872067"/>
    <w:rsid w:val="00873223"/>
    <w:rsid w:val="008736E9"/>
    <w:rsid w:val="00874CEC"/>
    <w:rsid w:val="00875CEB"/>
    <w:rsid w:val="00880FBD"/>
    <w:rsid w:val="00881E1B"/>
    <w:rsid w:val="00881F9C"/>
    <w:rsid w:val="00883B72"/>
    <w:rsid w:val="0088466C"/>
    <w:rsid w:val="00884E56"/>
    <w:rsid w:val="00884F15"/>
    <w:rsid w:val="00885B6B"/>
    <w:rsid w:val="00885C07"/>
    <w:rsid w:val="00885FF0"/>
    <w:rsid w:val="00886499"/>
    <w:rsid w:val="0088784E"/>
    <w:rsid w:val="008907BE"/>
    <w:rsid w:val="0089162A"/>
    <w:rsid w:val="00891B97"/>
    <w:rsid w:val="008925C5"/>
    <w:rsid w:val="00892E47"/>
    <w:rsid w:val="0089330E"/>
    <w:rsid w:val="008940F3"/>
    <w:rsid w:val="008943B7"/>
    <w:rsid w:val="00894B15"/>
    <w:rsid w:val="00894D1B"/>
    <w:rsid w:val="008951A6"/>
    <w:rsid w:val="008955EB"/>
    <w:rsid w:val="00895AE2"/>
    <w:rsid w:val="00896A51"/>
    <w:rsid w:val="00896F6D"/>
    <w:rsid w:val="00897513"/>
    <w:rsid w:val="00897C9A"/>
    <w:rsid w:val="00897F3C"/>
    <w:rsid w:val="008A07FC"/>
    <w:rsid w:val="008A0FF7"/>
    <w:rsid w:val="008A195B"/>
    <w:rsid w:val="008A19E6"/>
    <w:rsid w:val="008A1A7B"/>
    <w:rsid w:val="008A5530"/>
    <w:rsid w:val="008A6304"/>
    <w:rsid w:val="008A674A"/>
    <w:rsid w:val="008B08D9"/>
    <w:rsid w:val="008B12FF"/>
    <w:rsid w:val="008B1574"/>
    <w:rsid w:val="008B1B38"/>
    <w:rsid w:val="008B22DA"/>
    <w:rsid w:val="008B2651"/>
    <w:rsid w:val="008B2B92"/>
    <w:rsid w:val="008B465D"/>
    <w:rsid w:val="008B50E2"/>
    <w:rsid w:val="008B520B"/>
    <w:rsid w:val="008B52A9"/>
    <w:rsid w:val="008B5338"/>
    <w:rsid w:val="008B6466"/>
    <w:rsid w:val="008B67B3"/>
    <w:rsid w:val="008B7457"/>
    <w:rsid w:val="008B7581"/>
    <w:rsid w:val="008B7672"/>
    <w:rsid w:val="008B7BBB"/>
    <w:rsid w:val="008C0644"/>
    <w:rsid w:val="008C121A"/>
    <w:rsid w:val="008C268F"/>
    <w:rsid w:val="008C4CC7"/>
    <w:rsid w:val="008C4D15"/>
    <w:rsid w:val="008C5E97"/>
    <w:rsid w:val="008C654F"/>
    <w:rsid w:val="008C79C3"/>
    <w:rsid w:val="008D0CBA"/>
    <w:rsid w:val="008D166D"/>
    <w:rsid w:val="008D1A20"/>
    <w:rsid w:val="008D269A"/>
    <w:rsid w:val="008D28A4"/>
    <w:rsid w:val="008D340D"/>
    <w:rsid w:val="008D3B1D"/>
    <w:rsid w:val="008D3FED"/>
    <w:rsid w:val="008D456A"/>
    <w:rsid w:val="008D56B6"/>
    <w:rsid w:val="008D60C6"/>
    <w:rsid w:val="008D63F1"/>
    <w:rsid w:val="008D6A86"/>
    <w:rsid w:val="008D715A"/>
    <w:rsid w:val="008D7382"/>
    <w:rsid w:val="008D781A"/>
    <w:rsid w:val="008E0E1B"/>
    <w:rsid w:val="008E1960"/>
    <w:rsid w:val="008E1B1D"/>
    <w:rsid w:val="008E1BB8"/>
    <w:rsid w:val="008E1F8F"/>
    <w:rsid w:val="008E2BCE"/>
    <w:rsid w:val="008E40AC"/>
    <w:rsid w:val="008E428F"/>
    <w:rsid w:val="008E4F6A"/>
    <w:rsid w:val="008E65E7"/>
    <w:rsid w:val="008E69C2"/>
    <w:rsid w:val="008E70A1"/>
    <w:rsid w:val="008E77AB"/>
    <w:rsid w:val="008F016D"/>
    <w:rsid w:val="008F09A7"/>
    <w:rsid w:val="008F2371"/>
    <w:rsid w:val="008F26F9"/>
    <w:rsid w:val="008F286A"/>
    <w:rsid w:val="008F2DA6"/>
    <w:rsid w:val="008F3373"/>
    <w:rsid w:val="008F4A80"/>
    <w:rsid w:val="008F4BF0"/>
    <w:rsid w:val="008F5275"/>
    <w:rsid w:val="008F66E2"/>
    <w:rsid w:val="008F7A3E"/>
    <w:rsid w:val="009015A0"/>
    <w:rsid w:val="0090180A"/>
    <w:rsid w:val="00901C06"/>
    <w:rsid w:val="00903E7C"/>
    <w:rsid w:val="009044EF"/>
    <w:rsid w:val="009060A0"/>
    <w:rsid w:val="00906520"/>
    <w:rsid w:val="009071EF"/>
    <w:rsid w:val="00907464"/>
    <w:rsid w:val="009109C1"/>
    <w:rsid w:val="00910DB2"/>
    <w:rsid w:val="00911B87"/>
    <w:rsid w:val="009121A1"/>
    <w:rsid w:val="009127AF"/>
    <w:rsid w:val="009138A8"/>
    <w:rsid w:val="009142CA"/>
    <w:rsid w:val="00914DBD"/>
    <w:rsid w:val="00915228"/>
    <w:rsid w:val="00915E8D"/>
    <w:rsid w:val="009162A6"/>
    <w:rsid w:val="009167CB"/>
    <w:rsid w:val="00916F1B"/>
    <w:rsid w:val="00917685"/>
    <w:rsid w:val="00920896"/>
    <w:rsid w:val="00920DFA"/>
    <w:rsid w:val="00921462"/>
    <w:rsid w:val="009221BD"/>
    <w:rsid w:val="009224A3"/>
    <w:rsid w:val="00922BD9"/>
    <w:rsid w:val="00922FEE"/>
    <w:rsid w:val="009241A7"/>
    <w:rsid w:val="00924776"/>
    <w:rsid w:val="009247AC"/>
    <w:rsid w:val="0092601C"/>
    <w:rsid w:val="00926539"/>
    <w:rsid w:val="00926E5A"/>
    <w:rsid w:val="00930EFF"/>
    <w:rsid w:val="00930F2C"/>
    <w:rsid w:val="009316C4"/>
    <w:rsid w:val="0093192E"/>
    <w:rsid w:val="00931CED"/>
    <w:rsid w:val="0093297C"/>
    <w:rsid w:val="00932EF9"/>
    <w:rsid w:val="00935891"/>
    <w:rsid w:val="00935B71"/>
    <w:rsid w:val="00935D5C"/>
    <w:rsid w:val="00935DFF"/>
    <w:rsid w:val="00936979"/>
    <w:rsid w:val="00940416"/>
    <w:rsid w:val="0094066C"/>
    <w:rsid w:val="00941555"/>
    <w:rsid w:val="0094167C"/>
    <w:rsid w:val="00941EAB"/>
    <w:rsid w:val="00945278"/>
    <w:rsid w:val="00946574"/>
    <w:rsid w:val="00946AED"/>
    <w:rsid w:val="00946F1D"/>
    <w:rsid w:val="0094714A"/>
    <w:rsid w:val="00947439"/>
    <w:rsid w:val="009507E3"/>
    <w:rsid w:val="00950B10"/>
    <w:rsid w:val="00951954"/>
    <w:rsid w:val="00951AEC"/>
    <w:rsid w:val="00953D4F"/>
    <w:rsid w:val="00953E12"/>
    <w:rsid w:val="00953F38"/>
    <w:rsid w:val="00953FA6"/>
    <w:rsid w:val="00954448"/>
    <w:rsid w:val="009555E0"/>
    <w:rsid w:val="009555E6"/>
    <w:rsid w:val="009557D8"/>
    <w:rsid w:val="0095692F"/>
    <w:rsid w:val="0095727A"/>
    <w:rsid w:val="009573F4"/>
    <w:rsid w:val="0095766D"/>
    <w:rsid w:val="00961B79"/>
    <w:rsid w:val="00962A37"/>
    <w:rsid w:val="00963AF9"/>
    <w:rsid w:val="00964D15"/>
    <w:rsid w:val="00965AA6"/>
    <w:rsid w:val="00971559"/>
    <w:rsid w:val="00971847"/>
    <w:rsid w:val="00971980"/>
    <w:rsid w:val="0097290B"/>
    <w:rsid w:val="00973436"/>
    <w:rsid w:val="00973EB9"/>
    <w:rsid w:val="00974A67"/>
    <w:rsid w:val="00974CB8"/>
    <w:rsid w:val="00975034"/>
    <w:rsid w:val="00975629"/>
    <w:rsid w:val="0097702C"/>
    <w:rsid w:val="0097773C"/>
    <w:rsid w:val="009801A4"/>
    <w:rsid w:val="00980909"/>
    <w:rsid w:val="0098152B"/>
    <w:rsid w:val="00981AC7"/>
    <w:rsid w:val="00981B53"/>
    <w:rsid w:val="00981F9A"/>
    <w:rsid w:val="0098304D"/>
    <w:rsid w:val="009835F5"/>
    <w:rsid w:val="00984390"/>
    <w:rsid w:val="0098469B"/>
    <w:rsid w:val="00984A93"/>
    <w:rsid w:val="00984F6D"/>
    <w:rsid w:val="009852CC"/>
    <w:rsid w:val="009860A2"/>
    <w:rsid w:val="009862BA"/>
    <w:rsid w:val="00990432"/>
    <w:rsid w:val="00992328"/>
    <w:rsid w:val="009926DF"/>
    <w:rsid w:val="00993351"/>
    <w:rsid w:val="0099403C"/>
    <w:rsid w:val="009946C5"/>
    <w:rsid w:val="009949C6"/>
    <w:rsid w:val="009958A5"/>
    <w:rsid w:val="00996C4B"/>
    <w:rsid w:val="009971A2"/>
    <w:rsid w:val="009973A9"/>
    <w:rsid w:val="009975C1"/>
    <w:rsid w:val="00997685"/>
    <w:rsid w:val="00997CD7"/>
    <w:rsid w:val="009A021D"/>
    <w:rsid w:val="009A120C"/>
    <w:rsid w:val="009A16B6"/>
    <w:rsid w:val="009A21D2"/>
    <w:rsid w:val="009A275A"/>
    <w:rsid w:val="009A27D7"/>
    <w:rsid w:val="009A32E6"/>
    <w:rsid w:val="009A5196"/>
    <w:rsid w:val="009A51B7"/>
    <w:rsid w:val="009A60ED"/>
    <w:rsid w:val="009A61BC"/>
    <w:rsid w:val="009A675E"/>
    <w:rsid w:val="009A6DDA"/>
    <w:rsid w:val="009A7932"/>
    <w:rsid w:val="009A7A1C"/>
    <w:rsid w:val="009A7BFA"/>
    <w:rsid w:val="009A7C03"/>
    <w:rsid w:val="009A7CB6"/>
    <w:rsid w:val="009B0640"/>
    <w:rsid w:val="009B10EE"/>
    <w:rsid w:val="009B113E"/>
    <w:rsid w:val="009B1224"/>
    <w:rsid w:val="009B14D7"/>
    <w:rsid w:val="009B2117"/>
    <w:rsid w:val="009B2B71"/>
    <w:rsid w:val="009B2D58"/>
    <w:rsid w:val="009B309F"/>
    <w:rsid w:val="009B3FC1"/>
    <w:rsid w:val="009B4220"/>
    <w:rsid w:val="009B42E5"/>
    <w:rsid w:val="009B57CF"/>
    <w:rsid w:val="009B6950"/>
    <w:rsid w:val="009B6C0C"/>
    <w:rsid w:val="009C04CB"/>
    <w:rsid w:val="009C0E8D"/>
    <w:rsid w:val="009C1746"/>
    <w:rsid w:val="009C1869"/>
    <w:rsid w:val="009C21EE"/>
    <w:rsid w:val="009C3B80"/>
    <w:rsid w:val="009C3CAF"/>
    <w:rsid w:val="009C40AB"/>
    <w:rsid w:val="009C4344"/>
    <w:rsid w:val="009C474F"/>
    <w:rsid w:val="009C4ABE"/>
    <w:rsid w:val="009C5A35"/>
    <w:rsid w:val="009C5DEA"/>
    <w:rsid w:val="009C701E"/>
    <w:rsid w:val="009C7718"/>
    <w:rsid w:val="009C7989"/>
    <w:rsid w:val="009D0023"/>
    <w:rsid w:val="009D045A"/>
    <w:rsid w:val="009D17D0"/>
    <w:rsid w:val="009D2897"/>
    <w:rsid w:val="009D45C2"/>
    <w:rsid w:val="009D5B37"/>
    <w:rsid w:val="009D5F76"/>
    <w:rsid w:val="009D645A"/>
    <w:rsid w:val="009D6813"/>
    <w:rsid w:val="009D6D45"/>
    <w:rsid w:val="009D7792"/>
    <w:rsid w:val="009D7D11"/>
    <w:rsid w:val="009E0258"/>
    <w:rsid w:val="009E0E8B"/>
    <w:rsid w:val="009E13E4"/>
    <w:rsid w:val="009E1696"/>
    <w:rsid w:val="009E2BF1"/>
    <w:rsid w:val="009E346C"/>
    <w:rsid w:val="009E3500"/>
    <w:rsid w:val="009E380D"/>
    <w:rsid w:val="009E5668"/>
    <w:rsid w:val="009E5FC4"/>
    <w:rsid w:val="009E60F9"/>
    <w:rsid w:val="009E65E0"/>
    <w:rsid w:val="009E7010"/>
    <w:rsid w:val="009E71B4"/>
    <w:rsid w:val="009F0DD4"/>
    <w:rsid w:val="009F1A0A"/>
    <w:rsid w:val="009F1A81"/>
    <w:rsid w:val="009F24FB"/>
    <w:rsid w:val="009F2517"/>
    <w:rsid w:val="009F30DF"/>
    <w:rsid w:val="009F33D4"/>
    <w:rsid w:val="009F33F8"/>
    <w:rsid w:val="009F34B6"/>
    <w:rsid w:val="009F3BDA"/>
    <w:rsid w:val="009F4597"/>
    <w:rsid w:val="009F576E"/>
    <w:rsid w:val="009F5A4F"/>
    <w:rsid w:val="009F5F89"/>
    <w:rsid w:val="009F64A6"/>
    <w:rsid w:val="009F69D5"/>
    <w:rsid w:val="009F747A"/>
    <w:rsid w:val="00A00D8A"/>
    <w:rsid w:val="00A02B61"/>
    <w:rsid w:val="00A062A4"/>
    <w:rsid w:val="00A065D5"/>
    <w:rsid w:val="00A06B09"/>
    <w:rsid w:val="00A06D93"/>
    <w:rsid w:val="00A07012"/>
    <w:rsid w:val="00A073FA"/>
    <w:rsid w:val="00A07A4E"/>
    <w:rsid w:val="00A07ADC"/>
    <w:rsid w:val="00A11C31"/>
    <w:rsid w:val="00A139B7"/>
    <w:rsid w:val="00A1427E"/>
    <w:rsid w:val="00A142F6"/>
    <w:rsid w:val="00A14306"/>
    <w:rsid w:val="00A15659"/>
    <w:rsid w:val="00A15F0F"/>
    <w:rsid w:val="00A1658E"/>
    <w:rsid w:val="00A17994"/>
    <w:rsid w:val="00A179E6"/>
    <w:rsid w:val="00A17B18"/>
    <w:rsid w:val="00A200B2"/>
    <w:rsid w:val="00A206ED"/>
    <w:rsid w:val="00A2106D"/>
    <w:rsid w:val="00A22908"/>
    <w:rsid w:val="00A22F8B"/>
    <w:rsid w:val="00A23640"/>
    <w:rsid w:val="00A236BD"/>
    <w:rsid w:val="00A24687"/>
    <w:rsid w:val="00A25864"/>
    <w:rsid w:val="00A264CE"/>
    <w:rsid w:val="00A27964"/>
    <w:rsid w:val="00A27A18"/>
    <w:rsid w:val="00A27AD4"/>
    <w:rsid w:val="00A30771"/>
    <w:rsid w:val="00A308C6"/>
    <w:rsid w:val="00A30B47"/>
    <w:rsid w:val="00A31132"/>
    <w:rsid w:val="00A3186D"/>
    <w:rsid w:val="00A31F05"/>
    <w:rsid w:val="00A32687"/>
    <w:rsid w:val="00A328BB"/>
    <w:rsid w:val="00A33528"/>
    <w:rsid w:val="00A33BD9"/>
    <w:rsid w:val="00A33CB8"/>
    <w:rsid w:val="00A33DC7"/>
    <w:rsid w:val="00A3464E"/>
    <w:rsid w:val="00A357F5"/>
    <w:rsid w:val="00A35B8C"/>
    <w:rsid w:val="00A35D8D"/>
    <w:rsid w:val="00A364AC"/>
    <w:rsid w:val="00A3656B"/>
    <w:rsid w:val="00A373EF"/>
    <w:rsid w:val="00A37E6D"/>
    <w:rsid w:val="00A37EA7"/>
    <w:rsid w:val="00A4002A"/>
    <w:rsid w:val="00A418F3"/>
    <w:rsid w:val="00A42700"/>
    <w:rsid w:val="00A456AA"/>
    <w:rsid w:val="00A46940"/>
    <w:rsid w:val="00A47A20"/>
    <w:rsid w:val="00A47E6B"/>
    <w:rsid w:val="00A50881"/>
    <w:rsid w:val="00A5255F"/>
    <w:rsid w:val="00A52725"/>
    <w:rsid w:val="00A5304C"/>
    <w:rsid w:val="00A53D0F"/>
    <w:rsid w:val="00A54341"/>
    <w:rsid w:val="00A54512"/>
    <w:rsid w:val="00A5476C"/>
    <w:rsid w:val="00A5484B"/>
    <w:rsid w:val="00A57878"/>
    <w:rsid w:val="00A57C72"/>
    <w:rsid w:val="00A57DB8"/>
    <w:rsid w:val="00A60AFD"/>
    <w:rsid w:val="00A61262"/>
    <w:rsid w:val="00A61405"/>
    <w:rsid w:val="00A61520"/>
    <w:rsid w:val="00A62108"/>
    <w:rsid w:val="00A6273B"/>
    <w:rsid w:val="00A62F6A"/>
    <w:rsid w:val="00A643F0"/>
    <w:rsid w:val="00A644D9"/>
    <w:rsid w:val="00A644E2"/>
    <w:rsid w:val="00A644E5"/>
    <w:rsid w:val="00A64909"/>
    <w:rsid w:val="00A64FA2"/>
    <w:rsid w:val="00A65226"/>
    <w:rsid w:val="00A66E15"/>
    <w:rsid w:val="00A66E90"/>
    <w:rsid w:val="00A66F16"/>
    <w:rsid w:val="00A66F9B"/>
    <w:rsid w:val="00A67900"/>
    <w:rsid w:val="00A67D4E"/>
    <w:rsid w:val="00A67D9E"/>
    <w:rsid w:val="00A7089D"/>
    <w:rsid w:val="00A71F75"/>
    <w:rsid w:val="00A71F7D"/>
    <w:rsid w:val="00A7416A"/>
    <w:rsid w:val="00A74913"/>
    <w:rsid w:val="00A74AD9"/>
    <w:rsid w:val="00A759E2"/>
    <w:rsid w:val="00A76379"/>
    <w:rsid w:val="00A764D6"/>
    <w:rsid w:val="00A765AD"/>
    <w:rsid w:val="00A76704"/>
    <w:rsid w:val="00A767C2"/>
    <w:rsid w:val="00A76F5D"/>
    <w:rsid w:val="00A7701F"/>
    <w:rsid w:val="00A77179"/>
    <w:rsid w:val="00A8133D"/>
    <w:rsid w:val="00A81557"/>
    <w:rsid w:val="00A82B09"/>
    <w:rsid w:val="00A8310C"/>
    <w:rsid w:val="00A83BA8"/>
    <w:rsid w:val="00A84B7C"/>
    <w:rsid w:val="00A850BA"/>
    <w:rsid w:val="00A8696F"/>
    <w:rsid w:val="00A87042"/>
    <w:rsid w:val="00A87B26"/>
    <w:rsid w:val="00A90795"/>
    <w:rsid w:val="00A90A9A"/>
    <w:rsid w:val="00A91583"/>
    <w:rsid w:val="00A9252E"/>
    <w:rsid w:val="00A92BCB"/>
    <w:rsid w:val="00A9353E"/>
    <w:rsid w:val="00A937B4"/>
    <w:rsid w:val="00A93C27"/>
    <w:rsid w:val="00A95662"/>
    <w:rsid w:val="00A95718"/>
    <w:rsid w:val="00A95C53"/>
    <w:rsid w:val="00A95F98"/>
    <w:rsid w:val="00A970C8"/>
    <w:rsid w:val="00A974B6"/>
    <w:rsid w:val="00A9757D"/>
    <w:rsid w:val="00A97764"/>
    <w:rsid w:val="00AA078A"/>
    <w:rsid w:val="00AA12A2"/>
    <w:rsid w:val="00AA12EA"/>
    <w:rsid w:val="00AA19BB"/>
    <w:rsid w:val="00AA22A4"/>
    <w:rsid w:val="00AA24D6"/>
    <w:rsid w:val="00AA26AA"/>
    <w:rsid w:val="00AA2A6E"/>
    <w:rsid w:val="00AA3319"/>
    <w:rsid w:val="00AA3E3C"/>
    <w:rsid w:val="00AA4B4D"/>
    <w:rsid w:val="00AA4B65"/>
    <w:rsid w:val="00AA55F5"/>
    <w:rsid w:val="00AA5C3F"/>
    <w:rsid w:val="00AA629F"/>
    <w:rsid w:val="00AA6E6C"/>
    <w:rsid w:val="00AB007D"/>
    <w:rsid w:val="00AB0662"/>
    <w:rsid w:val="00AB0FE4"/>
    <w:rsid w:val="00AB1359"/>
    <w:rsid w:val="00AB1A7E"/>
    <w:rsid w:val="00AB1AC5"/>
    <w:rsid w:val="00AB1BB6"/>
    <w:rsid w:val="00AB1F34"/>
    <w:rsid w:val="00AB3327"/>
    <w:rsid w:val="00AB37E2"/>
    <w:rsid w:val="00AB3C9B"/>
    <w:rsid w:val="00AB5767"/>
    <w:rsid w:val="00AB6203"/>
    <w:rsid w:val="00AB6434"/>
    <w:rsid w:val="00AB687A"/>
    <w:rsid w:val="00AB7F40"/>
    <w:rsid w:val="00AC0926"/>
    <w:rsid w:val="00AC0F41"/>
    <w:rsid w:val="00AC104A"/>
    <w:rsid w:val="00AC1417"/>
    <w:rsid w:val="00AC1B01"/>
    <w:rsid w:val="00AC22E6"/>
    <w:rsid w:val="00AC2AF2"/>
    <w:rsid w:val="00AC38F8"/>
    <w:rsid w:val="00AC4BD7"/>
    <w:rsid w:val="00AC4DB3"/>
    <w:rsid w:val="00AC5166"/>
    <w:rsid w:val="00AC7703"/>
    <w:rsid w:val="00AD01B4"/>
    <w:rsid w:val="00AD091C"/>
    <w:rsid w:val="00AD0B0F"/>
    <w:rsid w:val="00AD10B2"/>
    <w:rsid w:val="00AD11CA"/>
    <w:rsid w:val="00AD132D"/>
    <w:rsid w:val="00AD23DA"/>
    <w:rsid w:val="00AD274B"/>
    <w:rsid w:val="00AD35C1"/>
    <w:rsid w:val="00AD3CEC"/>
    <w:rsid w:val="00AD414B"/>
    <w:rsid w:val="00AD4ADF"/>
    <w:rsid w:val="00AD5147"/>
    <w:rsid w:val="00AD58F3"/>
    <w:rsid w:val="00AE00CD"/>
    <w:rsid w:val="00AE02D1"/>
    <w:rsid w:val="00AE0350"/>
    <w:rsid w:val="00AE0469"/>
    <w:rsid w:val="00AE048C"/>
    <w:rsid w:val="00AE0DD0"/>
    <w:rsid w:val="00AE1958"/>
    <w:rsid w:val="00AE3861"/>
    <w:rsid w:val="00AE4598"/>
    <w:rsid w:val="00AE583E"/>
    <w:rsid w:val="00AE5D32"/>
    <w:rsid w:val="00AE5DED"/>
    <w:rsid w:val="00AE7015"/>
    <w:rsid w:val="00AE76AB"/>
    <w:rsid w:val="00AF0033"/>
    <w:rsid w:val="00AF0617"/>
    <w:rsid w:val="00AF0FD4"/>
    <w:rsid w:val="00AF1C54"/>
    <w:rsid w:val="00AF28E6"/>
    <w:rsid w:val="00AF2D45"/>
    <w:rsid w:val="00AF34E4"/>
    <w:rsid w:val="00AF4054"/>
    <w:rsid w:val="00AF53EA"/>
    <w:rsid w:val="00AF5722"/>
    <w:rsid w:val="00AF594A"/>
    <w:rsid w:val="00AF6680"/>
    <w:rsid w:val="00AF698C"/>
    <w:rsid w:val="00AF7590"/>
    <w:rsid w:val="00AF7763"/>
    <w:rsid w:val="00AF7D54"/>
    <w:rsid w:val="00B006B2"/>
    <w:rsid w:val="00B00C7A"/>
    <w:rsid w:val="00B01B96"/>
    <w:rsid w:val="00B02566"/>
    <w:rsid w:val="00B02C6F"/>
    <w:rsid w:val="00B03557"/>
    <w:rsid w:val="00B03630"/>
    <w:rsid w:val="00B04A00"/>
    <w:rsid w:val="00B04D18"/>
    <w:rsid w:val="00B052EB"/>
    <w:rsid w:val="00B05DAC"/>
    <w:rsid w:val="00B068E2"/>
    <w:rsid w:val="00B069CF"/>
    <w:rsid w:val="00B07B26"/>
    <w:rsid w:val="00B106A4"/>
    <w:rsid w:val="00B110AB"/>
    <w:rsid w:val="00B11775"/>
    <w:rsid w:val="00B12698"/>
    <w:rsid w:val="00B13ED2"/>
    <w:rsid w:val="00B14325"/>
    <w:rsid w:val="00B156C0"/>
    <w:rsid w:val="00B157FB"/>
    <w:rsid w:val="00B15A92"/>
    <w:rsid w:val="00B16546"/>
    <w:rsid w:val="00B16C22"/>
    <w:rsid w:val="00B20617"/>
    <w:rsid w:val="00B20DD7"/>
    <w:rsid w:val="00B21C08"/>
    <w:rsid w:val="00B230BF"/>
    <w:rsid w:val="00B239C9"/>
    <w:rsid w:val="00B23D51"/>
    <w:rsid w:val="00B2446C"/>
    <w:rsid w:val="00B24621"/>
    <w:rsid w:val="00B247EC"/>
    <w:rsid w:val="00B2791D"/>
    <w:rsid w:val="00B27AC2"/>
    <w:rsid w:val="00B30CE6"/>
    <w:rsid w:val="00B30D5F"/>
    <w:rsid w:val="00B30F7A"/>
    <w:rsid w:val="00B31D44"/>
    <w:rsid w:val="00B336AF"/>
    <w:rsid w:val="00B35F98"/>
    <w:rsid w:val="00B37244"/>
    <w:rsid w:val="00B37372"/>
    <w:rsid w:val="00B37663"/>
    <w:rsid w:val="00B37769"/>
    <w:rsid w:val="00B37F71"/>
    <w:rsid w:val="00B40032"/>
    <w:rsid w:val="00B403D8"/>
    <w:rsid w:val="00B407FA"/>
    <w:rsid w:val="00B4235E"/>
    <w:rsid w:val="00B43760"/>
    <w:rsid w:val="00B44DB5"/>
    <w:rsid w:val="00B4603A"/>
    <w:rsid w:val="00B46A79"/>
    <w:rsid w:val="00B46D10"/>
    <w:rsid w:val="00B46DDA"/>
    <w:rsid w:val="00B4737A"/>
    <w:rsid w:val="00B4780C"/>
    <w:rsid w:val="00B510A1"/>
    <w:rsid w:val="00B510F2"/>
    <w:rsid w:val="00B51C7C"/>
    <w:rsid w:val="00B5250E"/>
    <w:rsid w:val="00B52C72"/>
    <w:rsid w:val="00B52D9D"/>
    <w:rsid w:val="00B52EBF"/>
    <w:rsid w:val="00B52F7B"/>
    <w:rsid w:val="00B5320B"/>
    <w:rsid w:val="00B540F7"/>
    <w:rsid w:val="00B54A28"/>
    <w:rsid w:val="00B54B13"/>
    <w:rsid w:val="00B55201"/>
    <w:rsid w:val="00B554E7"/>
    <w:rsid w:val="00B555DA"/>
    <w:rsid w:val="00B55FE1"/>
    <w:rsid w:val="00B562DD"/>
    <w:rsid w:val="00B60CD9"/>
    <w:rsid w:val="00B63171"/>
    <w:rsid w:val="00B63537"/>
    <w:rsid w:val="00B64419"/>
    <w:rsid w:val="00B64DBA"/>
    <w:rsid w:val="00B655A5"/>
    <w:rsid w:val="00B65833"/>
    <w:rsid w:val="00B65836"/>
    <w:rsid w:val="00B658C3"/>
    <w:rsid w:val="00B65C7E"/>
    <w:rsid w:val="00B66483"/>
    <w:rsid w:val="00B66AAB"/>
    <w:rsid w:val="00B67289"/>
    <w:rsid w:val="00B672C1"/>
    <w:rsid w:val="00B67E72"/>
    <w:rsid w:val="00B702A9"/>
    <w:rsid w:val="00B704A2"/>
    <w:rsid w:val="00B706B9"/>
    <w:rsid w:val="00B70957"/>
    <w:rsid w:val="00B7195A"/>
    <w:rsid w:val="00B71B14"/>
    <w:rsid w:val="00B72A67"/>
    <w:rsid w:val="00B73431"/>
    <w:rsid w:val="00B73506"/>
    <w:rsid w:val="00B73ABA"/>
    <w:rsid w:val="00B73AD6"/>
    <w:rsid w:val="00B73D49"/>
    <w:rsid w:val="00B73FF7"/>
    <w:rsid w:val="00B74756"/>
    <w:rsid w:val="00B74A74"/>
    <w:rsid w:val="00B758A5"/>
    <w:rsid w:val="00B75FC1"/>
    <w:rsid w:val="00B763C0"/>
    <w:rsid w:val="00B8034C"/>
    <w:rsid w:val="00B80423"/>
    <w:rsid w:val="00B80EB4"/>
    <w:rsid w:val="00B80FE6"/>
    <w:rsid w:val="00B819F3"/>
    <w:rsid w:val="00B81CE5"/>
    <w:rsid w:val="00B82422"/>
    <w:rsid w:val="00B8256D"/>
    <w:rsid w:val="00B825A5"/>
    <w:rsid w:val="00B82F8A"/>
    <w:rsid w:val="00B839DE"/>
    <w:rsid w:val="00B848FC"/>
    <w:rsid w:val="00B84E2F"/>
    <w:rsid w:val="00B85940"/>
    <w:rsid w:val="00B8689C"/>
    <w:rsid w:val="00B86D62"/>
    <w:rsid w:val="00B8722D"/>
    <w:rsid w:val="00B90AEF"/>
    <w:rsid w:val="00B912FE"/>
    <w:rsid w:val="00B913A9"/>
    <w:rsid w:val="00B91823"/>
    <w:rsid w:val="00B919BC"/>
    <w:rsid w:val="00B92F35"/>
    <w:rsid w:val="00B9313D"/>
    <w:rsid w:val="00B93D65"/>
    <w:rsid w:val="00B94142"/>
    <w:rsid w:val="00B943A0"/>
    <w:rsid w:val="00B94440"/>
    <w:rsid w:val="00B95DA0"/>
    <w:rsid w:val="00B9635E"/>
    <w:rsid w:val="00B96B49"/>
    <w:rsid w:val="00B96BDB"/>
    <w:rsid w:val="00B96D2B"/>
    <w:rsid w:val="00B96DA2"/>
    <w:rsid w:val="00B97376"/>
    <w:rsid w:val="00B97AF6"/>
    <w:rsid w:val="00B97BB0"/>
    <w:rsid w:val="00BA0430"/>
    <w:rsid w:val="00BA0589"/>
    <w:rsid w:val="00BA0B93"/>
    <w:rsid w:val="00BA102F"/>
    <w:rsid w:val="00BA1393"/>
    <w:rsid w:val="00BA1D33"/>
    <w:rsid w:val="00BA1E35"/>
    <w:rsid w:val="00BA23F1"/>
    <w:rsid w:val="00BA41AE"/>
    <w:rsid w:val="00BA44F7"/>
    <w:rsid w:val="00BA48C2"/>
    <w:rsid w:val="00BA4C32"/>
    <w:rsid w:val="00BA5674"/>
    <w:rsid w:val="00BA6B73"/>
    <w:rsid w:val="00BA733B"/>
    <w:rsid w:val="00BB097B"/>
    <w:rsid w:val="00BB0DB0"/>
    <w:rsid w:val="00BB243D"/>
    <w:rsid w:val="00BB321D"/>
    <w:rsid w:val="00BB3575"/>
    <w:rsid w:val="00BB3A7E"/>
    <w:rsid w:val="00BB4065"/>
    <w:rsid w:val="00BB413B"/>
    <w:rsid w:val="00BB41CE"/>
    <w:rsid w:val="00BB4C75"/>
    <w:rsid w:val="00BB51FF"/>
    <w:rsid w:val="00BB5287"/>
    <w:rsid w:val="00BB5683"/>
    <w:rsid w:val="00BB6163"/>
    <w:rsid w:val="00BB7DDE"/>
    <w:rsid w:val="00BC1E1F"/>
    <w:rsid w:val="00BC24A6"/>
    <w:rsid w:val="00BC2CC7"/>
    <w:rsid w:val="00BC37A3"/>
    <w:rsid w:val="00BC3A19"/>
    <w:rsid w:val="00BC4A35"/>
    <w:rsid w:val="00BC5A58"/>
    <w:rsid w:val="00BC6CDF"/>
    <w:rsid w:val="00BC6EE9"/>
    <w:rsid w:val="00BC75F1"/>
    <w:rsid w:val="00BD129D"/>
    <w:rsid w:val="00BD1EE6"/>
    <w:rsid w:val="00BD24A7"/>
    <w:rsid w:val="00BD2672"/>
    <w:rsid w:val="00BD2D7C"/>
    <w:rsid w:val="00BD52AF"/>
    <w:rsid w:val="00BD62A9"/>
    <w:rsid w:val="00BD7584"/>
    <w:rsid w:val="00BD75DF"/>
    <w:rsid w:val="00BD7B74"/>
    <w:rsid w:val="00BD7C85"/>
    <w:rsid w:val="00BD7E2C"/>
    <w:rsid w:val="00BD7F34"/>
    <w:rsid w:val="00BE02C2"/>
    <w:rsid w:val="00BE1EDC"/>
    <w:rsid w:val="00BE21CF"/>
    <w:rsid w:val="00BE26EB"/>
    <w:rsid w:val="00BE2844"/>
    <w:rsid w:val="00BE2854"/>
    <w:rsid w:val="00BE47B0"/>
    <w:rsid w:val="00BE62DB"/>
    <w:rsid w:val="00BE6777"/>
    <w:rsid w:val="00BE6D95"/>
    <w:rsid w:val="00BE6E68"/>
    <w:rsid w:val="00BE6F2C"/>
    <w:rsid w:val="00BE785A"/>
    <w:rsid w:val="00BE7C6E"/>
    <w:rsid w:val="00BF0439"/>
    <w:rsid w:val="00BF10F9"/>
    <w:rsid w:val="00BF10FC"/>
    <w:rsid w:val="00BF1BF7"/>
    <w:rsid w:val="00BF314E"/>
    <w:rsid w:val="00BF339F"/>
    <w:rsid w:val="00BF3EB8"/>
    <w:rsid w:val="00BF5FDC"/>
    <w:rsid w:val="00BF6344"/>
    <w:rsid w:val="00BF64FD"/>
    <w:rsid w:val="00C003B8"/>
    <w:rsid w:val="00C00AE5"/>
    <w:rsid w:val="00C00C27"/>
    <w:rsid w:val="00C01952"/>
    <w:rsid w:val="00C01FE9"/>
    <w:rsid w:val="00C0213D"/>
    <w:rsid w:val="00C02EA5"/>
    <w:rsid w:val="00C03856"/>
    <w:rsid w:val="00C03D8C"/>
    <w:rsid w:val="00C04384"/>
    <w:rsid w:val="00C04AB6"/>
    <w:rsid w:val="00C04DB0"/>
    <w:rsid w:val="00C05100"/>
    <w:rsid w:val="00C07969"/>
    <w:rsid w:val="00C1096F"/>
    <w:rsid w:val="00C10CC5"/>
    <w:rsid w:val="00C12A33"/>
    <w:rsid w:val="00C135AF"/>
    <w:rsid w:val="00C13898"/>
    <w:rsid w:val="00C14999"/>
    <w:rsid w:val="00C15A06"/>
    <w:rsid w:val="00C163C5"/>
    <w:rsid w:val="00C165B6"/>
    <w:rsid w:val="00C16886"/>
    <w:rsid w:val="00C174C5"/>
    <w:rsid w:val="00C17559"/>
    <w:rsid w:val="00C17933"/>
    <w:rsid w:val="00C17D29"/>
    <w:rsid w:val="00C20D31"/>
    <w:rsid w:val="00C21BA6"/>
    <w:rsid w:val="00C223AE"/>
    <w:rsid w:val="00C2401B"/>
    <w:rsid w:val="00C242B3"/>
    <w:rsid w:val="00C2448C"/>
    <w:rsid w:val="00C24509"/>
    <w:rsid w:val="00C24647"/>
    <w:rsid w:val="00C246D3"/>
    <w:rsid w:val="00C25658"/>
    <w:rsid w:val="00C256D1"/>
    <w:rsid w:val="00C261C1"/>
    <w:rsid w:val="00C27198"/>
    <w:rsid w:val="00C27310"/>
    <w:rsid w:val="00C27ED8"/>
    <w:rsid w:val="00C31375"/>
    <w:rsid w:val="00C31F5D"/>
    <w:rsid w:val="00C32351"/>
    <w:rsid w:val="00C32E0D"/>
    <w:rsid w:val="00C33823"/>
    <w:rsid w:val="00C33DEF"/>
    <w:rsid w:val="00C34134"/>
    <w:rsid w:val="00C34708"/>
    <w:rsid w:val="00C34CD6"/>
    <w:rsid w:val="00C3553F"/>
    <w:rsid w:val="00C3574E"/>
    <w:rsid w:val="00C35E1A"/>
    <w:rsid w:val="00C36D4C"/>
    <w:rsid w:val="00C3711D"/>
    <w:rsid w:val="00C37548"/>
    <w:rsid w:val="00C376AE"/>
    <w:rsid w:val="00C377A6"/>
    <w:rsid w:val="00C37F1E"/>
    <w:rsid w:val="00C405E7"/>
    <w:rsid w:val="00C41B19"/>
    <w:rsid w:val="00C41E15"/>
    <w:rsid w:val="00C421BA"/>
    <w:rsid w:val="00C42489"/>
    <w:rsid w:val="00C42562"/>
    <w:rsid w:val="00C44253"/>
    <w:rsid w:val="00C477DF"/>
    <w:rsid w:val="00C47EB1"/>
    <w:rsid w:val="00C5061A"/>
    <w:rsid w:val="00C53406"/>
    <w:rsid w:val="00C534B1"/>
    <w:rsid w:val="00C538AF"/>
    <w:rsid w:val="00C53B46"/>
    <w:rsid w:val="00C5502F"/>
    <w:rsid w:val="00C553DA"/>
    <w:rsid w:val="00C55EA6"/>
    <w:rsid w:val="00C56C23"/>
    <w:rsid w:val="00C57665"/>
    <w:rsid w:val="00C6038B"/>
    <w:rsid w:val="00C60523"/>
    <w:rsid w:val="00C614C7"/>
    <w:rsid w:val="00C64985"/>
    <w:rsid w:val="00C657A5"/>
    <w:rsid w:val="00C65D1D"/>
    <w:rsid w:val="00C661CC"/>
    <w:rsid w:val="00C66BCA"/>
    <w:rsid w:val="00C67604"/>
    <w:rsid w:val="00C7078B"/>
    <w:rsid w:val="00C71C51"/>
    <w:rsid w:val="00C71D12"/>
    <w:rsid w:val="00C71EA9"/>
    <w:rsid w:val="00C74945"/>
    <w:rsid w:val="00C74AAD"/>
    <w:rsid w:val="00C74C6E"/>
    <w:rsid w:val="00C74CFC"/>
    <w:rsid w:val="00C75447"/>
    <w:rsid w:val="00C766CB"/>
    <w:rsid w:val="00C81D86"/>
    <w:rsid w:val="00C82142"/>
    <w:rsid w:val="00C82995"/>
    <w:rsid w:val="00C82FB0"/>
    <w:rsid w:val="00C8303A"/>
    <w:rsid w:val="00C8364D"/>
    <w:rsid w:val="00C8413E"/>
    <w:rsid w:val="00C85323"/>
    <w:rsid w:val="00C85DC8"/>
    <w:rsid w:val="00C8638F"/>
    <w:rsid w:val="00C87703"/>
    <w:rsid w:val="00C87CD1"/>
    <w:rsid w:val="00C87D6B"/>
    <w:rsid w:val="00C9047E"/>
    <w:rsid w:val="00C90D2F"/>
    <w:rsid w:val="00C919BC"/>
    <w:rsid w:val="00C92016"/>
    <w:rsid w:val="00C92CE9"/>
    <w:rsid w:val="00C92F8E"/>
    <w:rsid w:val="00C93D89"/>
    <w:rsid w:val="00C93E9E"/>
    <w:rsid w:val="00C94228"/>
    <w:rsid w:val="00C943B9"/>
    <w:rsid w:val="00C95B83"/>
    <w:rsid w:val="00C965AD"/>
    <w:rsid w:val="00CA0698"/>
    <w:rsid w:val="00CA110A"/>
    <w:rsid w:val="00CA1FE9"/>
    <w:rsid w:val="00CA204A"/>
    <w:rsid w:val="00CA2A13"/>
    <w:rsid w:val="00CA4000"/>
    <w:rsid w:val="00CA4E25"/>
    <w:rsid w:val="00CA5135"/>
    <w:rsid w:val="00CA5688"/>
    <w:rsid w:val="00CA5815"/>
    <w:rsid w:val="00CA6E8D"/>
    <w:rsid w:val="00CA71BC"/>
    <w:rsid w:val="00CB050F"/>
    <w:rsid w:val="00CB0858"/>
    <w:rsid w:val="00CB1794"/>
    <w:rsid w:val="00CB2632"/>
    <w:rsid w:val="00CB4AE5"/>
    <w:rsid w:val="00CB5691"/>
    <w:rsid w:val="00CB68CB"/>
    <w:rsid w:val="00CB780F"/>
    <w:rsid w:val="00CC1E3C"/>
    <w:rsid w:val="00CC2351"/>
    <w:rsid w:val="00CC3437"/>
    <w:rsid w:val="00CC38B9"/>
    <w:rsid w:val="00CC3C57"/>
    <w:rsid w:val="00CC3C5B"/>
    <w:rsid w:val="00CC412F"/>
    <w:rsid w:val="00CC42BE"/>
    <w:rsid w:val="00CC468A"/>
    <w:rsid w:val="00CC4C3E"/>
    <w:rsid w:val="00CC6128"/>
    <w:rsid w:val="00CC6726"/>
    <w:rsid w:val="00CC6B71"/>
    <w:rsid w:val="00CC6BFE"/>
    <w:rsid w:val="00CC77D3"/>
    <w:rsid w:val="00CD18B7"/>
    <w:rsid w:val="00CD2279"/>
    <w:rsid w:val="00CD2CEE"/>
    <w:rsid w:val="00CD42C1"/>
    <w:rsid w:val="00CD4539"/>
    <w:rsid w:val="00CD453A"/>
    <w:rsid w:val="00CD4BBC"/>
    <w:rsid w:val="00CD4C43"/>
    <w:rsid w:val="00CD4ECE"/>
    <w:rsid w:val="00CD6BEA"/>
    <w:rsid w:val="00CD7630"/>
    <w:rsid w:val="00CD768F"/>
    <w:rsid w:val="00CD7A7A"/>
    <w:rsid w:val="00CE090C"/>
    <w:rsid w:val="00CE0B8B"/>
    <w:rsid w:val="00CE0CC4"/>
    <w:rsid w:val="00CE0D60"/>
    <w:rsid w:val="00CE22DA"/>
    <w:rsid w:val="00CE31E5"/>
    <w:rsid w:val="00CE41CF"/>
    <w:rsid w:val="00CE4667"/>
    <w:rsid w:val="00CE5D1A"/>
    <w:rsid w:val="00CE74BD"/>
    <w:rsid w:val="00CE7792"/>
    <w:rsid w:val="00CE7AE2"/>
    <w:rsid w:val="00CF00CB"/>
    <w:rsid w:val="00CF1268"/>
    <w:rsid w:val="00CF1CD9"/>
    <w:rsid w:val="00CF21F6"/>
    <w:rsid w:val="00CF24D5"/>
    <w:rsid w:val="00CF2935"/>
    <w:rsid w:val="00CF32A6"/>
    <w:rsid w:val="00CF387D"/>
    <w:rsid w:val="00CF3AD8"/>
    <w:rsid w:val="00CF46D6"/>
    <w:rsid w:val="00CF59C4"/>
    <w:rsid w:val="00CF635A"/>
    <w:rsid w:val="00CF6ABC"/>
    <w:rsid w:val="00CF6EE7"/>
    <w:rsid w:val="00CF74A9"/>
    <w:rsid w:val="00CF7A22"/>
    <w:rsid w:val="00D003D9"/>
    <w:rsid w:val="00D0045B"/>
    <w:rsid w:val="00D00FC3"/>
    <w:rsid w:val="00D0147F"/>
    <w:rsid w:val="00D029DC"/>
    <w:rsid w:val="00D02F6D"/>
    <w:rsid w:val="00D03E29"/>
    <w:rsid w:val="00D06B3F"/>
    <w:rsid w:val="00D07D57"/>
    <w:rsid w:val="00D1078C"/>
    <w:rsid w:val="00D10F5B"/>
    <w:rsid w:val="00D1176F"/>
    <w:rsid w:val="00D11865"/>
    <w:rsid w:val="00D1194C"/>
    <w:rsid w:val="00D11B3C"/>
    <w:rsid w:val="00D12A8C"/>
    <w:rsid w:val="00D13943"/>
    <w:rsid w:val="00D14A0B"/>
    <w:rsid w:val="00D152CD"/>
    <w:rsid w:val="00D154A8"/>
    <w:rsid w:val="00D15AA0"/>
    <w:rsid w:val="00D15E8D"/>
    <w:rsid w:val="00D16FBC"/>
    <w:rsid w:val="00D1795A"/>
    <w:rsid w:val="00D17A22"/>
    <w:rsid w:val="00D17E04"/>
    <w:rsid w:val="00D2262A"/>
    <w:rsid w:val="00D23401"/>
    <w:rsid w:val="00D2443C"/>
    <w:rsid w:val="00D24477"/>
    <w:rsid w:val="00D25413"/>
    <w:rsid w:val="00D2673F"/>
    <w:rsid w:val="00D2723D"/>
    <w:rsid w:val="00D2763F"/>
    <w:rsid w:val="00D301A0"/>
    <w:rsid w:val="00D30340"/>
    <w:rsid w:val="00D310E0"/>
    <w:rsid w:val="00D32205"/>
    <w:rsid w:val="00D3238A"/>
    <w:rsid w:val="00D32746"/>
    <w:rsid w:val="00D33B1F"/>
    <w:rsid w:val="00D33C46"/>
    <w:rsid w:val="00D3545A"/>
    <w:rsid w:val="00D3650E"/>
    <w:rsid w:val="00D37279"/>
    <w:rsid w:val="00D3790E"/>
    <w:rsid w:val="00D37E43"/>
    <w:rsid w:val="00D41D55"/>
    <w:rsid w:val="00D42360"/>
    <w:rsid w:val="00D42369"/>
    <w:rsid w:val="00D428CB"/>
    <w:rsid w:val="00D42C61"/>
    <w:rsid w:val="00D42DC9"/>
    <w:rsid w:val="00D43B99"/>
    <w:rsid w:val="00D462E2"/>
    <w:rsid w:val="00D467D6"/>
    <w:rsid w:val="00D47410"/>
    <w:rsid w:val="00D47CB4"/>
    <w:rsid w:val="00D50209"/>
    <w:rsid w:val="00D50726"/>
    <w:rsid w:val="00D507DC"/>
    <w:rsid w:val="00D50D5B"/>
    <w:rsid w:val="00D51994"/>
    <w:rsid w:val="00D530CD"/>
    <w:rsid w:val="00D53205"/>
    <w:rsid w:val="00D533B0"/>
    <w:rsid w:val="00D54CE6"/>
    <w:rsid w:val="00D55A3C"/>
    <w:rsid w:val="00D5611A"/>
    <w:rsid w:val="00D5617A"/>
    <w:rsid w:val="00D563CD"/>
    <w:rsid w:val="00D56E9A"/>
    <w:rsid w:val="00D57864"/>
    <w:rsid w:val="00D607FC"/>
    <w:rsid w:val="00D60F2F"/>
    <w:rsid w:val="00D61C5E"/>
    <w:rsid w:val="00D62BA6"/>
    <w:rsid w:val="00D63194"/>
    <w:rsid w:val="00D6440C"/>
    <w:rsid w:val="00D64611"/>
    <w:rsid w:val="00D650BD"/>
    <w:rsid w:val="00D65482"/>
    <w:rsid w:val="00D65F16"/>
    <w:rsid w:val="00D677F6"/>
    <w:rsid w:val="00D6793F"/>
    <w:rsid w:val="00D70451"/>
    <w:rsid w:val="00D706EC"/>
    <w:rsid w:val="00D708BF"/>
    <w:rsid w:val="00D70DAB"/>
    <w:rsid w:val="00D711A9"/>
    <w:rsid w:val="00D71B5A"/>
    <w:rsid w:val="00D72D2A"/>
    <w:rsid w:val="00D72DEB"/>
    <w:rsid w:val="00D73BF7"/>
    <w:rsid w:val="00D74A5D"/>
    <w:rsid w:val="00D74DAB"/>
    <w:rsid w:val="00D74DD7"/>
    <w:rsid w:val="00D764F8"/>
    <w:rsid w:val="00D7654E"/>
    <w:rsid w:val="00D76B29"/>
    <w:rsid w:val="00D77207"/>
    <w:rsid w:val="00D772F9"/>
    <w:rsid w:val="00D774F7"/>
    <w:rsid w:val="00D7797B"/>
    <w:rsid w:val="00D81139"/>
    <w:rsid w:val="00D815E1"/>
    <w:rsid w:val="00D81663"/>
    <w:rsid w:val="00D82302"/>
    <w:rsid w:val="00D82B6B"/>
    <w:rsid w:val="00D82FA6"/>
    <w:rsid w:val="00D834FA"/>
    <w:rsid w:val="00D836A7"/>
    <w:rsid w:val="00D83C4A"/>
    <w:rsid w:val="00D8424C"/>
    <w:rsid w:val="00D842F5"/>
    <w:rsid w:val="00D8454A"/>
    <w:rsid w:val="00D84B36"/>
    <w:rsid w:val="00D8507B"/>
    <w:rsid w:val="00D85C3A"/>
    <w:rsid w:val="00D85D28"/>
    <w:rsid w:val="00D86173"/>
    <w:rsid w:val="00D866F5"/>
    <w:rsid w:val="00D8715C"/>
    <w:rsid w:val="00D87634"/>
    <w:rsid w:val="00D87866"/>
    <w:rsid w:val="00D90609"/>
    <w:rsid w:val="00D90664"/>
    <w:rsid w:val="00D913F3"/>
    <w:rsid w:val="00D91A8E"/>
    <w:rsid w:val="00D92153"/>
    <w:rsid w:val="00D9232E"/>
    <w:rsid w:val="00D924A4"/>
    <w:rsid w:val="00D92954"/>
    <w:rsid w:val="00D93142"/>
    <w:rsid w:val="00D931EE"/>
    <w:rsid w:val="00D9323D"/>
    <w:rsid w:val="00D9336C"/>
    <w:rsid w:val="00D939D0"/>
    <w:rsid w:val="00D94E6C"/>
    <w:rsid w:val="00D9565D"/>
    <w:rsid w:val="00D95857"/>
    <w:rsid w:val="00D96AD7"/>
    <w:rsid w:val="00D973DB"/>
    <w:rsid w:val="00D97B86"/>
    <w:rsid w:val="00DA071C"/>
    <w:rsid w:val="00DA2403"/>
    <w:rsid w:val="00DA28A3"/>
    <w:rsid w:val="00DA2C0A"/>
    <w:rsid w:val="00DA2F4D"/>
    <w:rsid w:val="00DA326C"/>
    <w:rsid w:val="00DA48DF"/>
    <w:rsid w:val="00DA4F15"/>
    <w:rsid w:val="00DA5EF7"/>
    <w:rsid w:val="00DA680C"/>
    <w:rsid w:val="00DA68C7"/>
    <w:rsid w:val="00DA68E1"/>
    <w:rsid w:val="00DA6DBD"/>
    <w:rsid w:val="00DA767A"/>
    <w:rsid w:val="00DA7A2B"/>
    <w:rsid w:val="00DB065A"/>
    <w:rsid w:val="00DB0C88"/>
    <w:rsid w:val="00DB16D8"/>
    <w:rsid w:val="00DB16E7"/>
    <w:rsid w:val="00DB23C4"/>
    <w:rsid w:val="00DB2A33"/>
    <w:rsid w:val="00DB2FB1"/>
    <w:rsid w:val="00DB3942"/>
    <w:rsid w:val="00DB3D82"/>
    <w:rsid w:val="00DB4004"/>
    <w:rsid w:val="00DB406C"/>
    <w:rsid w:val="00DB4475"/>
    <w:rsid w:val="00DB44FA"/>
    <w:rsid w:val="00DB4740"/>
    <w:rsid w:val="00DB69E4"/>
    <w:rsid w:val="00DB6B64"/>
    <w:rsid w:val="00DB7EDB"/>
    <w:rsid w:val="00DC0002"/>
    <w:rsid w:val="00DC1017"/>
    <w:rsid w:val="00DC13FE"/>
    <w:rsid w:val="00DC1B36"/>
    <w:rsid w:val="00DC1B51"/>
    <w:rsid w:val="00DC224C"/>
    <w:rsid w:val="00DC23D8"/>
    <w:rsid w:val="00DC2535"/>
    <w:rsid w:val="00DC2DCE"/>
    <w:rsid w:val="00DC30D1"/>
    <w:rsid w:val="00DC32B0"/>
    <w:rsid w:val="00DC4018"/>
    <w:rsid w:val="00DC4372"/>
    <w:rsid w:val="00DC4941"/>
    <w:rsid w:val="00DC4A37"/>
    <w:rsid w:val="00DC507B"/>
    <w:rsid w:val="00DC5138"/>
    <w:rsid w:val="00DC51F6"/>
    <w:rsid w:val="00DC569A"/>
    <w:rsid w:val="00DC5C05"/>
    <w:rsid w:val="00DC6220"/>
    <w:rsid w:val="00DC6653"/>
    <w:rsid w:val="00DC70DD"/>
    <w:rsid w:val="00DC7E00"/>
    <w:rsid w:val="00DD0391"/>
    <w:rsid w:val="00DD083B"/>
    <w:rsid w:val="00DD1A59"/>
    <w:rsid w:val="00DD2442"/>
    <w:rsid w:val="00DD24B7"/>
    <w:rsid w:val="00DD270A"/>
    <w:rsid w:val="00DD295F"/>
    <w:rsid w:val="00DD335B"/>
    <w:rsid w:val="00DD3501"/>
    <w:rsid w:val="00DD3597"/>
    <w:rsid w:val="00DD380A"/>
    <w:rsid w:val="00DD3CE6"/>
    <w:rsid w:val="00DD3F50"/>
    <w:rsid w:val="00DD5F12"/>
    <w:rsid w:val="00DD6410"/>
    <w:rsid w:val="00DD6B70"/>
    <w:rsid w:val="00DE1F08"/>
    <w:rsid w:val="00DE1F88"/>
    <w:rsid w:val="00DE2D75"/>
    <w:rsid w:val="00DE342A"/>
    <w:rsid w:val="00DE395D"/>
    <w:rsid w:val="00DE4605"/>
    <w:rsid w:val="00DE4F1E"/>
    <w:rsid w:val="00DE6281"/>
    <w:rsid w:val="00DE672C"/>
    <w:rsid w:val="00DE6B76"/>
    <w:rsid w:val="00DE6C86"/>
    <w:rsid w:val="00DE7605"/>
    <w:rsid w:val="00DE7BDD"/>
    <w:rsid w:val="00DF0138"/>
    <w:rsid w:val="00DF17F8"/>
    <w:rsid w:val="00DF28C0"/>
    <w:rsid w:val="00DF2D1B"/>
    <w:rsid w:val="00DF391D"/>
    <w:rsid w:val="00DF424A"/>
    <w:rsid w:val="00DF4266"/>
    <w:rsid w:val="00DF44DA"/>
    <w:rsid w:val="00DF462D"/>
    <w:rsid w:val="00DF4CCE"/>
    <w:rsid w:val="00DF5E7B"/>
    <w:rsid w:val="00DF6249"/>
    <w:rsid w:val="00DF76ED"/>
    <w:rsid w:val="00E00ED2"/>
    <w:rsid w:val="00E010CE"/>
    <w:rsid w:val="00E01393"/>
    <w:rsid w:val="00E028AA"/>
    <w:rsid w:val="00E02E54"/>
    <w:rsid w:val="00E02E6D"/>
    <w:rsid w:val="00E02EC3"/>
    <w:rsid w:val="00E03463"/>
    <w:rsid w:val="00E036B3"/>
    <w:rsid w:val="00E04C04"/>
    <w:rsid w:val="00E05396"/>
    <w:rsid w:val="00E0543B"/>
    <w:rsid w:val="00E0570F"/>
    <w:rsid w:val="00E06CF3"/>
    <w:rsid w:val="00E06ED9"/>
    <w:rsid w:val="00E06F50"/>
    <w:rsid w:val="00E07BC7"/>
    <w:rsid w:val="00E101A1"/>
    <w:rsid w:val="00E11013"/>
    <w:rsid w:val="00E11496"/>
    <w:rsid w:val="00E116A0"/>
    <w:rsid w:val="00E119C4"/>
    <w:rsid w:val="00E128AF"/>
    <w:rsid w:val="00E12FC3"/>
    <w:rsid w:val="00E15046"/>
    <w:rsid w:val="00E160FB"/>
    <w:rsid w:val="00E16630"/>
    <w:rsid w:val="00E17C8F"/>
    <w:rsid w:val="00E208CF"/>
    <w:rsid w:val="00E20DE0"/>
    <w:rsid w:val="00E212BB"/>
    <w:rsid w:val="00E221EF"/>
    <w:rsid w:val="00E226FF"/>
    <w:rsid w:val="00E22817"/>
    <w:rsid w:val="00E229CA"/>
    <w:rsid w:val="00E23127"/>
    <w:rsid w:val="00E23884"/>
    <w:rsid w:val="00E24366"/>
    <w:rsid w:val="00E24716"/>
    <w:rsid w:val="00E27643"/>
    <w:rsid w:val="00E2769B"/>
    <w:rsid w:val="00E279B8"/>
    <w:rsid w:val="00E30A60"/>
    <w:rsid w:val="00E31287"/>
    <w:rsid w:val="00E326FF"/>
    <w:rsid w:val="00E327A7"/>
    <w:rsid w:val="00E33EA4"/>
    <w:rsid w:val="00E35D6E"/>
    <w:rsid w:val="00E36124"/>
    <w:rsid w:val="00E36607"/>
    <w:rsid w:val="00E3751B"/>
    <w:rsid w:val="00E40A99"/>
    <w:rsid w:val="00E40C07"/>
    <w:rsid w:val="00E41A15"/>
    <w:rsid w:val="00E42F40"/>
    <w:rsid w:val="00E43963"/>
    <w:rsid w:val="00E44BF7"/>
    <w:rsid w:val="00E44D13"/>
    <w:rsid w:val="00E4548C"/>
    <w:rsid w:val="00E459AF"/>
    <w:rsid w:val="00E47839"/>
    <w:rsid w:val="00E47C7C"/>
    <w:rsid w:val="00E47D82"/>
    <w:rsid w:val="00E504B7"/>
    <w:rsid w:val="00E51108"/>
    <w:rsid w:val="00E5111B"/>
    <w:rsid w:val="00E51F8D"/>
    <w:rsid w:val="00E531FB"/>
    <w:rsid w:val="00E5394C"/>
    <w:rsid w:val="00E53F86"/>
    <w:rsid w:val="00E55028"/>
    <w:rsid w:val="00E556D8"/>
    <w:rsid w:val="00E556E9"/>
    <w:rsid w:val="00E56151"/>
    <w:rsid w:val="00E56902"/>
    <w:rsid w:val="00E56E3C"/>
    <w:rsid w:val="00E577B2"/>
    <w:rsid w:val="00E57FCB"/>
    <w:rsid w:val="00E62503"/>
    <w:rsid w:val="00E628C3"/>
    <w:rsid w:val="00E63C4A"/>
    <w:rsid w:val="00E647AE"/>
    <w:rsid w:val="00E66585"/>
    <w:rsid w:val="00E66D4C"/>
    <w:rsid w:val="00E709EE"/>
    <w:rsid w:val="00E70B49"/>
    <w:rsid w:val="00E71312"/>
    <w:rsid w:val="00E7176D"/>
    <w:rsid w:val="00E718E7"/>
    <w:rsid w:val="00E71AF1"/>
    <w:rsid w:val="00E71EB9"/>
    <w:rsid w:val="00E71F74"/>
    <w:rsid w:val="00E72450"/>
    <w:rsid w:val="00E7258A"/>
    <w:rsid w:val="00E72885"/>
    <w:rsid w:val="00E72907"/>
    <w:rsid w:val="00E72F90"/>
    <w:rsid w:val="00E73988"/>
    <w:rsid w:val="00E80644"/>
    <w:rsid w:val="00E81516"/>
    <w:rsid w:val="00E8322E"/>
    <w:rsid w:val="00E833A9"/>
    <w:rsid w:val="00E83800"/>
    <w:rsid w:val="00E8483A"/>
    <w:rsid w:val="00E85A32"/>
    <w:rsid w:val="00E85B7C"/>
    <w:rsid w:val="00E865AC"/>
    <w:rsid w:val="00E86854"/>
    <w:rsid w:val="00E8769E"/>
    <w:rsid w:val="00E8773E"/>
    <w:rsid w:val="00E877C7"/>
    <w:rsid w:val="00E90A38"/>
    <w:rsid w:val="00E90B59"/>
    <w:rsid w:val="00E90DBE"/>
    <w:rsid w:val="00E91193"/>
    <w:rsid w:val="00E91E9F"/>
    <w:rsid w:val="00E93760"/>
    <w:rsid w:val="00E9396F"/>
    <w:rsid w:val="00E93CEF"/>
    <w:rsid w:val="00E94A5D"/>
    <w:rsid w:val="00E94C46"/>
    <w:rsid w:val="00E96162"/>
    <w:rsid w:val="00E965C5"/>
    <w:rsid w:val="00E973BC"/>
    <w:rsid w:val="00E976C9"/>
    <w:rsid w:val="00EA06D6"/>
    <w:rsid w:val="00EA1619"/>
    <w:rsid w:val="00EA183E"/>
    <w:rsid w:val="00EA26A0"/>
    <w:rsid w:val="00EA2F76"/>
    <w:rsid w:val="00EA3660"/>
    <w:rsid w:val="00EA39FD"/>
    <w:rsid w:val="00EA53D4"/>
    <w:rsid w:val="00EA578D"/>
    <w:rsid w:val="00EA5E28"/>
    <w:rsid w:val="00EA6167"/>
    <w:rsid w:val="00EA6EB8"/>
    <w:rsid w:val="00EA790D"/>
    <w:rsid w:val="00EB0437"/>
    <w:rsid w:val="00EB078E"/>
    <w:rsid w:val="00EB0C62"/>
    <w:rsid w:val="00EB0F75"/>
    <w:rsid w:val="00EB111F"/>
    <w:rsid w:val="00EB1309"/>
    <w:rsid w:val="00EB160E"/>
    <w:rsid w:val="00EB1F12"/>
    <w:rsid w:val="00EB25B9"/>
    <w:rsid w:val="00EB29CE"/>
    <w:rsid w:val="00EB33CC"/>
    <w:rsid w:val="00EB3C2E"/>
    <w:rsid w:val="00EB415E"/>
    <w:rsid w:val="00EB43A8"/>
    <w:rsid w:val="00EB47EA"/>
    <w:rsid w:val="00EB4818"/>
    <w:rsid w:val="00EB5514"/>
    <w:rsid w:val="00EB5785"/>
    <w:rsid w:val="00EB5E2B"/>
    <w:rsid w:val="00EB6768"/>
    <w:rsid w:val="00EB6A9A"/>
    <w:rsid w:val="00EB6D6D"/>
    <w:rsid w:val="00EB6F31"/>
    <w:rsid w:val="00EB7EEE"/>
    <w:rsid w:val="00EC0B0D"/>
    <w:rsid w:val="00EC14BD"/>
    <w:rsid w:val="00EC19D3"/>
    <w:rsid w:val="00EC1EF4"/>
    <w:rsid w:val="00EC2A20"/>
    <w:rsid w:val="00EC33B4"/>
    <w:rsid w:val="00EC3C79"/>
    <w:rsid w:val="00EC44A8"/>
    <w:rsid w:val="00EC460C"/>
    <w:rsid w:val="00EC480F"/>
    <w:rsid w:val="00EC4F81"/>
    <w:rsid w:val="00EC5BC6"/>
    <w:rsid w:val="00EC5CAB"/>
    <w:rsid w:val="00EC617D"/>
    <w:rsid w:val="00EC63F5"/>
    <w:rsid w:val="00EC6DE8"/>
    <w:rsid w:val="00EC6F2C"/>
    <w:rsid w:val="00EC73F0"/>
    <w:rsid w:val="00EC7A80"/>
    <w:rsid w:val="00EC7FF2"/>
    <w:rsid w:val="00ED1C80"/>
    <w:rsid w:val="00ED220C"/>
    <w:rsid w:val="00ED2E3D"/>
    <w:rsid w:val="00ED33F4"/>
    <w:rsid w:val="00ED4247"/>
    <w:rsid w:val="00ED63FA"/>
    <w:rsid w:val="00ED729E"/>
    <w:rsid w:val="00ED7478"/>
    <w:rsid w:val="00ED7C1D"/>
    <w:rsid w:val="00EE13C6"/>
    <w:rsid w:val="00EE1809"/>
    <w:rsid w:val="00EE1CE9"/>
    <w:rsid w:val="00EE2034"/>
    <w:rsid w:val="00EE3D6D"/>
    <w:rsid w:val="00EE3D98"/>
    <w:rsid w:val="00EE51AA"/>
    <w:rsid w:val="00EE5688"/>
    <w:rsid w:val="00EE63A5"/>
    <w:rsid w:val="00EE666E"/>
    <w:rsid w:val="00EE675E"/>
    <w:rsid w:val="00EE6A37"/>
    <w:rsid w:val="00EE6B0F"/>
    <w:rsid w:val="00EE76A8"/>
    <w:rsid w:val="00EE7788"/>
    <w:rsid w:val="00EE7C03"/>
    <w:rsid w:val="00EE7E23"/>
    <w:rsid w:val="00EE7EDE"/>
    <w:rsid w:val="00EF0162"/>
    <w:rsid w:val="00EF0D98"/>
    <w:rsid w:val="00EF0EB2"/>
    <w:rsid w:val="00EF0FFC"/>
    <w:rsid w:val="00EF1382"/>
    <w:rsid w:val="00EF3067"/>
    <w:rsid w:val="00EF3891"/>
    <w:rsid w:val="00EF4B17"/>
    <w:rsid w:val="00EF549A"/>
    <w:rsid w:val="00EF62DF"/>
    <w:rsid w:val="00EF7906"/>
    <w:rsid w:val="00F0000E"/>
    <w:rsid w:val="00F0046C"/>
    <w:rsid w:val="00F007D8"/>
    <w:rsid w:val="00F00AED"/>
    <w:rsid w:val="00F00D21"/>
    <w:rsid w:val="00F01713"/>
    <w:rsid w:val="00F0176D"/>
    <w:rsid w:val="00F0193C"/>
    <w:rsid w:val="00F03456"/>
    <w:rsid w:val="00F047B7"/>
    <w:rsid w:val="00F04A73"/>
    <w:rsid w:val="00F05257"/>
    <w:rsid w:val="00F06070"/>
    <w:rsid w:val="00F06D7F"/>
    <w:rsid w:val="00F106E7"/>
    <w:rsid w:val="00F107DC"/>
    <w:rsid w:val="00F122F7"/>
    <w:rsid w:val="00F130E7"/>
    <w:rsid w:val="00F135C6"/>
    <w:rsid w:val="00F143C0"/>
    <w:rsid w:val="00F15D2D"/>
    <w:rsid w:val="00F162D2"/>
    <w:rsid w:val="00F1635D"/>
    <w:rsid w:val="00F1702A"/>
    <w:rsid w:val="00F17B5D"/>
    <w:rsid w:val="00F2155E"/>
    <w:rsid w:val="00F21F78"/>
    <w:rsid w:val="00F22863"/>
    <w:rsid w:val="00F252EC"/>
    <w:rsid w:val="00F255E3"/>
    <w:rsid w:val="00F26484"/>
    <w:rsid w:val="00F26701"/>
    <w:rsid w:val="00F267C3"/>
    <w:rsid w:val="00F274F7"/>
    <w:rsid w:val="00F27DC6"/>
    <w:rsid w:val="00F3007F"/>
    <w:rsid w:val="00F31356"/>
    <w:rsid w:val="00F3379E"/>
    <w:rsid w:val="00F339E9"/>
    <w:rsid w:val="00F33A91"/>
    <w:rsid w:val="00F33CDD"/>
    <w:rsid w:val="00F33DB8"/>
    <w:rsid w:val="00F35356"/>
    <w:rsid w:val="00F35584"/>
    <w:rsid w:val="00F35CC5"/>
    <w:rsid w:val="00F36055"/>
    <w:rsid w:val="00F36092"/>
    <w:rsid w:val="00F365BF"/>
    <w:rsid w:val="00F3748A"/>
    <w:rsid w:val="00F37633"/>
    <w:rsid w:val="00F377F3"/>
    <w:rsid w:val="00F379DA"/>
    <w:rsid w:val="00F40616"/>
    <w:rsid w:val="00F41189"/>
    <w:rsid w:val="00F44737"/>
    <w:rsid w:val="00F44FB1"/>
    <w:rsid w:val="00F45BF2"/>
    <w:rsid w:val="00F476B6"/>
    <w:rsid w:val="00F5029E"/>
    <w:rsid w:val="00F50B62"/>
    <w:rsid w:val="00F51EF4"/>
    <w:rsid w:val="00F537EC"/>
    <w:rsid w:val="00F548BF"/>
    <w:rsid w:val="00F55108"/>
    <w:rsid w:val="00F558CF"/>
    <w:rsid w:val="00F55CDA"/>
    <w:rsid w:val="00F560E6"/>
    <w:rsid w:val="00F56D47"/>
    <w:rsid w:val="00F56EDC"/>
    <w:rsid w:val="00F57AC7"/>
    <w:rsid w:val="00F57D05"/>
    <w:rsid w:val="00F62252"/>
    <w:rsid w:val="00F622A9"/>
    <w:rsid w:val="00F62AE4"/>
    <w:rsid w:val="00F634A1"/>
    <w:rsid w:val="00F6463E"/>
    <w:rsid w:val="00F6619F"/>
    <w:rsid w:val="00F66429"/>
    <w:rsid w:val="00F66939"/>
    <w:rsid w:val="00F67139"/>
    <w:rsid w:val="00F675C4"/>
    <w:rsid w:val="00F676DB"/>
    <w:rsid w:val="00F67A4E"/>
    <w:rsid w:val="00F70AE8"/>
    <w:rsid w:val="00F70CCC"/>
    <w:rsid w:val="00F7164B"/>
    <w:rsid w:val="00F71B40"/>
    <w:rsid w:val="00F720DD"/>
    <w:rsid w:val="00F728AD"/>
    <w:rsid w:val="00F72B8B"/>
    <w:rsid w:val="00F72C60"/>
    <w:rsid w:val="00F743A2"/>
    <w:rsid w:val="00F74DF5"/>
    <w:rsid w:val="00F752B6"/>
    <w:rsid w:val="00F76074"/>
    <w:rsid w:val="00F7616D"/>
    <w:rsid w:val="00F76235"/>
    <w:rsid w:val="00F76CC6"/>
    <w:rsid w:val="00F7740E"/>
    <w:rsid w:val="00F77BC9"/>
    <w:rsid w:val="00F77DF1"/>
    <w:rsid w:val="00F80413"/>
    <w:rsid w:val="00F80BFB"/>
    <w:rsid w:val="00F80C8B"/>
    <w:rsid w:val="00F81006"/>
    <w:rsid w:val="00F810B0"/>
    <w:rsid w:val="00F810CD"/>
    <w:rsid w:val="00F81E8E"/>
    <w:rsid w:val="00F82AA9"/>
    <w:rsid w:val="00F840FF"/>
    <w:rsid w:val="00F84678"/>
    <w:rsid w:val="00F84C32"/>
    <w:rsid w:val="00F84FA2"/>
    <w:rsid w:val="00F850E9"/>
    <w:rsid w:val="00F855CF"/>
    <w:rsid w:val="00F85770"/>
    <w:rsid w:val="00F85978"/>
    <w:rsid w:val="00F85EA0"/>
    <w:rsid w:val="00F86009"/>
    <w:rsid w:val="00F86519"/>
    <w:rsid w:val="00F86A12"/>
    <w:rsid w:val="00F86EE1"/>
    <w:rsid w:val="00F87A71"/>
    <w:rsid w:val="00F905DE"/>
    <w:rsid w:val="00F907D1"/>
    <w:rsid w:val="00F90EA9"/>
    <w:rsid w:val="00F91FD0"/>
    <w:rsid w:val="00F933FE"/>
    <w:rsid w:val="00F93623"/>
    <w:rsid w:val="00F9450F"/>
    <w:rsid w:val="00F9476C"/>
    <w:rsid w:val="00F954FE"/>
    <w:rsid w:val="00F95AE3"/>
    <w:rsid w:val="00F963C5"/>
    <w:rsid w:val="00F96675"/>
    <w:rsid w:val="00F968C4"/>
    <w:rsid w:val="00FA0650"/>
    <w:rsid w:val="00FA0DF7"/>
    <w:rsid w:val="00FA15AF"/>
    <w:rsid w:val="00FA1904"/>
    <w:rsid w:val="00FA2E4F"/>
    <w:rsid w:val="00FA33A0"/>
    <w:rsid w:val="00FA33AA"/>
    <w:rsid w:val="00FA38C1"/>
    <w:rsid w:val="00FA4795"/>
    <w:rsid w:val="00FA4ECA"/>
    <w:rsid w:val="00FA51AD"/>
    <w:rsid w:val="00FA56D5"/>
    <w:rsid w:val="00FA65AB"/>
    <w:rsid w:val="00FA6688"/>
    <w:rsid w:val="00FA6B87"/>
    <w:rsid w:val="00FA7F77"/>
    <w:rsid w:val="00FB1687"/>
    <w:rsid w:val="00FB17CF"/>
    <w:rsid w:val="00FB1A55"/>
    <w:rsid w:val="00FB2073"/>
    <w:rsid w:val="00FB4DBC"/>
    <w:rsid w:val="00FB598F"/>
    <w:rsid w:val="00FB5E09"/>
    <w:rsid w:val="00FB7961"/>
    <w:rsid w:val="00FC0EB7"/>
    <w:rsid w:val="00FC2C5E"/>
    <w:rsid w:val="00FC33AE"/>
    <w:rsid w:val="00FC352D"/>
    <w:rsid w:val="00FC5930"/>
    <w:rsid w:val="00FC5F1C"/>
    <w:rsid w:val="00FC5F37"/>
    <w:rsid w:val="00FC676D"/>
    <w:rsid w:val="00FC6AA1"/>
    <w:rsid w:val="00FC6E32"/>
    <w:rsid w:val="00FC7986"/>
    <w:rsid w:val="00FCCCCF"/>
    <w:rsid w:val="00FD0DD9"/>
    <w:rsid w:val="00FD14F5"/>
    <w:rsid w:val="00FD15D2"/>
    <w:rsid w:val="00FD1D37"/>
    <w:rsid w:val="00FD1F6C"/>
    <w:rsid w:val="00FD2083"/>
    <w:rsid w:val="00FD2094"/>
    <w:rsid w:val="00FD2A98"/>
    <w:rsid w:val="00FD399E"/>
    <w:rsid w:val="00FD3D39"/>
    <w:rsid w:val="00FD3E09"/>
    <w:rsid w:val="00FD4980"/>
    <w:rsid w:val="00FD5A89"/>
    <w:rsid w:val="00FD7D43"/>
    <w:rsid w:val="00FD7E22"/>
    <w:rsid w:val="00FD7E25"/>
    <w:rsid w:val="00FE2211"/>
    <w:rsid w:val="00FE2344"/>
    <w:rsid w:val="00FE24EE"/>
    <w:rsid w:val="00FE3C62"/>
    <w:rsid w:val="00FE4F56"/>
    <w:rsid w:val="00FE5404"/>
    <w:rsid w:val="00FE618F"/>
    <w:rsid w:val="00FE6E99"/>
    <w:rsid w:val="00FE7E6F"/>
    <w:rsid w:val="00FF14FA"/>
    <w:rsid w:val="00FF15CA"/>
    <w:rsid w:val="00FF1C4B"/>
    <w:rsid w:val="00FF2717"/>
    <w:rsid w:val="00FF3CCF"/>
    <w:rsid w:val="00FF45D4"/>
    <w:rsid w:val="00FF462F"/>
    <w:rsid w:val="00FF46B3"/>
    <w:rsid w:val="00FF5BC4"/>
    <w:rsid w:val="00FF61C3"/>
    <w:rsid w:val="00FF693A"/>
    <w:rsid w:val="00FF6AE5"/>
    <w:rsid w:val="00FF71D3"/>
    <w:rsid w:val="00FF771B"/>
    <w:rsid w:val="00FF774A"/>
    <w:rsid w:val="0153FA1F"/>
    <w:rsid w:val="0294AE05"/>
    <w:rsid w:val="044D1A3F"/>
    <w:rsid w:val="044E62E6"/>
    <w:rsid w:val="048AE500"/>
    <w:rsid w:val="0507081F"/>
    <w:rsid w:val="05904E05"/>
    <w:rsid w:val="06CCFA9D"/>
    <w:rsid w:val="06FDF281"/>
    <w:rsid w:val="0700F7CA"/>
    <w:rsid w:val="07242A9F"/>
    <w:rsid w:val="08989F8E"/>
    <w:rsid w:val="08B554F6"/>
    <w:rsid w:val="0923D8A8"/>
    <w:rsid w:val="09919584"/>
    <w:rsid w:val="099C24D7"/>
    <w:rsid w:val="0A426127"/>
    <w:rsid w:val="0A78FE4E"/>
    <w:rsid w:val="0B44730F"/>
    <w:rsid w:val="0B8D7C66"/>
    <w:rsid w:val="0BB75EE9"/>
    <w:rsid w:val="0BCB480A"/>
    <w:rsid w:val="0C60AFDC"/>
    <w:rsid w:val="0C87F4D6"/>
    <w:rsid w:val="0D07CFCA"/>
    <w:rsid w:val="0D096665"/>
    <w:rsid w:val="0D24BFA1"/>
    <w:rsid w:val="0D817A8F"/>
    <w:rsid w:val="0E0B4C21"/>
    <w:rsid w:val="0E2071A4"/>
    <w:rsid w:val="0F551314"/>
    <w:rsid w:val="104C8B23"/>
    <w:rsid w:val="107E18A8"/>
    <w:rsid w:val="10DF94B2"/>
    <w:rsid w:val="116BCA02"/>
    <w:rsid w:val="117C089B"/>
    <w:rsid w:val="11E7D147"/>
    <w:rsid w:val="1224DA9C"/>
    <w:rsid w:val="124B7B99"/>
    <w:rsid w:val="1270D9C9"/>
    <w:rsid w:val="12949669"/>
    <w:rsid w:val="129974FE"/>
    <w:rsid w:val="136A37F0"/>
    <w:rsid w:val="138FFD88"/>
    <w:rsid w:val="13A55E35"/>
    <w:rsid w:val="13DBEF9D"/>
    <w:rsid w:val="141AD813"/>
    <w:rsid w:val="1444728D"/>
    <w:rsid w:val="15AEB590"/>
    <w:rsid w:val="162364FE"/>
    <w:rsid w:val="162FB6E7"/>
    <w:rsid w:val="16445224"/>
    <w:rsid w:val="168A0D88"/>
    <w:rsid w:val="17080C67"/>
    <w:rsid w:val="185AB9F9"/>
    <w:rsid w:val="18CE797C"/>
    <w:rsid w:val="18F4FC60"/>
    <w:rsid w:val="19042027"/>
    <w:rsid w:val="19363219"/>
    <w:rsid w:val="1AD2DFE1"/>
    <w:rsid w:val="1B1A0055"/>
    <w:rsid w:val="1B3C52E3"/>
    <w:rsid w:val="1B404E98"/>
    <w:rsid w:val="1B85D593"/>
    <w:rsid w:val="1BA60CA1"/>
    <w:rsid w:val="1D1032A3"/>
    <w:rsid w:val="1DA3ED1C"/>
    <w:rsid w:val="1DB92992"/>
    <w:rsid w:val="1DDEA2FA"/>
    <w:rsid w:val="1F446828"/>
    <w:rsid w:val="201137A7"/>
    <w:rsid w:val="2045267F"/>
    <w:rsid w:val="20DE9B26"/>
    <w:rsid w:val="21015AAE"/>
    <w:rsid w:val="249F79F7"/>
    <w:rsid w:val="2571035A"/>
    <w:rsid w:val="257CDA0B"/>
    <w:rsid w:val="264D9C10"/>
    <w:rsid w:val="266188F8"/>
    <w:rsid w:val="278C4586"/>
    <w:rsid w:val="27A44DEF"/>
    <w:rsid w:val="282B3A49"/>
    <w:rsid w:val="284FBB44"/>
    <w:rsid w:val="28840205"/>
    <w:rsid w:val="290C53BF"/>
    <w:rsid w:val="296C6FEF"/>
    <w:rsid w:val="2BF55E5C"/>
    <w:rsid w:val="2CC41F94"/>
    <w:rsid w:val="2D0410E7"/>
    <w:rsid w:val="2D16DE64"/>
    <w:rsid w:val="2D472C05"/>
    <w:rsid w:val="2D9B157C"/>
    <w:rsid w:val="2DB02FF0"/>
    <w:rsid w:val="2DF7C731"/>
    <w:rsid w:val="2E501734"/>
    <w:rsid w:val="2E9BDF8C"/>
    <w:rsid w:val="2F39C744"/>
    <w:rsid w:val="2FDFF290"/>
    <w:rsid w:val="30576808"/>
    <w:rsid w:val="307E2BE5"/>
    <w:rsid w:val="30E3BB76"/>
    <w:rsid w:val="31A17BBA"/>
    <w:rsid w:val="325E90E8"/>
    <w:rsid w:val="3295F748"/>
    <w:rsid w:val="3361BA28"/>
    <w:rsid w:val="3368026A"/>
    <w:rsid w:val="33F558C2"/>
    <w:rsid w:val="34060E28"/>
    <w:rsid w:val="3470EF93"/>
    <w:rsid w:val="3558BD62"/>
    <w:rsid w:val="359B0AFC"/>
    <w:rsid w:val="36F332F4"/>
    <w:rsid w:val="3726FE26"/>
    <w:rsid w:val="382ED0C7"/>
    <w:rsid w:val="385B8B3D"/>
    <w:rsid w:val="387A5DFD"/>
    <w:rsid w:val="38C79EBA"/>
    <w:rsid w:val="39176A96"/>
    <w:rsid w:val="392AE0E0"/>
    <w:rsid w:val="39890418"/>
    <w:rsid w:val="39A248DD"/>
    <w:rsid w:val="3A00264C"/>
    <w:rsid w:val="3A22EF4E"/>
    <w:rsid w:val="3A8F2990"/>
    <w:rsid w:val="3AA97582"/>
    <w:rsid w:val="3C8380CF"/>
    <w:rsid w:val="3CE4370B"/>
    <w:rsid w:val="3DC375E7"/>
    <w:rsid w:val="3E8CC91B"/>
    <w:rsid w:val="3F3C979C"/>
    <w:rsid w:val="3F65EB4D"/>
    <w:rsid w:val="4006FF04"/>
    <w:rsid w:val="400FB9C8"/>
    <w:rsid w:val="403B986C"/>
    <w:rsid w:val="415FC2E0"/>
    <w:rsid w:val="4207AF85"/>
    <w:rsid w:val="429E996E"/>
    <w:rsid w:val="42A75B44"/>
    <w:rsid w:val="42E1BB68"/>
    <w:rsid w:val="444085AA"/>
    <w:rsid w:val="446B6CD7"/>
    <w:rsid w:val="446DD542"/>
    <w:rsid w:val="4490F3BE"/>
    <w:rsid w:val="44D33522"/>
    <w:rsid w:val="452DAF4B"/>
    <w:rsid w:val="467C2A19"/>
    <w:rsid w:val="46CAA557"/>
    <w:rsid w:val="46CBBAC7"/>
    <w:rsid w:val="473CDA79"/>
    <w:rsid w:val="491DE37F"/>
    <w:rsid w:val="49961931"/>
    <w:rsid w:val="49A7DA12"/>
    <w:rsid w:val="4A58B969"/>
    <w:rsid w:val="4A786515"/>
    <w:rsid w:val="4A819E1A"/>
    <w:rsid w:val="4A9FA95E"/>
    <w:rsid w:val="4AB853DC"/>
    <w:rsid w:val="4AC55C9C"/>
    <w:rsid w:val="4AFA0A41"/>
    <w:rsid w:val="4B138049"/>
    <w:rsid w:val="4B810542"/>
    <w:rsid w:val="4BD4191C"/>
    <w:rsid w:val="4C352050"/>
    <w:rsid w:val="4C587117"/>
    <w:rsid w:val="4C5E525B"/>
    <w:rsid w:val="4C7C9B43"/>
    <w:rsid w:val="4CD6394A"/>
    <w:rsid w:val="4CFE2308"/>
    <w:rsid w:val="4D307FDB"/>
    <w:rsid w:val="4DC11DB3"/>
    <w:rsid w:val="4DEA5715"/>
    <w:rsid w:val="4E2DE4CB"/>
    <w:rsid w:val="4F1F399D"/>
    <w:rsid w:val="4F6A1C66"/>
    <w:rsid w:val="546ABF2B"/>
    <w:rsid w:val="5475446F"/>
    <w:rsid w:val="54EF8F93"/>
    <w:rsid w:val="54F1E41E"/>
    <w:rsid w:val="55B0E2E0"/>
    <w:rsid w:val="55F967CF"/>
    <w:rsid w:val="56000AF2"/>
    <w:rsid w:val="5612192D"/>
    <w:rsid w:val="56EDA9C1"/>
    <w:rsid w:val="585B976F"/>
    <w:rsid w:val="5897310F"/>
    <w:rsid w:val="58D33CDC"/>
    <w:rsid w:val="597F34F9"/>
    <w:rsid w:val="59908BBB"/>
    <w:rsid w:val="59AABD37"/>
    <w:rsid w:val="59DC0492"/>
    <w:rsid w:val="5A21B57C"/>
    <w:rsid w:val="5AB15586"/>
    <w:rsid w:val="5BA63AF0"/>
    <w:rsid w:val="5C14E243"/>
    <w:rsid w:val="5C42AE68"/>
    <w:rsid w:val="5C8868DD"/>
    <w:rsid w:val="5CF869CD"/>
    <w:rsid w:val="5D1FEFBD"/>
    <w:rsid w:val="5D2265DC"/>
    <w:rsid w:val="5DF04EB4"/>
    <w:rsid w:val="5E3E1ACE"/>
    <w:rsid w:val="5E708DAE"/>
    <w:rsid w:val="5EA35062"/>
    <w:rsid w:val="5F2834D0"/>
    <w:rsid w:val="5FB75859"/>
    <w:rsid w:val="5FC2D9F8"/>
    <w:rsid w:val="5FCD76D4"/>
    <w:rsid w:val="603BFF6A"/>
    <w:rsid w:val="6057907F"/>
    <w:rsid w:val="60AE94A9"/>
    <w:rsid w:val="60BFC0EA"/>
    <w:rsid w:val="60D653EC"/>
    <w:rsid w:val="618DD56C"/>
    <w:rsid w:val="61CE2630"/>
    <w:rsid w:val="62A5E2E9"/>
    <w:rsid w:val="62A80A43"/>
    <w:rsid w:val="62D31400"/>
    <w:rsid w:val="6305B961"/>
    <w:rsid w:val="635D9066"/>
    <w:rsid w:val="638F3141"/>
    <w:rsid w:val="64165E92"/>
    <w:rsid w:val="64C90D2F"/>
    <w:rsid w:val="64E001B7"/>
    <w:rsid w:val="655659E5"/>
    <w:rsid w:val="655E1D5F"/>
    <w:rsid w:val="65AEA96E"/>
    <w:rsid w:val="65B5ECD4"/>
    <w:rsid w:val="65B6F8CF"/>
    <w:rsid w:val="671A876C"/>
    <w:rsid w:val="688C0781"/>
    <w:rsid w:val="6954100C"/>
    <w:rsid w:val="69683C08"/>
    <w:rsid w:val="696BB0EA"/>
    <w:rsid w:val="699EB77B"/>
    <w:rsid w:val="69D0B143"/>
    <w:rsid w:val="6A4B3EB9"/>
    <w:rsid w:val="6A4C3A9D"/>
    <w:rsid w:val="6B97DD2B"/>
    <w:rsid w:val="6BF1B3B7"/>
    <w:rsid w:val="6BF7B9C1"/>
    <w:rsid w:val="6C169EDA"/>
    <w:rsid w:val="6C3527D1"/>
    <w:rsid w:val="6C4CACF5"/>
    <w:rsid w:val="6D84DB8F"/>
    <w:rsid w:val="6D962ECF"/>
    <w:rsid w:val="7055E296"/>
    <w:rsid w:val="70ED24FF"/>
    <w:rsid w:val="71818F8F"/>
    <w:rsid w:val="71B722F0"/>
    <w:rsid w:val="727927F3"/>
    <w:rsid w:val="7288CD75"/>
    <w:rsid w:val="7327A819"/>
    <w:rsid w:val="7343FCAC"/>
    <w:rsid w:val="7348608F"/>
    <w:rsid w:val="73D32B9F"/>
    <w:rsid w:val="74DF86B4"/>
    <w:rsid w:val="75103ED8"/>
    <w:rsid w:val="75F765C6"/>
    <w:rsid w:val="7654F837"/>
    <w:rsid w:val="76B14663"/>
    <w:rsid w:val="770DF9DC"/>
    <w:rsid w:val="771AFE3D"/>
    <w:rsid w:val="78327F43"/>
    <w:rsid w:val="786CB446"/>
    <w:rsid w:val="78E91C36"/>
    <w:rsid w:val="78F4357F"/>
    <w:rsid w:val="7949745B"/>
    <w:rsid w:val="79ACECCC"/>
    <w:rsid w:val="7AB9F2C7"/>
    <w:rsid w:val="7B323D1A"/>
    <w:rsid w:val="7BCD4E30"/>
    <w:rsid w:val="7BCD9E62"/>
    <w:rsid w:val="7BDFDC83"/>
    <w:rsid w:val="7BEDE22B"/>
    <w:rsid w:val="7C23D2F1"/>
    <w:rsid w:val="7CACD1C6"/>
    <w:rsid w:val="7DAB5E0F"/>
    <w:rsid w:val="7E602B3E"/>
    <w:rsid w:val="7F3A9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308C"/>
  <w15:chartTrackingRefBased/>
  <w15:docId w15:val="{7B3EB4C6-DAAB-4FB5-8ED7-9CAEAD08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lin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551"/>
    <w:pPr>
      <w:spacing w:line="480" w:lineRule="auto"/>
    </w:pPr>
    <w:rPr>
      <w:sz w:val="24"/>
    </w:rPr>
  </w:style>
  <w:style w:type="paragraph" w:styleId="Heading1">
    <w:name w:val="heading 1"/>
    <w:basedOn w:val="Normal"/>
    <w:next w:val="Normal"/>
    <w:link w:val="Heading1Char"/>
    <w:uiPriority w:val="9"/>
    <w:qFormat/>
    <w:rsid w:val="00B15A92"/>
    <w:pPr>
      <w:keepNext/>
      <w:spacing w:line="240" w:lineRule="auto"/>
      <w:outlineLvl w:val="0"/>
    </w:pPr>
    <w:rPr>
      <w:b/>
      <w:i/>
      <w:kern w:val="28"/>
    </w:rPr>
  </w:style>
  <w:style w:type="paragraph" w:styleId="Heading2">
    <w:name w:val="heading 2"/>
    <w:basedOn w:val="Normal"/>
    <w:next w:val="Normal"/>
    <w:link w:val="Heading2Char"/>
    <w:uiPriority w:val="9"/>
    <w:qFormat/>
    <w:rsid w:val="00B15A92"/>
    <w:pPr>
      <w:keepNext/>
      <w:outlineLvl w:val="1"/>
    </w:pPr>
    <w:rPr>
      <w:b/>
      <w:i/>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pPr>
      <w:ind w:left="2880" w:hanging="720"/>
    </w:pPr>
  </w:style>
  <w:style w:type="paragraph" w:customStyle="1" w:styleId="item">
    <w:name w:val="item"/>
    <w:basedOn w:val="Normal"/>
    <w:pPr>
      <w:ind w:left="4320" w:hanging="720"/>
    </w:pPr>
  </w:style>
  <w:style w:type="character" w:styleId="LineNumber">
    <w:name w:val="line number"/>
    <w:basedOn w:val="DefaultParagraphFont"/>
    <w:uiPriority w:val="99"/>
  </w:style>
  <w:style w:type="paragraph" w:customStyle="1" w:styleId="paragraph">
    <w:name w:val="paragraph"/>
    <w:basedOn w:val="Normal"/>
    <w:pPr>
      <w:ind w:left="1440" w:hanging="720"/>
    </w:pPr>
  </w:style>
  <w:style w:type="paragraph" w:customStyle="1" w:styleId="preamble">
    <w:name w:val="preamble"/>
    <w:basedOn w:val="Normal"/>
    <w:link w:val="preambleChar"/>
  </w:style>
  <w:style w:type="paragraph" w:customStyle="1" w:styleId="section">
    <w:name w:val="section"/>
    <w:basedOn w:val="Normal"/>
    <w:rPr>
      <w:b/>
    </w:rPr>
  </w:style>
  <w:style w:type="paragraph" w:customStyle="1" w:styleId="subclause">
    <w:name w:val="subclause"/>
    <w:basedOn w:val="Normal"/>
    <w:pPr>
      <w:ind w:left="3600" w:hanging="720"/>
    </w:pPr>
  </w:style>
  <w:style w:type="paragraph" w:customStyle="1" w:styleId="subitem">
    <w:name w:val="subitem"/>
    <w:basedOn w:val="Normal"/>
    <w:pPr>
      <w:ind w:left="5040" w:hanging="720"/>
    </w:pPr>
  </w:style>
  <w:style w:type="paragraph" w:customStyle="1" w:styleId="subparagraph">
    <w:name w:val="subparagraph"/>
    <w:basedOn w:val="Normal"/>
    <w:pPr>
      <w:ind w:left="2160" w:hanging="720"/>
    </w:pPr>
  </w:style>
  <w:style w:type="paragraph" w:customStyle="1" w:styleId="subsection">
    <w:name w:val="subsection"/>
    <w:basedOn w:val="Normal"/>
    <w:pPr>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CommentReference">
    <w:name w:val="annotation reference"/>
    <w:rsid w:val="00FC0EB7"/>
    <w:rPr>
      <w:sz w:val="16"/>
      <w:szCs w:val="16"/>
    </w:rPr>
  </w:style>
  <w:style w:type="paragraph" w:styleId="CommentText">
    <w:name w:val="annotation text"/>
    <w:basedOn w:val="Normal"/>
    <w:link w:val="CommentTextChar"/>
    <w:uiPriority w:val="99"/>
    <w:rsid w:val="00FC0EB7"/>
    <w:rPr>
      <w:sz w:val="20"/>
    </w:rPr>
  </w:style>
  <w:style w:type="paragraph" w:styleId="CommentSubject">
    <w:name w:val="annotation subject"/>
    <w:basedOn w:val="CommentText"/>
    <w:next w:val="CommentText"/>
    <w:link w:val="CommentSubjectChar"/>
    <w:uiPriority w:val="99"/>
    <w:semiHidden/>
    <w:rsid w:val="00FC0EB7"/>
    <w:rPr>
      <w:b/>
      <w:bCs/>
    </w:rPr>
  </w:style>
  <w:style w:type="paragraph" w:styleId="BalloonText">
    <w:name w:val="Balloon Text"/>
    <w:basedOn w:val="Normal"/>
    <w:link w:val="BalloonTextChar"/>
    <w:uiPriority w:val="99"/>
    <w:semiHidden/>
    <w:rsid w:val="00FC0EB7"/>
    <w:rPr>
      <w:rFonts w:ascii="Tahoma" w:hAnsi="Tahoma" w:cs="Tahoma"/>
      <w:sz w:val="16"/>
      <w:szCs w:val="16"/>
    </w:rPr>
  </w:style>
  <w:style w:type="paragraph" w:styleId="Revision">
    <w:name w:val="Revision"/>
    <w:hidden/>
    <w:uiPriority w:val="99"/>
    <w:semiHidden/>
    <w:rsid w:val="008C4D15"/>
    <w:rPr>
      <w:sz w:val="24"/>
    </w:rPr>
  </w:style>
  <w:style w:type="paragraph" w:styleId="NormalWeb">
    <w:name w:val="Normal (Web)"/>
    <w:basedOn w:val="Normal"/>
    <w:uiPriority w:val="99"/>
    <w:unhideWhenUsed/>
    <w:rsid w:val="00F03456"/>
    <w:pPr>
      <w:spacing w:before="100" w:beforeAutospacing="1" w:after="100" w:afterAutospacing="1" w:line="240" w:lineRule="auto"/>
    </w:pPr>
    <w:rPr>
      <w:szCs w:val="24"/>
    </w:rPr>
  </w:style>
  <w:style w:type="character" w:customStyle="1" w:styleId="CommentTextChar">
    <w:name w:val="Comment Text Char"/>
    <w:basedOn w:val="DefaultParagraphFont"/>
    <w:link w:val="CommentText"/>
    <w:uiPriority w:val="99"/>
    <w:rsid w:val="00EC7FF2"/>
  </w:style>
  <w:style w:type="paragraph" w:styleId="ListParagraph">
    <w:name w:val="List Paragraph"/>
    <w:basedOn w:val="Normal"/>
    <w:uiPriority w:val="34"/>
    <w:qFormat/>
    <w:rsid w:val="00A07012"/>
    <w:pPr>
      <w:ind w:left="720"/>
      <w:contextualSpacing/>
    </w:pPr>
  </w:style>
  <w:style w:type="character" w:customStyle="1" w:styleId="CommentSubjectChar">
    <w:name w:val="Comment Subject Char"/>
    <w:basedOn w:val="CommentTextChar"/>
    <w:link w:val="CommentSubject"/>
    <w:uiPriority w:val="99"/>
    <w:semiHidden/>
    <w:rsid w:val="00DC70DD"/>
    <w:rPr>
      <w:b/>
      <w:bCs/>
    </w:rPr>
  </w:style>
  <w:style w:type="character" w:customStyle="1" w:styleId="BalloonTextChar">
    <w:name w:val="Balloon Text Char"/>
    <w:basedOn w:val="DefaultParagraphFont"/>
    <w:link w:val="BalloonText"/>
    <w:uiPriority w:val="99"/>
    <w:semiHidden/>
    <w:rsid w:val="00DC70DD"/>
    <w:rPr>
      <w:rFonts w:ascii="Tahoma" w:hAnsi="Tahoma" w:cs="Tahoma"/>
      <w:sz w:val="16"/>
      <w:szCs w:val="16"/>
    </w:rPr>
  </w:style>
  <w:style w:type="character" w:styleId="Hyperlink">
    <w:name w:val="Hyperlink"/>
    <w:basedOn w:val="DefaultParagraphFont"/>
    <w:uiPriority w:val="99"/>
    <w:unhideWhenUsed/>
    <w:rsid w:val="00885FF0"/>
    <w:rPr>
      <w:color w:val="0563C1" w:themeColor="hyperlink"/>
      <w:u w:val="single"/>
    </w:rPr>
  </w:style>
  <w:style w:type="paragraph" w:customStyle="1" w:styleId="FilePath">
    <w:name w:val="File Path"/>
    <w:basedOn w:val="Normal"/>
    <w:link w:val="FilePathChar"/>
    <w:qFormat/>
    <w:rsid w:val="00885FF0"/>
    <w:pPr>
      <w:spacing w:before="120" w:line="240" w:lineRule="auto"/>
      <w:jc w:val="both"/>
    </w:pPr>
    <w:rPr>
      <w:sz w:val="16"/>
      <w:lang w:eastAsia="zh-TW"/>
    </w:rPr>
  </w:style>
  <w:style w:type="character" w:customStyle="1" w:styleId="FilePathChar">
    <w:name w:val="File Path Char"/>
    <w:link w:val="FilePath"/>
    <w:rsid w:val="00885FF0"/>
    <w:rPr>
      <w:sz w:val="16"/>
      <w:lang w:eastAsia="zh-TW"/>
    </w:rPr>
  </w:style>
  <w:style w:type="character" w:customStyle="1" w:styleId="HeaderChar">
    <w:name w:val="Header Char"/>
    <w:basedOn w:val="DefaultParagraphFont"/>
    <w:link w:val="Header"/>
    <w:rsid w:val="00885FF0"/>
    <w:rPr>
      <w:sz w:val="24"/>
    </w:rPr>
  </w:style>
  <w:style w:type="character" w:customStyle="1" w:styleId="FooterChar">
    <w:name w:val="Footer Char"/>
    <w:basedOn w:val="DefaultParagraphFont"/>
    <w:link w:val="Footer"/>
    <w:rsid w:val="00885FF0"/>
    <w:rPr>
      <w:sz w:val="24"/>
    </w:rPr>
  </w:style>
  <w:style w:type="character" w:customStyle="1" w:styleId="Heading1Char">
    <w:name w:val="Heading 1 Char"/>
    <w:basedOn w:val="DefaultParagraphFont"/>
    <w:link w:val="Heading1"/>
    <w:uiPriority w:val="9"/>
    <w:rsid w:val="00B15A92"/>
    <w:rPr>
      <w:b/>
      <w:i/>
      <w:kern w:val="28"/>
      <w:sz w:val="24"/>
    </w:rPr>
  </w:style>
  <w:style w:type="character" w:customStyle="1" w:styleId="Heading2Char">
    <w:name w:val="Heading 2 Char"/>
    <w:basedOn w:val="DefaultParagraphFont"/>
    <w:link w:val="Heading2"/>
    <w:uiPriority w:val="9"/>
    <w:rsid w:val="00B15A92"/>
    <w:rPr>
      <w:b/>
      <w:i/>
      <w:sz w:val="24"/>
    </w:rPr>
  </w:style>
  <w:style w:type="table" w:styleId="LightList">
    <w:name w:val="Light List"/>
    <w:basedOn w:val="TableNormal"/>
    <w:uiPriority w:val="61"/>
    <w:rsid w:val="00885FF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c-hd">
    <w:name w:val="Pc-hd"/>
    <w:basedOn w:val="Normal"/>
    <w:rsid w:val="00885FF0"/>
    <w:pPr>
      <w:tabs>
        <w:tab w:val="left" w:pos="360"/>
        <w:tab w:val="left" w:pos="864"/>
        <w:tab w:val="left" w:pos="1530"/>
        <w:tab w:val="left" w:pos="1872"/>
        <w:tab w:val="left" w:pos="2495"/>
        <w:tab w:val="left" w:pos="3071"/>
        <w:tab w:val="left" w:pos="3647"/>
      </w:tabs>
      <w:spacing w:line="240" w:lineRule="auto"/>
      <w:jc w:val="both"/>
    </w:pPr>
    <w:rPr>
      <w:rFonts w:eastAsia="SimSun"/>
      <w:b/>
      <w:sz w:val="22"/>
    </w:rPr>
  </w:style>
  <w:style w:type="paragraph" w:customStyle="1" w:styleId="SRa">
    <w:name w:val="SR(a)"/>
    <w:basedOn w:val="Normal"/>
    <w:rsid w:val="00885FF0"/>
    <w:pPr>
      <w:tabs>
        <w:tab w:val="left" w:pos="360"/>
        <w:tab w:val="left" w:pos="720"/>
        <w:tab w:val="left" w:pos="1872"/>
        <w:tab w:val="left" w:pos="2495"/>
        <w:tab w:val="left" w:pos="3071"/>
        <w:tab w:val="left" w:pos="3647"/>
        <w:tab w:val="left" w:pos="8910"/>
      </w:tabs>
      <w:spacing w:before="240" w:line="240" w:lineRule="auto"/>
      <w:ind w:left="720" w:hanging="446"/>
      <w:jc w:val="both"/>
    </w:pPr>
    <w:rPr>
      <w:rFonts w:eastAsia="SimSun"/>
      <w:sz w:val="20"/>
    </w:rPr>
  </w:style>
  <w:style w:type="paragraph" w:customStyle="1" w:styleId="sr-A">
    <w:name w:val="sr-(A)"/>
    <w:basedOn w:val="Normal"/>
    <w:rsid w:val="00885FF0"/>
    <w:pPr>
      <w:tabs>
        <w:tab w:val="left" w:pos="1710"/>
      </w:tabs>
      <w:spacing w:line="240" w:lineRule="auto"/>
      <w:ind w:left="1710" w:hanging="450"/>
      <w:jc w:val="both"/>
    </w:pPr>
    <w:rPr>
      <w:rFonts w:eastAsia="SimSun"/>
    </w:rPr>
  </w:style>
  <w:style w:type="character" w:customStyle="1" w:styleId="preambleChar">
    <w:name w:val="preamble Char"/>
    <w:link w:val="preamble"/>
    <w:rsid w:val="00885FF0"/>
    <w:rPr>
      <w:sz w:val="24"/>
    </w:rPr>
  </w:style>
  <w:style w:type="paragraph" w:customStyle="1" w:styleId="SR1">
    <w:name w:val="SR(1)"/>
    <w:basedOn w:val="Normal"/>
    <w:rsid w:val="00885FF0"/>
    <w:pPr>
      <w:tabs>
        <w:tab w:val="left" w:pos="2495"/>
        <w:tab w:val="left" w:pos="3071"/>
        <w:tab w:val="left" w:pos="3647"/>
        <w:tab w:val="left" w:pos="8910"/>
      </w:tabs>
      <w:spacing w:line="240" w:lineRule="auto"/>
      <w:ind w:left="1260" w:hanging="540"/>
      <w:jc w:val="both"/>
    </w:pPr>
    <w:rPr>
      <w:rFonts w:eastAsia="SimSun"/>
    </w:rPr>
  </w:style>
  <w:style w:type="paragraph" w:customStyle="1" w:styleId="SRaChar">
    <w:name w:val="SR(a) Char"/>
    <w:basedOn w:val="Normal"/>
    <w:link w:val="SRaCharChar"/>
    <w:rsid w:val="00885FF0"/>
    <w:pPr>
      <w:tabs>
        <w:tab w:val="left" w:pos="360"/>
        <w:tab w:val="left" w:pos="720"/>
        <w:tab w:val="left" w:pos="1872"/>
        <w:tab w:val="left" w:pos="2495"/>
        <w:tab w:val="left" w:pos="3071"/>
        <w:tab w:val="left" w:pos="3647"/>
        <w:tab w:val="left" w:pos="8910"/>
      </w:tabs>
      <w:spacing w:before="240" w:line="240" w:lineRule="auto"/>
      <w:ind w:left="720" w:hanging="446"/>
      <w:jc w:val="both"/>
    </w:pPr>
    <w:rPr>
      <w:rFonts w:eastAsia="SimSun"/>
      <w:sz w:val="20"/>
    </w:rPr>
  </w:style>
  <w:style w:type="character" w:customStyle="1" w:styleId="SRaCharChar">
    <w:name w:val="SR(a) Char Char"/>
    <w:link w:val="SRaChar"/>
    <w:rsid w:val="00885FF0"/>
    <w:rPr>
      <w:rFonts w:eastAsia="SimSun"/>
    </w:rPr>
  </w:style>
  <w:style w:type="paragraph" w:customStyle="1" w:styleId="SR1Char">
    <w:name w:val="SR(1) Char"/>
    <w:basedOn w:val="Normal"/>
    <w:link w:val="SR1CharChar"/>
    <w:uiPriority w:val="99"/>
    <w:rsid w:val="00885FF0"/>
    <w:pPr>
      <w:tabs>
        <w:tab w:val="left" w:pos="2495"/>
        <w:tab w:val="left" w:pos="3071"/>
        <w:tab w:val="left" w:pos="3647"/>
        <w:tab w:val="left" w:pos="8910"/>
      </w:tabs>
      <w:spacing w:line="240" w:lineRule="auto"/>
      <w:ind w:left="1260" w:hanging="540"/>
      <w:jc w:val="both"/>
    </w:pPr>
    <w:rPr>
      <w:rFonts w:eastAsia="SimSun"/>
      <w:sz w:val="20"/>
    </w:rPr>
  </w:style>
  <w:style w:type="character" w:customStyle="1" w:styleId="SR1CharChar">
    <w:name w:val="SR(1) Char Char"/>
    <w:link w:val="SR1Char"/>
    <w:uiPriority w:val="99"/>
    <w:rsid w:val="00885FF0"/>
    <w:rPr>
      <w:rFonts w:eastAsia="SimSun"/>
    </w:rPr>
  </w:style>
  <w:style w:type="paragraph" w:customStyle="1" w:styleId="sr-AChar">
    <w:name w:val="sr-(A) Char"/>
    <w:basedOn w:val="Normal"/>
    <w:link w:val="sr-ACharChar2"/>
    <w:rsid w:val="00885FF0"/>
    <w:pPr>
      <w:tabs>
        <w:tab w:val="left" w:pos="1710"/>
      </w:tabs>
      <w:spacing w:line="240" w:lineRule="auto"/>
      <w:ind w:left="1710" w:hanging="450"/>
      <w:jc w:val="both"/>
    </w:pPr>
    <w:rPr>
      <w:rFonts w:eastAsia="SimSun"/>
      <w:sz w:val="20"/>
    </w:rPr>
  </w:style>
  <w:style w:type="character" w:customStyle="1" w:styleId="sr-ACharChar2">
    <w:name w:val="sr-(A) Char Char2"/>
    <w:link w:val="sr-AChar"/>
    <w:rsid w:val="00885FF0"/>
    <w:rPr>
      <w:rFonts w:eastAsia="SimSun"/>
    </w:rPr>
  </w:style>
  <w:style w:type="paragraph" w:customStyle="1" w:styleId="sr-i">
    <w:name w:val="sr-(i)"/>
    <w:basedOn w:val="Normal"/>
    <w:link w:val="sr-iChar"/>
    <w:rsid w:val="00885FF0"/>
    <w:pPr>
      <w:spacing w:line="240" w:lineRule="exact"/>
      <w:ind w:left="2340" w:hanging="630"/>
      <w:jc w:val="both"/>
    </w:pPr>
    <w:rPr>
      <w:rFonts w:eastAsia="SimSun"/>
      <w:sz w:val="20"/>
    </w:rPr>
  </w:style>
  <w:style w:type="character" w:customStyle="1" w:styleId="sr-iChar">
    <w:name w:val="sr-(i) Char"/>
    <w:link w:val="sr-i"/>
    <w:rsid w:val="00885FF0"/>
    <w:rPr>
      <w:rFonts w:eastAsia="SimSun"/>
    </w:rPr>
  </w:style>
  <w:style w:type="paragraph" w:customStyle="1" w:styleId="Default">
    <w:name w:val="Default"/>
    <w:rsid w:val="00885FF0"/>
    <w:pPr>
      <w:autoSpaceDE w:val="0"/>
      <w:autoSpaceDN w:val="0"/>
      <w:adjustRightInd w:val="0"/>
    </w:pPr>
    <w:rPr>
      <w:rFonts w:ascii="EMOJEL+TimesNewRoman,Bold" w:eastAsia="Calibri" w:hAnsi="EMOJEL+TimesNewRoman,Bold" w:cs="EMOJEL+TimesNewRoman,Bold"/>
      <w:color w:val="000000"/>
      <w:sz w:val="24"/>
      <w:szCs w:val="24"/>
    </w:rPr>
  </w:style>
  <w:style w:type="character" w:customStyle="1" w:styleId="DeltaViewInsertion">
    <w:name w:val="DeltaView Insertion"/>
    <w:uiPriority w:val="99"/>
    <w:rsid w:val="00885FF0"/>
    <w:rPr>
      <w:color w:val="0000FF"/>
      <w:spacing w:val="0"/>
      <w:u w:val="double"/>
    </w:rPr>
  </w:style>
  <w:style w:type="character" w:customStyle="1" w:styleId="footnoteref">
    <w:name w:val="footnote ref"/>
    <w:uiPriority w:val="99"/>
    <w:rsid w:val="00885FF0"/>
    <w:rPr>
      <w:sz w:val="24"/>
    </w:rPr>
  </w:style>
  <w:style w:type="character" w:styleId="PageNumber">
    <w:name w:val="page number"/>
    <w:basedOn w:val="DefaultParagraphFont"/>
    <w:rsid w:val="00885FF0"/>
  </w:style>
  <w:style w:type="paragraph" w:styleId="FootnoteText">
    <w:name w:val="footnote text"/>
    <w:basedOn w:val="Normal"/>
    <w:link w:val="FootnoteTextChar"/>
    <w:uiPriority w:val="99"/>
    <w:unhideWhenUsed/>
    <w:rsid w:val="00885FF0"/>
    <w:pPr>
      <w:spacing w:line="240" w:lineRule="auto"/>
    </w:pPr>
    <w:rPr>
      <w:rFonts w:eastAsiaTheme="minorHAnsi" w:cstheme="minorBidi"/>
      <w:sz w:val="20"/>
    </w:rPr>
  </w:style>
  <w:style w:type="character" w:customStyle="1" w:styleId="FootnoteTextChar">
    <w:name w:val="Footnote Text Char"/>
    <w:basedOn w:val="DefaultParagraphFont"/>
    <w:link w:val="FootnoteText"/>
    <w:uiPriority w:val="99"/>
    <w:rsid w:val="00885FF0"/>
    <w:rPr>
      <w:rFonts w:eastAsiaTheme="minorHAnsi" w:cstheme="minorBidi"/>
    </w:rPr>
  </w:style>
  <w:style w:type="character" w:styleId="FootnoteReference">
    <w:name w:val="footnote reference"/>
    <w:basedOn w:val="DefaultParagraphFont"/>
    <w:uiPriority w:val="99"/>
    <w:unhideWhenUsed/>
    <w:rsid w:val="00885FF0"/>
    <w:rPr>
      <w:vertAlign w:val="superscript"/>
    </w:rPr>
  </w:style>
  <w:style w:type="paragraph" w:styleId="EndnoteText">
    <w:name w:val="endnote text"/>
    <w:basedOn w:val="Normal"/>
    <w:link w:val="EndnoteTextChar"/>
    <w:uiPriority w:val="99"/>
    <w:unhideWhenUsed/>
    <w:rsid w:val="00885FF0"/>
    <w:pPr>
      <w:spacing w:line="240" w:lineRule="auto"/>
    </w:pPr>
    <w:rPr>
      <w:rFonts w:eastAsiaTheme="minorHAnsi" w:cstheme="minorBidi"/>
      <w:szCs w:val="24"/>
    </w:rPr>
  </w:style>
  <w:style w:type="character" w:customStyle="1" w:styleId="EndnoteTextChar">
    <w:name w:val="Endnote Text Char"/>
    <w:basedOn w:val="DefaultParagraphFont"/>
    <w:link w:val="EndnoteText"/>
    <w:uiPriority w:val="99"/>
    <w:rsid w:val="00885FF0"/>
    <w:rPr>
      <w:rFonts w:eastAsiaTheme="minorHAnsi" w:cstheme="minorBidi"/>
      <w:sz w:val="24"/>
      <w:szCs w:val="24"/>
    </w:rPr>
  </w:style>
  <w:style w:type="character" w:styleId="EndnoteReference">
    <w:name w:val="endnote reference"/>
    <w:basedOn w:val="DefaultParagraphFont"/>
    <w:uiPriority w:val="99"/>
    <w:unhideWhenUsed/>
    <w:rsid w:val="00885FF0"/>
    <w:rPr>
      <w:vertAlign w:val="superscript"/>
    </w:rPr>
  </w:style>
  <w:style w:type="paragraph" w:customStyle="1" w:styleId="sr1charchar0">
    <w:name w:val="sr1charchar"/>
    <w:basedOn w:val="Normal"/>
    <w:rsid w:val="00885FF0"/>
    <w:pPr>
      <w:spacing w:line="240" w:lineRule="auto"/>
      <w:ind w:left="1260" w:hanging="540"/>
      <w:jc w:val="both"/>
    </w:pPr>
    <w:rPr>
      <w:sz w:val="20"/>
    </w:rPr>
  </w:style>
  <w:style w:type="paragraph" w:customStyle="1" w:styleId="SRI">
    <w:name w:val="SR(I)"/>
    <w:basedOn w:val="Normal"/>
    <w:link w:val="SRIChar"/>
    <w:rsid w:val="00885FF0"/>
    <w:pPr>
      <w:tabs>
        <w:tab w:val="left" w:pos="360"/>
        <w:tab w:val="left" w:pos="864"/>
        <w:tab w:val="left" w:pos="1368"/>
        <w:tab w:val="left" w:pos="1872"/>
        <w:tab w:val="left" w:pos="2520"/>
        <w:tab w:val="left" w:pos="3647"/>
        <w:tab w:val="left" w:pos="8910"/>
      </w:tabs>
      <w:spacing w:line="240" w:lineRule="auto"/>
      <w:ind w:left="2520" w:hanging="450"/>
      <w:jc w:val="both"/>
    </w:pPr>
    <w:rPr>
      <w:rFonts w:eastAsia="SimSun"/>
      <w:sz w:val="20"/>
    </w:rPr>
  </w:style>
  <w:style w:type="character" w:customStyle="1" w:styleId="SRIChar">
    <w:name w:val="SR(I) Char"/>
    <w:link w:val="SRI"/>
    <w:rsid w:val="00885FF0"/>
    <w:rPr>
      <w:rFonts w:eastAsia="SimSun"/>
    </w:rPr>
  </w:style>
  <w:style w:type="paragraph" w:customStyle="1" w:styleId="Normaldouble">
    <w:name w:val="Normal double"/>
    <w:basedOn w:val="Normal"/>
    <w:rsid w:val="00885FF0"/>
    <w:pPr>
      <w:jc w:val="both"/>
    </w:pPr>
    <w:rPr>
      <w:rFonts w:eastAsia="SimSun"/>
    </w:rPr>
  </w:style>
  <w:style w:type="paragraph" w:customStyle="1" w:styleId="Labelhead">
    <w:name w:val="Label head"/>
    <w:basedOn w:val="Normal"/>
    <w:rsid w:val="00885FF0"/>
    <w:pPr>
      <w:spacing w:line="240" w:lineRule="auto"/>
      <w:jc w:val="center"/>
    </w:pPr>
    <w:rPr>
      <w:rFonts w:eastAsia="SimSun"/>
      <w:b/>
      <w:i/>
      <w:noProof/>
      <w:color w:val="FFFFFF"/>
      <w:kern w:val="20"/>
    </w:rPr>
  </w:style>
  <w:style w:type="paragraph" w:customStyle="1" w:styleId="Labeltitle">
    <w:name w:val="Label title"/>
    <w:basedOn w:val="Normal"/>
    <w:rsid w:val="00885FF0"/>
    <w:pPr>
      <w:spacing w:line="240" w:lineRule="auto"/>
      <w:jc w:val="center"/>
    </w:pPr>
    <w:rPr>
      <w:rFonts w:eastAsia="SimSun"/>
      <w:b/>
      <w:noProof/>
      <w:kern w:val="20"/>
      <w:sz w:val="28"/>
    </w:rPr>
  </w:style>
  <w:style w:type="paragraph" w:customStyle="1" w:styleId="LabelID">
    <w:name w:val="Label ID"/>
    <w:basedOn w:val="Normal"/>
    <w:rsid w:val="00885FF0"/>
    <w:pPr>
      <w:spacing w:line="240" w:lineRule="auto"/>
      <w:jc w:val="center"/>
    </w:pPr>
    <w:rPr>
      <w:rFonts w:eastAsia="SimSun"/>
      <w:noProof/>
      <w:kern w:val="20"/>
      <w:sz w:val="28"/>
    </w:rPr>
  </w:style>
  <w:style w:type="paragraph" w:customStyle="1" w:styleId="Bodycharge">
    <w:name w:val="Body charge"/>
    <w:basedOn w:val="Normal"/>
    <w:rsid w:val="00885FF0"/>
    <w:pPr>
      <w:spacing w:line="240" w:lineRule="auto"/>
    </w:pPr>
    <w:rPr>
      <w:rFonts w:eastAsia="SimSun"/>
      <w:sz w:val="20"/>
    </w:rPr>
  </w:style>
  <w:style w:type="paragraph" w:customStyle="1" w:styleId="Labelcharge">
    <w:name w:val="Label charge"/>
    <w:basedOn w:val="Normal"/>
    <w:rsid w:val="00885FF0"/>
    <w:pPr>
      <w:tabs>
        <w:tab w:val="center" w:pos="3317"/>
        <w:tab w:val="center" w:pos="4757"/>
        <w:tab w:val="center" w:pos="6197"/>
      </w:tabs>
      <w:spacing w:line="240" w:lineRule="auto"/>
    </w:pPr>
    <w:rPr>
      <w:rFonts w:eastAsia="SimSun"/>
      <w:noProof/>
      <w:kern w:val="20"/>
      <w:sz w:val="20"/>
    </w:rPr>
  </w:style>
  <w:style w:type="paragraph" w:customStyle="1" w:styleId="Labelsources">
    <w:name w:val="Label sources"/>
    <w:basedOn w:val="Normal"/>
    <w:rsid w:val="00885FF0"/>
    <w:pPr>
      <w:tabs>
        <w:tab w:val="right" w:pos="4662"/>
        <w:tab w:val="right" w:pos="6282"/>
      </w:tabs>
      <w:spacing w:line="240" w:lineRule="auto"/>
      <w:ind w:left="1062"/>
    </w:pPr>
    <w:rPr>
      <w:rFonts w:eastAsia="SimSun"/>
      <w:noProof/>
      <w:kern w:val="20"/>
      <w:sz w:val="20"/>
    </w:rPr>
  </w:style>
  <w:style w:type="character" w:styleId="Mention">
    <w:name w:val="Mention"/>
    <w:basedOn w:val="DefaultParagraphFont"/>
    <w:uiPriority w:val="99"/>
    <w:unhideWhenUsed/>
    <w:rsid w:val="00FA0650"/>
    <w:rPr>
      <w:color w:val="2B579A"/>
      <w:shd w:val="clear" w:color="auto" w:fill="E6E6E6"/>
    </w:rPr>
  </w:style>
  <w:style w:type="character" w:styleId="UnresolvedMention">
    <w:name w:val="Unresolved Mention"/>
    <w:basedOn w:val="DefaultParagraphFont"/>
    <w:uiPriority w:val="99"/>
    <w:semiHidden/>
    <w:unhideWhenUsed/>
    <w:rsid w:val="00F548BF"/>
    <w:rPr>
      <w:color w:val="605E5C"/>
      <w:shd w:val="clear" w:color="auto" w:fill="E1DFDD"/>
    </w:rPr>
  </w:style>
  <w:style w:type="paragraph" w:customStyle="1" w:styleId="PFPPreambleSubtitle">
    <w:name w:val="PFP Preamble Subtitle"/>
    <w:basedOn w:val="preamble"/>
    <w:qFormat/>
    <w:rsid w:val="00573551"/>
    <w:pPr>
      <w:keepNext/>
      <w:jc w:val="both"/>
    </w:pPr>
    <w:rPr>
      <w:b/>
      <w:i/>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0413">
      <w:bodyDiv w:val="1"/>
      <w:marLeft w:val="0"/>
      <w:marRight w:val="0"/>
      <w:marTop w:val="0"/>
      <w:marBottom w:val="0"/>
      <w:divBdr>
        <w:top w:val="none" w:sz="0" w:space="0" w:color="auto"/>
        <w:left w:val="none" w:sz="0" w:space="0" w:color="auto"/>
        <w:bottom w:val="none" w:sz="0" w:space="0" w:color="auto"/>
        <w:right w:val="none" w:sz="0" w:space="0" w:color="auto"/>
      </w:divBdr>
    </w:div>
    <w:div w:id="416440671">
      <w:bodyDiv w:val="1"/>
      <w:marLeft w:val="0"/>
      <w:marRight w:val="0"/>
      <w:marTop w:val="0"/>
      <w:marBottom w:val="0"/>
      <w:divBdr>
        <w:top w:val="none" w:sz="0" w:space="0" w:color="auto"/>
        <w:left w:val="none" w:sz="0" w:space="0" w:color="auto"/>
        <w:bottom w:val="none" w:sz="0" w:space="0" w:color="auto"/>
        <w:right w:val="none" w:sz="0" w:space="0" w:color="auto"/>
      </w:divBdr>
    </w:div>
    <w:div w:id="544025857">
      <w:bodyDiv w:val="1"/>
      <w:marLeft w:val="0"/>
      <w:marRight w:val="0"/>
      <w:marTop w:val="0"/>
      <w:marBottom w:val="0"/>
      <w:divBdr>
        <w:top w:val="none" w:sz="0" w:space="0" w:color="auto"/>
        <w:left w:val="none" w:sz="0" w:space="0" w:color="auto"/>
        <w:bottom w:val="none" w:sz="0" w:space="0" w:color="auto"/>
        <w:right w:val="none" w:sz="0" w:space="0" w:color="auto"/>
      </w:divBdr>
    </w:div>
    <w:div w:id="578715625">
      <w:bodyDiv w:val="1"/>
      <w:marLeft w:val="0"/>
      <w:marRight w:val="0"/>
      <w:marTop w:val="0"/>
      <w:marBottom w:val="0"/>
      <w:divBdr>
        <w:top w:val="none" w:sz="0" w:space="0" w:color="auto"/>
        <w:left w:val="none" w:sz="0" w:space="0" w:color="auto"/>
        <w:bottom w:val="none" w:sz="0" w:space="0" w:color="auto"/>
        <w:right w:val="none" w:sz="0" w:space="0" w:color="auto"/>
      </w:divBdr>
    </w:div>
    <w:div w:id="814301851">
      <w:bodyDiv w:val="1"/>
      <w:marLeft w:val="0"/>
      <w:marRight w:val="0"/>
      <w:marTop w:val="0"/>
      <w:marBottom w:val="0"/>
      <w:divBdr>
        <w:top w:val="none" w:sz="0" w:space="0" w:color="auto"/>
        <w:left w:val="none" w:sz="0" w:space="0" w:color="auto"/>
        <w:bottom w:val="none" w:sz="0" w:space="0" w:color="auto"/>
        <w:right w:val="none" w:sz="0" w:space="0" w:color="auto"/>
      </w:divBdr>
    </w:div>
    <w:div w:id="935401928">
      <w:bodyDiv w:val="1"/>
      <w:marLeft w:val="0"/>
      <w:marRight w:val="0"/>
      <w:marTop w:val="0"/>
      <w:marBottom w:val="0"/>
      <w:divBdr>
        <w:top w:val="none" w:sz="0" w:space="0" w:color="auto"/>
        <w:left w:val="none" w:sz="0" w:space="0" w:color="auto"/>
        <w:bottom w:val="none" w:sz="0" w:space="0" w:color="auto"/>
        <w:right w:val="none" w:sz="0" w:space="0" w:color="auto"/>
      </w:divBdr>
    </w:div>
    <w:div w:id="1022365496">
      <w:bodyDiv w:val="1"/>
      <w:marLeft w:val="0"/>
      <w:marRight w:val="0"/>
      <w:marTop w:val="0"/>
      <w:marBottom w:val="0"/>
      <w:divBdr>
        <w:top w:val="none" w:sz="0" w:space="0" w:color="auto"/>
        <w:left w:val="none" w:sz="0" w:space="0" w:color="auto"/>
        <w:bottom w:val="none" w:sz="0" w:space="0" w:color="auto"/>
        <w:right w:val="none" w:sz="0" w:space="0" w:color="auto"/>
      </w:divBdr>
    </w:div>
    <w:div w:id="1070691129">
      <w:bodyDiv w:val="1"/>
      <w:marLeft w:val="0"/>
      <w:marRight w:val="0"/>
      <w:marTop w:val="0"/>
      <w:marBottom w:val="0"/>
      <w:divBdr>
        <w:top w:val="none" w:sz="0" w:space="0" w:color="auto"/>
        <w:left w:val="none" w:sz="0" w:space="0" w:color="auto"/>
        <w:bottom w:val="none" w:sz="0" w:space="0" w:color="auto"/>
        <w:right w:val="none" w:sz="0" w:space="0" w:color="auto"/>
      </w:divBdr>
    </w:div>
    <w:div w:id="1144733726">
      <w:bodyDiv w:val="1"/>
      <w:marLeft w:val="0"/>
      <w:marRight w:val="0"/>
      <w:marTop w:val="0"/>
      <w:marBottom w:val="0"/>
      <w:divBdr>
        <w:top w:val="none" w:sz="0" w:space="0" w:color="auto"/>
        <w:left w:val="none" w:sz="0" w:space="0" w:color="auto"/>
        <w:bottom w:val="none" w:sz="0" w:space="0" w:color="auto"/>
        <w:right w:val="none" w:sz="0" w:space="0" w:color="auto"/>
      </w:divBdr>
    </w:div>
    <w:div w:id="1267039780">
      <w:bodyDiv w:val="1"/>
      <w:marLeft w:val="0"/>
      <w:marRight w:val="0"/>
      <w:marTop w:val="0"/>
      <w:marBottom w:val="0"/>
      <w:divBdr>
        <w:top w:val="none" w:sz="0" w:space="0" w:color="auto"/>
        <w:left w:val="none" w:sz="0" w:space="0" w:color="auto"/>
        <w:bottom w:val="none" w:sz="0" w:space="0" w:color="auto"/>
        <w:right w:val="none" w:sz="0" w:space="0" w:color="auto"/>
      </w:divBdr>
    </w:div>
    <w:div w:id="1425616445">
      <w:bodyDiv w:val="1"/>
      <w:marLeft w:val="0"/>
      <w:marRight w:val="0"/>
      <w:marTop w:val="0"/>
      <w:marBottom w:val="0"/>
      <w:divBdr>
        <w:top w:val="none" w:sz="0" w:space="0" w:color="auto"/>
        <w:left w:val="none" w:sz="0" w:space="0" w:color="auto"/>
        <w:bottom w:val="none" w:sz="0" w:space="0" w:color="auto"/>
        <w:right w:val="none" w:sz="0" w:space="0" w:color="auto"/>
      </w:divBdr>
    </w:div>
    <w:div w:id="1721859580">
      <w:bodyDiv w:val="1"/>
      <w:marLeft w:val="0"/>
      <w:marRight w:val="0"/>
      <w:marTop w:val="0"/>
      <w:marBottom w:val="0"/>
      <w:divBdr>
        <w:top w:val="none" w:sz="0" w:space="0" w:color="auto"/>
        <w:left w:val="none" w:sz="0" w:space="0" w:color="auto"/>
        <w:bottom w:val="none" w:sz="0" w:space="0" w:color="auto"/>
        <w:right w:val="none" w:sz="0" w:space="0" w:color="auto"/>
      </w:divBdr>
    </w:div>
    <w:div w:id="1824008450">
      <w:bodyDiv w:val="1"/>
      <w:marLeft w:val="0"/>
      <w:marRight w:val="0"/>
      <w:marTop w:val="0"/>
      <w:marBottom w:val="0"/>
      <w:divBdr>
        <w:top w:val="none" w:sz="0" w:space="0" w:color="auto"/>
        <w:left w:val="none" w:sz="0" w:space="0" w:color="auto"/>
        <w:bottom w:val="none" w:sz="0" w:space="0" w:color="auto"/>
        <w:right w:val="none" w:sz="0" w:space="0" w:color="auto"/>
      </w:divBdr>
    </w:div>
    <w:div w:id="1926914051">
      <w:bodyDiv w:val="1"/>
      <w:marLeft w:val="0"/>
      <w:marRight w:val="0"/>
      <w:marTop w:val="0"/>
      <w:marBottom w:val="0"/>
      <w:divBdr>
        <w:top w:val="none" w:sz="0" w:space="0" w:color="auto"/>
        <w:left w:val="none" w:sz="0" w:space="0" w:color="auto"/>
        <w:bottom w:val="none" w:sz="0" w:space="0" w:color="auto"/>
        <w:right w:val="none" w:sz="0" w:space="0" w:color="auto"/>
      </w:divBdr>
    </w:div>
    <w:div w:id="20040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chele@competitivepower.org"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9213-A92A-4832-8407-0AFA2BB8C8C9}">
  <ds:schemaRefs>
    <ds:schemaRef ds:uri="http://schemas.microsoft.com/office/2006/metadata/longProperties"/>
  </ds:schemaRefs>
</ds:datastoreItem>
</file>

<file path=customXml/itemProps2.xml><?xml version="1.0" encoding="utf-8"?>
<ds:datastoreItem xmlns:ds="http://schemas.openxmlformats.org/officeDocument/2006/customXml" ds:itemID="{C4078F41-0F13-449C-8C2D-78CEB5F9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1969</Words>
  <Characters>10991</Characters>
  <Application>Microsoft Office Word</Application>
  <DocSecurity>0</DocSecurity>
  <Lines>203</Lines>
  <Paragraphs>63</Paragraphs>
  <ScaleCrop>false</ScaleCrop>
  <Company/>
  <LinksUpToDate>false</LinksUpToDate>
  <CharactersWithSpaces>12897</CharactersWithSpaces>
  <SharedDoc>false</SharedDoc>
  <HLinks>
    <vt:vector size="6" baseType="variant">
      <vt:variant>
        <vt:i4>3407892</vt:i4>
      </vt:variant>
      <vt:variant>
        <vt:i4>0</vt:i4>
      </vt:variant>
      <vt:variant>
        <vt:i4>0</vt:i4>
      </vt:variant>
      <vt:variant>
        <vt:i4>5</vt:i4>
      </vt:variant>
      <vt:variant>
        <vt:lpwstr>mailto:michele@competitivepower.org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Richmond</dc:creator>
  <cp:keywords/>
  <dc:description/>
  <cp:lastModifiedBy/>
  <cp:revision>2</cp:revision>
  <dcterms:created xsi:type="dcterms:W3CDTF">2025-12-19T02:34:00Z</dcterms:created>
  <dcterms:modified xsi:type="dcterms:W3CDTF">2025-12-19T02:34:00Z</dcterms:modified>
</cp:coreProperties>
</file>