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900"/>
        <w:gridCol w:w="6660"/>
      </w:tblGrid>
      <w:tr w:rsidR="00152993" w14:paraId="6F2F8A2C" w14:textId="77777777" w:rsidTr="3ABFFF8D">
        <w:tc>
          <w:tcPr>
            <w:tcW w:w="1620" w:type="dxa"/>
            <w:tcBorders>
              <w:bottom w:val="single" w:sz="4" w:space="0" w:color="auto"/>
            </w:tcBorders>
            <w:shd w:val="clear" w:color="auto" w:fill="FFFFFF" w:themeFill="background1"/>
            <w:vAlign w:val="center"/>
          </w:tcPr>
          <w:p w14:paraId="03E6F99E" w14:textId="77777777" w:rsidR="00152993" w:rsidRDefault="00EE6681">
            <w:pPr>
              <w:pStyle w:val="Header"/>
              <w:rPr>
                <w:rFonts w:ascii="Verdana" w:hAnsi="Verdana"/>
                <w:sz w:val="22"/>
              </w:rPr>
            </w:pPr>
            <w:r>
              <w:t>N</w:t>
            </w:r>
            <w:r w:rsidR="00152993">
              <w:t>PRR Number</w:t>
            </w:r>
          </w:p>
        </w:tc>
        <w:tc>
          <w:tcPr>
            <w:tcW w:w="1260" w:type="dxa"/>
            <w:tcBorders>
              <w:bottom w:val="single" w:sz="4" w:space="0" w:color="auto"/>
            </w:tcBorders>
            <w:vAlign w:val="center"/>
          </w:tcPr>
          <w:p w14:paraId="4F02D067" w14:textId="77777777" w:rsidR="00152993" w:rsidRDefault="00B1614B">
            <w:pPr>
              <w:pStyle w:val="Header"/>
            </w:pPr>
            <w:hyperlink r:id="rId11" w:history="1">
              <w:r w:rsidRPr="000119F5">
                <w:rPr>
                  <w:rStyle w:val="Hyperlink"/>
                </w:rPr>
                <w:t>1310</w:t>
              </w:r>
            </w:hyperlink>
          </w:p>
        </w:tc>
        <w:tc>
          <w:tcPr>
            <w:tcW w:w="900" w:type="dxa"/>
            <w:tcBorders>
              <w:bottom w:val="single" w:sz="4" w:space="0" w:color="auto"/>
            </w:tcBorders>
            <w:shd w:val="clear" w:color="auto" w:fill="FFFFFF" w:themeFill="background1"/>
            <w:vAlign w:val="center"/>
          </w:tcPr>
          <w:p w14:paraId="3A01ED7D" w14:textId="77777777" w:rsidR="00152993" w:rsidRDefault="00EE6681">
            <w:pPr>
              <w:pStyle w:val="Header"/>
            </w:pPr>
            <w:r>
              <w:t>N</w:t>
            </w:r>
            <w:r w:rsidR="00152993">
              <w:t>PRR Title</w:t>
            </w:r>
          </w:p>
        </w:tc>
        <w:tc>
          <w:tcPr>
            <w:tcW w:w="6660" w:type="dxa"/>
            <w:tcBorders>
              <w:bottom w:val="single" w:sz="4" w:space="0" w:color="auto"/>
            </w:tcBorders>
            <w:vAlign w:val="center"/>
          </w:tcPr>
          <w:p w14:paraId="7700A7BA" w14:textId="77777777" w:rsidR="00152993" w:rsidRDefault="00B1614B">
            <w:pPr>
              <w:pStyle w:val="Header"/>
            </w:pPr>
            <w:bookmarkStart w:id="0" w:name="_Hlk214556874"/>
            <w:r>
              <w:t>Dispatchable Reliability Reserve Service Plus Energy Storage Resource Participation and Release Factor</w:t>
            </w:r>
            <w:bookmarkEnd w:id="0"/>
          </w:p>
        </w:tc>
      </w:tr>
      <w:tr w:rsidR="00152993" w14:paraId="239E699C" w14:textId="77777777" w:rsidTr="3ABFFF8D">
        <w:trPr>
          <w:trHeight w:val="413"/>
        </w:trPr>
        <w:tc>
          <w:tcPr>
            <w:tcW w:w="2880" w:type="dxa"/>
            <w:gridSpan w:val="2"/>
            <w:tcBorders>
              <w:top w:val="nil"/>
              <w:left w:val="nil"/>
              <w:bottom w:val="single" w:sz="4" w:space="0" w:color="auto"/>
              <w:right w:val="nil"/>
            </w:tcBorders>
            <w:vAlign w:val="center"/>
          </w:tcPr>
          <w:p w14:paraId="0DD4A0B7" w14:textId="77777777" w:rsidR="00152993" w:rsidRDefault="00152993">
            <w:pPr>
              <w:pStyle w:val="NormalArial"/>
            </w:pPr>
          </w:p>
        </w:tc>
        <w:tc>
          <w:tcPr>
            <w:tcW w:w="7560" w:type="dxa"/>
            <w:gridSpan w:val="2"/>
            <w:tcBorders>
              <w:top w:val="single" w:sz="4" w:space="0" w:color="auto"/>
              <w:left w:val="nil"/>
              <w:bottom w:val="nil"/>
              <w:right w:val="nil"/>
            </w:tcBorders>
            <w:vAlign w:val="center"/>
          </w:tcPr>
          <w:p w14:paraId="31264128" w14:textId="77777777" w:rsidR="00152993" w:rsidRDefault="00152993">
            <w:pPr>
              <w:pStyle w:val="NormalArial"/>
            </w:pPr>
          </w:p>
        </w:tc>
      </w:tr>
      <w:tr w:rsidR="00152993" w14:paraId="7F778E9E" w14:textId="77777777" w:rsidTr="3ABFFF8D">
        <w:trPr>
          <w:trHeight w:val="440"/>
        </w:trPr>
        <w:tc>
          <w:tcPr>
            <w:tcW w:w="2880" w:type="dxa"/>
            <w:gridSpan w:val="2"/>
            <w:tcBorders>
              <w:top w:val="single" w:sz="4" w:space="0" w:color="auto"/>
              <w:left w:val="single" w:sz="4" w:space="0" w:color="auto"/>
              <w:bottom w:val="single" w:sz="4" w:space="0" w:color="auto"/>
              <w:right w:val="single" w:sz="4" w:space="0" w:color="auto"/>
            </w:tcBorders>
            <w:vAlign w:val="center"/>
          </w:tcPr>
          <w:p w14:paraId="0F46437E" w14:textId="77777777" w:rsidR="00152993" w:rsidRDefault="00152993">
            <w:pPr>
              <w:pStyle w:val="Header"/>
            </w:pPr>
            <w:r>
              <w:t>Date</w:t>
            </w:r>
          </w:p>
        </w:tc>
        <w:tc>
          <w:tcPr>
            <w:tcW w:w="7560" w:type="dxa"/>
            <w:gridSpan w:val="2"/>
            <w:tcBorders>
              <w:top w:val="single" w:sz="4" w:space="0" w:color="auto"/>
              <w:left w:val="single" w:sz="4" w:space="0" w:color="auto"/>
              <w:bottom w:val="single" w:sz="4" w:space="0" w:color="auto"/>
              <w:right w:val="single" w:sz="4" w:space="0" w:color="auto"/>
            </w:tcBorders>
            <w:vAlign w:val="center"/>
          </w:tcPr>
          <w:p w14:paraId="1597E6A2" w14:textId="2D1E1935" w:rsidR="00152993" w:rsidRDefault="3ABFFF8D">
            <w:pPr>
              <w:pStyle w:val="NormalArial"/>
            </w:pPr>
            <w:r>
              <w:t xml:space="preserve">February </w:t>
            </w:r>
            <w:r w:rsidR="00C75E6F">
              <w:t>2</w:t>
            </w:r>
            <w:r>
              <w:t>, 2026</w:t>
            </w:r>
          </w:p>
        </w:tc>
      </w:tr>
      <w:tr w:rsidR="00152993" w14:paraId="18509604" w14:textId="77777777" w:rsidTr="3ABFFF8D">
        <w:trPr>
          <w:trHeight w:val="467"/>
        </w:trPr>
        <w:tc>
          <w:tcPr>
            <w:tcW w:w="2880" w:type="dxa"/>
            <w:gridSpan w:val="2"/>
            <w:tcBorders>
              <w:top w:val="single" w:sz="4" w:space="0" w:color="auto"/>
              <w:left w:val="nil"/>
              <w:bottom w:val="nil"/>
              <w:right w:val="nil"/>
            </w:tcBorders>
            <w:shd w:val="clear" w:color="auto" w:fill="FFFFFF" w:themeFill="background1"/>
            <w:vAlign w:val="center"/>
          </w:tcPr>
          <w:p w14:paraId="28A74553" w14:textId="77777777" w:rsidR="00152993" w:rsidRDefault="00152993">
            <w:pPr>
              <w:pStyle w:val="NormalArial"/>
            </w:pPr>
          </w:p>
        </w:tc>
        <w:tc>
          <w:tcPr>
            <w:tcW w:w="7560" w:type="dxa"/>
            <w:gridSpan w:val="2"/>
            <w:tcBorders>
              <w:top w:val="nil"/>
              <w:left w:val="nil"/>
              <w:bottom w:val="nil"/>
              <w:right w:val="nil"/>
            </w:tcBorders>
            <w:vAlign w:val="center"/>
          </w:tcPr>
          <w:p w14:paraId="341B59CB" w14:textId="77777777" w:rsidR="00152993" w:rsidRDefault="00152993">
            <w:pPr>
              <w:pStyle w:val="NormalArial"/>
            </w:pPr>
          </w:p>
        </w:tc>
      </w:tr>
      <w:tr w:rsidR="00152993" w14:paraId="6C616F50" w14:textId="77777777" w:rsidTr="3ABFFF8D">
        <w:trPr>
          <w:trHeight w:val="440"/>
        </w:trPr>
        <w:tc>
          <w:tcPr>
            <w:tcW w:w="10440" w:type="dxa"/>
            <w:gridSpan w:val="4"/>
            <w:tcBorders>
              <w:top w:val="single" w:sz="4" w:space="0" w:color="auto"/>
            </w:tcBorders>
            <w:shd w:val="clear" w:color="auto" w:fill="FFFFFF" w:themeFill="background1"/>
            <w:vAlign w:val="center"/>
          </w:tcPr>
          <w:p w14:paraId="6697E60D" w14:textId="77777777" w:rsidR="00152993" w:rsidRDefault="00152993">
            <w:pPr>
              <w:pStyle w:val="Header"/>
              <w:jc w:val="center"/>
            </w:pPr>
            <w:r>
              <w:t>Submitter’s Information</w:t>
            </w:r>
          </w:p>
        </w:tc>
      </w:tr>
      <w:tr w:rsidR="00152993" w14:paraId="791A2885" w14:textId="77777777" w:rsidTr="3ABFFF8D">
        <w:trPr>
          <w:trHeight w:val="350"/>
        </w:trPr>
        <w:tc>
          <w:tcPr>
            <w:tcW w:w="2880" w:type="dxa"/>
            <w:gridSpan w:val="2"/>
            <w:shd w:val="clear" w:color="auto" w:fill="FFFFFF" w:themeFill="background1"/>
            <w:vAlign w:val="center"/>
          </w:tcPr>
          <w:p w14:paraId="70F85429" w14:textId="77777777" w:rsidR="00152993" w:rsidRPr="00EC55B3" w:rsidRDefault="00152993" w:rsidP="00EC55B3">
            <w:pPr>
              <w:pStyle w:val="Header"/>
            </w:pPr>
            <w:r w:rsidRPr="00EC55B3">
              <w:t>Name</w:t>
            </w:r>
          </w:p>
        </w:tc>
        <w:tc>
          <w:tcPr>
            <w:tcW w:w="7560" w:type="dxa"/>
            <w:gridSpan w:val="2"/>
            <w:vAlign w:val="center"/>
          </w:tcPr>
          <w:p w14:paraId="01C18BBB" w14:textId="18C3A782" w:rsidR="00152993" w:rsidRDefault="005003F6">
            <w:pPr>
              <w:pStyle w:val="NormalArial"/>
            </w:pPr>
            <w:r>
              <w:t xml:space="preserve">Paul Townsend, </w:t>
            </w:r>
            <w:r w:rsidR="00AE3E1A">
              <w:t>Michele Richmond</w:t>
            </w:r>
          </w:p>
        </w:tc>
      </w:tr>
      <w:tr w:rsidR="00152993" w14:paraId="62904AE8" w14:textId="77777777" w:rsidTr="3ABFFF8D">
        <w:trPr>
          <w:trHeight w:val="350"/>
        </w:trPr>
        <w:tc>
          <w:tcPr>
            <w:tcW w:w="2880" w:type="dxa"/>
            <w:gridSpan w:val="2"/>
            <w:shd w:val="clear" w:color="auto" w:fill="FFFFFF" w:themeFill="background1"/>
            <w:vAlign w:val="center"/>
          </w:tcPr>
          <w:p w14:paraId="7B91813C" w14:textId="77777777" w:rsidR="00152993" w:rsidRPr="00EC55B3" w:rsidRDefault="00152993" w:rsidP="00EC55B3">
            <w:pPr>
              <w:pStyle w:val="Header"/>
            </w:pPr>
            <w:r w:rsidRPr="00EC55B3">
              <w:t>E-mail Address</w:t>
            </w:r>
          </w:p>
        </w:tc>
        <w:tc>
          <w:tcPr>
            <w:tcW w:w="7560" w:type="dxa"/>
            <w:gridSpan w:val="2"/>
            <w:vAlign w:val="center"/>
          </w:tcPr>
          <w:p w14:paraId="1817C293" w14:textId="4FCB9B91" w:rsidR="00152993" w:rsidRDefault="005003F6">
            <w:pPr>
              <w:pStyle w:val="NormalArial"/>
            </w:pPr>
            <w:hyperlink r:id="rId12" w:history="1">
              <w:r w:rsidRPr="00C679A8">
                <w:rPr>
                  <w:rStyle w:val="Hyperlink"/>
                </w:rPr>
                <w:t>paul@competitivepower.org</w:t>
              </w:r>
            </w:hyperlink>
            <w:r>
              <w:t xml:space="preserve">, </w:t>
            </w:r>
            <w:hyperlink r:id="rId13" w:history="1">
              <w:r w:rsidR="00F51720" w:rsidRPr="00143780">
                <w:rPr>
                  <w:rStyle w:val="Hyperlink"/>
                </w:rPr>
                <w:t>michele@competitivepower.org</w:t>
              </w:r>
            </w:hyperlink>
          </w:p>
        </w:tc>
      </w:tr>
      <w:tr w:rsidR="00152993" w14:paraId="5765279B" w14:textId="77777777" w:rsidTr="3ABFFF8D">
        <w:trPr>
          <w:trHeight w:val="350"/>
        </w:trPr>
        <w:tc>
          <w:tcPr>
            <w:tcW w:w="2880" w:type="dxa"/>
            <w:gridSpan w:val="2"/>
            <w:shd w:val="clear" w:color="auto" w:fill="FFFFFF" w:themeFill="background1"/>
            <w:vAlign w:val="center"/>
          </w:tcPr>
          <w:p w14:paraId="54968763" w14:textId="77777777" w:rsidR="00152993" w:rsidRPr="00EC55B3" w:rsidRDefault="00152993" w:rsidP="00EC55B3">
            <w:pPr>
              <w:pStyle w:val="Header"/>
            </w:pPr>
            <w:r w:rsidRPr="00EC55B3">
              <w:t>Company</w:t>
            </w:r>
          </w:p>
        </w:tc>
        <w:tc>
          <w:tcPr>
            <w:tcW w:w="7560" w:type="dxa"/>
            <w:gridSpan w:val="2"/>
            <w:vAlign w:val="center"/>
          </w:tcPr>
          <w:p w14:paraId="2DD4CA64" w14:textId="77777777" w:rsidR="00152993" w:rsidRDefault="00AE3E1A">
            <w:pPr>
              <w:pStyle w:val="NormalArial"/>
            </w:pPr>
            <w:r>
              <w:t>Texas Competitive Power Advocates (TCPA)</w:t>
            </w:r>
          </w:p>
        </w:tc>
      </w:tr>
      <w:tr w:rsidR="00152993" w14:paraId="1598AFA2" w14:textId="77777777" w:rsidTr="3ABFFF8D">
        <w:trPr>
          <w:trHeight w:val="350"/>
        </w:trPr>
        <w:tc>
          <w:tcPr>
            <w:tcW w:w="2880" w:type="dxa"/>
            <w:gridSpan w:val="2"/>
            <w:tcBorders>
              <w:bottom w:val="single" w:sz="4" w:space="0" w:color="auto"/>
            </w:tcBorders>
            <w:shd w:val="clear" w:color="auto" w:fill="FFFFFF" w:themeFill="background1"/>
            <w:vAlign w:val="center"/>
          </w:tcPr>
          <w:p w14:paraId="5EAD57DF" w14:textId="77777777" w:rsidR="00152993" w:rsidRPr="00EC55B3" w:rsidRDefault="00152993" w:rsidP="00EC55B3">
            <w:pPr>
              <w:pStyle w:val="Header"/>
            </w:pPr>
            <w:r w:rsidRPr="00EC55B3">
              <w:t>Phone Number</w:t>
            </w:r>
          </w:p>
        </w:tc>
        <w:tc>
          <w:tcPr>
            <w:tcW w:w="7560" w:type="dxa"/>
            <w:gridSpan w:val="2"/>
            <w:tcBorders>
              <w:bottom w:val="single" w:sz="4" w:space="0" w:color="auto"/>
            </w:tcBorders>
            <w:vAlign w:val="center"/>
          </w:tcPr>
          <w:p w14:paraId="3B10FBCD" w14:textId="3F7B7EAA" w:rsidR="00152993" w:rsidRDefault="00152993">
            <w:pPr>
              <w:pStyle w:val="NormalArial"/>
            </w:pPr>
          </w:p>
        </w:tc>
      </w:tr>
      <w:tr w:rsidR="00152993" w14:paraId="23C59250" w14:textId="77777777" w:rsidTr="3ABFFF8D">
        <w:trPr>
          <w:trHeight w:val="350"/>
        </w:trPr>
        <w:tc>
          <w:tcPr>
            <w:tcW w:w="2880" w:type="dxa"/>
            <w:gridSpan w:val="2"/>
            <w:shd w:val="clear" w:color="auto" w:fill="FFFFFF" w:themeFill="background1"/>
            <w:vAlign w:val="center"/>
          </w:tcPr>
          <w:p w14:paraId="1D968A42" w14:textId="77777777" w:rsidR="00152993" w:rsidRPr="00EC55B3" w:rsidRDefault="00075A94" w:rsidP="00EC55B3">
            <w:pPr>
              <w:pStyle w:val="Header"/>
            </w:pPr>
            <w:r>
              <w:t>Cell</w:t>
            </w:r>
            <w:r w:rsidRPr="00EC55B3">
              <w:t xml:space="preserve"> </w:t>
            </w:r>
            <w:r w:rsidR="00152993" w:rsidRPr="00EC55B3">
              <w:t>Number</w:t>
            </w:r>
          </w:p>
        </w:tc>
        <w:tc>
          <w:tcPr>
            <w:tcW w:w="7560" w:type="dxa"/>
            <w:gridSpan w:val="2"/>
            <w:vAlign w:val="center"/>
          </w:tcPr>
          <w:p w14:paraId="3342C67E" w14:textId="41880DF8" w:rsidR="00152993" w:rsidRDefault="005003F6">
            <w:pPr>
              <w:pStyle w:val="NormalArial"/>
            </w:pPr>
            <w:r>
              <w:t xml:space="preserve">512-853-0655, </w:t>
            </w:r>
            <w:r w:rsidR="00AE3E1A">
              <w:t>512-653-7447</w:t>
            </w:r>
          </w:p>
        </w:tc>
      </w:tr>
      <w:tr w:rsidR="00075A94" w14:paraId="1C3DC4C2" w14:textId="77777777" w:rsidTr="3ABFFF8D">
        <w:trPr>
          <w:trHeight w:val="350"/>
        </w:trPr>
        <w:tc>
          <w:tcPr>
            <w:tcW w:w="2880" w:type="dxa"/>
            <w:gridSpan w:val="2"/>
            <w:tcBorders>
              <w:bottom w:val="single" w:sz="4" w:space="0" w:color="auto"/>
            </w:tcBorders>
            <w:shd w:val="clear" w:color="auto" w:fill="FFFFFF" w:themeFill="background1"/>
            <w:vAlign w:val="center"/>
          </w:tcPr>
          <w:p w14:paraId="6D8AC5ED" w14:textId="77777777" w:rsidR="00075A94" w:rsidRPr="00EC55B3" w:rsidDel="00075A94" w:rsidRDefault="00075A94" w:rsidP="00EC55B3">
            <w:pPr>
              <w:pStyle w:val="Header"/>
            </w:pPr>
            <w:r>
              <w:t>Market Segment</w:t>
            </w:r>
          </w:p>
        </w:tc>
        <w:tc>
          <w:tcPr>
            <w:tcW w:w="7560" w:type="dxa"/>
            <w:gridSpan w:val="2"/>
            <w:tcBorders>
              <w:bottom w:val="single" w:sz="4" w:space="0" w:color="auto"/>
            </w:tcBorders>
            <w:vAlign w:val="center"/>
          </w:tcPr>
          <w:p w14:paraId="7FD7FE25" w14:textId="7FB712C6" w:rsidR="00075A94" w:rsidRDefault="00B1614B">
            <w:pPr>
              <w:pStyle w:val="NormalArial"/>
            </w:pPr>
            <w:r>
              <w:t>Independent Generator</w:t>
            </w:r>
            <w:r w:rsidR="00F51720">
              <w:t xml:space="preserve"> </w:t>
            </w:r>
            <w:r w:rsidR="00AE3E1A">
              <w:t>/ Independent Power Marketer</w:t>
            </w:r>
          </w:p>
        </w:tc>
      </w:tr>
    </w:tbl>
    <w:p w14:paraId="31F3B31A" w14:textId="77777777" w:rsidR="00075A94" w:rsidRDefault="00075A94">
      <w:pPr>
        <w:pStyle w:val="NormalArial"/>
      </w:pPr>
    </w:p>
    <w:tbl>
      <w:tblPr>
        <w:tblW w:w="10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40"/>
      </w:tblGrid>
      <w:tr w:rsidR="00075A94" w:rsidRPr="00B5080A" w14:paraId="1C817625" w14:textId="77777777" w:rsidTr="00B5080A">
        <w:trPr>
          <w:trHeight w:val="422"/>
          <w:jc w:val="center"/>
        </w:trPr>
        <w:tc>
          <w:tcPr>
            <w:tcW w:w="10440" w:type="dxa"/>
            <w:vAlign w:val="center"/>
          </w:tcPr>
          <w:p w14:paraId="6D2AC2D6" w14:textId="77777777" w:rsidR="00075A94" w:rsidRPr="00075A94" w:rsidRDefault="00075A94" w:rsidP="00B5080A">
            <w:pPr>
              <w:pStyle w:val="Header"/>
              <w:jc w:val="center"/>
            </w:pPr>
            <w:r w:rsidRPr="00075A94">
              <w:t>Comments</w:t>
            </w:r>
          </w:p>
        </w:tc>
      </w:tr>
    </w:tbl>
    <w:p w14:paraId="2D9E1A39" w14:textId="77777777" w:rsidR="00152993" w:rsidRDefault="00152993">
      <w:pPr>
        <w:pStyle w:val="NormalArial"/>
      </w:pPr>
    </w:p>
    <w:p w14:paraId="070B68CB" w14:textId="50B25230" w:rsidR="00B014FD" w:rsidRDefault="00AE3E1A" w:rsidP="00627D34">
      <w:pPr>
        <w:pStyle w:val="NormalArial"/>
        <w:jc w:val="both"/>
        <w:rPr>
          <w:vertAlign w:val="superscript"/>
        </w:rPr>
      </w:pPr>
      <w:r>
        <w:t>Texas Competitive Power Advocates (TCPA)</w:t>
      </w:r>
      <w:r w:rsidR="00B1614B">
        <w:t xml:space="preserve"> </w:t>
      </w:r>
      <w:r w:rsidR="00EC3E35">
        <w:t>submits these comments</w:t>
      </w:r>
      <w:r w:rsidR="00B014FD">
        <w:t xml:space="preserve"> regarding</w:t>
      </w:r>
      <w:r w:rsidR="00EC3E35">
        <w:t xml:space="preserve"> </w:t>
      </w:r>
      <w:r w:rsidR="00B014FD">
        <w:t>Nodal Protocol Revision Request (NPRR) 1310 in response to comments filed</w:t>
      </w:r>
      <w:r w:rsidR="00007C6B">
        <w:t xml:space="preserve"> on January 28, 2026,</w:t>
      </w:r>
      <w:r w:rsidR="00B014FD">
        <w:t xml:space="preserve"> by other stakeholders, namely the Lower Colorado River Authority (LCRA) and Texas Industrial Energy Consumers (TIEC). Generally, TCPA supports LCRA’s position that resource adequacy tools are needed now and NPRR1310 could be developed as such a tool</w:t>
      </w:r>
      <w:r w:rsidR="0021424E">
        <w:t>,</w:t>
      </w:r>
      <w:r w:rsidR="00B014FD">
        <w:t xml:space="preserve"> and </w:t>
      </w:r>
      <w:r w:rsidR="00A4280F">
        <w:t>disagrees with</w:t>
      </w:r>
      <w:r w:rsidR="00B014FD">
        <w:t xml:space="preserve"> TIEC to the extent it is suggesting resource adequacy solutions are premature and unnecessary.</w:t>
      </w:r>
      <w:r w:rsidR="00B014FD">
        <w:rPr>
          <w:rStyle w:val="FootnoteReference"/>
        </w:rPr>
        <w:footnoteReference w:id="1"/>
      </w:r>
      <w:r w:rsidR="00D40D67" w:rsidRPr="00D40D67">
        <w:rPr>
          <w:vertAlign w:val="superscript"/>
        </w:rPr>
        <w:t>,</w:t>
      </w:r>
      <w:r w:rsidR="00B014FD">
        <w:rPr>
          <w:rStyle w:val="FootnoteReference"/>
        </w:rPr>
        <w:footnoteReference w:id="2"/>
      </w:r>
    </w:p>
    <w:p w14:paraId="5BF3D9E9" w14:textId="77777777" w:rsidR="009125AB" w:rsidRDefault="009125AB" w:rsidP="00627D34">
      <w:pPr>
        <w:pStyle w:val="NormalArial"/>
        <w:jc w:val="both"/>
        <w:rPr>
          <w:vertAlign w:val="superscript"/>
        </w:rPr>
      </w:pPr>
    </w:p>
    <w:p w14:paraId="32BAA18A" w14:textId="20E714BF" w:rsidR="009125AB" w:rsidRPr="009125AB" w:rsidRDefault="009125AB" w:rsidP="00627D34">
      <w:pPr>
        <w:pStyle w:val="NormalArial"/>
        <w:jc w:val="both"/>
        <w:rPr>
          <w:b/>
          <w:bCs/>
        </w:rPr>
      </w:pPr>
      <w:r>
        <w:rPr>
          <w:b/>
          <w:bCs/>
        </w:rPr>
        <w:t>ERCOT urgently needs a resource adequacy solution.</w:t>
      </w:r>
    </w:p>
    <w:p w14:paraId="6E4F6DC5" w14:textId="77777777" w:rsidR="00B014FD" w:rsidRDefault="00B014FD" w:rsidP="00627D34">
      <w:pPr>
        <w:pStyle w:val="NormalArial"/>
        <w:jc w:val="both"/>
      </w:pPr>
    </w:p>
    <w:p w14:paraId="58831468" w14:textId="10B92904" w:rsidR="00DF2368" w:rsidRDefault="00D40D67" w:rsidP="00627D34">
      <w:pPr>
        <w:pStyle w:val="NormalArial"/>
        <w:jc w:val="both"/>
      </w:pPr>
      <w:r>
        <w:t xml:space="preserve">As LCRA noted in their comments, ERCOT needs a comprehensive resource adequacy solution and </w:t>
      </w:r>
      <w:r w:rsidR="00DF2368">
        <w:t>the design of NPRR1310 could be modified to be a resource adequacy tool</w:t>
      </w:r>
      <w:r w:rsidR="00C51A9B">
        <w:t xml:space="preserve"> given that “numerous resource adequacy studies have indicated that ERCOT lacks sufficient long-duration capacity to meet the reliability standard in the absence of </w:t>
      </w:r>
      <w:r w:rsidR="00C51A9B" w:rsidRPr="3ABFFF8D">
        <w:rPr>
          <w:i/>
          <w:iCs/>
        </w:rPr>
        <w:t>significant</w:t>
      </w:r>
      <w:r w:rsidR="00C51A9B">
        <w:t xml:space="preserve"> market design improvements.”</w:t>
      </w:r>
      <w:r w:rsidR="00E75568">
        <w:rPr>
          <w:rStyle w:val="FootnoteReference"/>
        </w:rPr>
        <w:footnoteReference w:id="3"/>
      </w:r>
      <w:r w:rsidR="00DF2368">
        <w:t xml:space="preserve"> </w:t>
      </w:r>
      <w:r w:rsidR="00917D0F">
        <w:t xml:space="preserve">These assertions are supported by </w:t>
      </w:r>
      <w:r w:rsidR="00C51A9B">
        <w:t>t</w:t>
      </w:r>
      <w:r w:rsidR="002623F9">
        <w:t>he</w:t>
      </w:r>
      <w:r w:rsidR="00C51A9B">
        <w:t xml:space="preserve"> </w:t>
      </w:r>
      <w:r w:rsidR="005E0AAB">
        <w:t xml:space="preserve">recent </w:t>
      </w:r>
      <w:r w:rsidR="002623F9">
        <w:t>A</w:t>
      </w:r>
      <w:r w:rsidR="00F3090D">
        <w:t>ssessment of Resource Adequacy Needs in ERCOT</w:t>
      </w:r>
      <w:r w:rsidR="002623F9">
        <w:t xml:space="preserve"> </w:t>
      </w:r>
      <w:r w:rsidR="00F3090D">
        <w:t xml:space="preserve">and Impact of Market Design </w:t>
      </w:r>
      <w:r w:rsidR="00F3090D">
        <w:lastRenderedPageBreak/>
        <w:t>Changes</w:t>
      </w:r>
      <w:r w:rsidR="00917D0F">
        <w:t xml:space="preserve"> in which </w:t>
      </w:r>
      <w:r w:rsidR="00F3090D">
        <w:t>Aurora Energy Research</w:t>
      </w:r>
      <w:r w:rsidR="00C51A9B">
        <w:t xml:space="preserve"> concluded that </w:t>
      </w:r>
      <w:r w:rsidR="005E0AAB">
        <w:t>under the status quo ERCOT could face load-shedding during extreme weather conditions</w:t>
      </w:r>
      <w:r w:rsidR="007748FD">
        <w:t xml:space="preserve"> by 2030</w:t>
      </w:r>
      <w:r w:rsidR="005E0AAB">
        <w:t>.</w:t>
      </w:r>
      <w:r w:rsidR="007748FD">
        <w:rPr>
          <w:rStyle w:val="FootnoteReference"/>
        </w:rPr>
        <w:footnoteReference w:id="4"/>
      </w:r>
      <w:r w:rsidR="005E0AAB">
        <w:t xml:space="preserve"> </w:t>
      </w:r>
      <w:r w:rsidR="00917D0F" w:rsidRPr="00917D0F">
        <w:t xml:space="preserve">Aurora’s analysis showed that when compared with Dispatchable Reliability Reserve Service Ancillary Service (DRRS) implementation and Operating Reserve Demand Curve (ORDC) changes, the Dispatchable </w:t>
      </w:r>
      <w:r w:rsidR="00C51A9B" w:rsidRPr="00917D0F">
        <w:t xml:space="preserve">Reliability Reserve Service Ancillary Service Plus (DRRS+) concept contained in NPRR1310 </w:t>
      </w:r>
      <w:r w:rsidR="005E0AAB" w:rsidRPr="00917D0F">
        <w:t>“provides the largest reliability improvement at the lowest system cost</w:t>
      </w:r>
      <w:r w:rsidR="00917D0F" w:rsidRPr="00917D0F">
        <w:t>.</w:t>
      </w:r>
      <w:r w:rsidR="005E0AAB" w:rsidRPr="00917D0F">
        <w:t>”</w:t>
      </w:r>
      <w:r w:rsidR="00E75568">
        <w:rPr>
          <w:rStyle w:val="FootnoteReference"/>
        </w:rPr>
        <w:footnoteReference w:id="5"/>
      </w:r>
      <w:r w:rsidR="005E0AAB" w:rsidRPr="00917D0F">
        <w:t xml:space="preserve"> </w:t>
      </w:r>
    </w:p>
    <w:p w14:paraId="5E8D61D4" w14:textId="77777777" w:rsidR="00DF2368" w:rsidRDefault="00DF2368" w:rsidP="00627D34">
      <w:pPr>
        <w:pStyle w:val="NormalArial"/>
        <w:jc w:val="both"/>
      </w:pPr>
    </w:p>
    <w:p w14:paraId="76D381D5" w14:textId="723F8900" w:rsidR="00D74C56" w:rsidRDefault="00ED23D2" w:rsidP="00627D34">
      <w:pPr>
        <w:pStyle w:val="NormalArial"/>
        <w:jc w:val="both"/>
      </w:pPr>
      <w:r>
        <w:t xml:space="preserve">While TCPA is still evaluating </w:t>
      </w:r>
      <w:r w:rsidR="007748FD">
        <w:t>DRRS+</w:t>
      </w:r>
      <w:r>
        <w:t xml:space="preserve">, </w:t>
      </w:r>
      <w:r w:rsidR="00627D34">
        <w:t xml:space="preserve">TCPA has </w:t>
      </w:r>
      <w:r w:rsidR="00765288">
        <w:t xml:space="preserve">long </w:t>
      </w:r>
      <w:r w:rsidR="006107F9">
        <w:t>recognized the need</w:t>
      </w:r>
      <w:r w:rsidR="00627D34">
        <w:t xml:space="preserve"> for a resource adequacy </w:t>
      </w:r>
      <w:r w:rsidR="006654E6">
        <w:t>tool</w:t>
      </w:r>
      <w:r w:rsidR="006107F9">
        <w:t xml:space="preserve"> in ERCOT. For example, </w:t>
      </w:r>
      <w:r w:rsidR="00F20D9E">
        <w:t>TCPA</w:t>
      </w:r>
      <w:r w:rsidR="00747BA8">
        <w:t xml:space="preserve"> indicated </w:t>
      </w:r>
      <w:r w:rsidR="00B510D5">
        <w:t xml:space="preserve">in 2021 </w:t>
      </w:r>
      <w:r w:rsidR="00747BA8">
        <w:t xml:space="preserve">that any number of options before the </w:t>
      </w:r>
      <w:r w:rsidR="3ABFFF8D">
        <w:t>Public Utility Commission of Texas (</w:t>
      </w:r>
      <w:r w:rsidR="00747BA8">
        <w:t>PUCT</w:t>
      </w:r>
      <w:r w:rsidR="3ABFFF8D">
        <w:t>)</w:t>
      </w:r>
      <w:r w:rsidR="00B510D5">
        <w:t xml:space="preserve"> could achieve resource adequacy</w:t>
      </w:r>
      <w:r w:rsidR="3ABFFF8D">
        <w:t>.</w:t>
      </w:r>
      <w:r w:rsidR="00B510D5">
        <w:t xml:space="preserve"> </w:t>
      </w:r>
      <w:r w:rsidR="3ABFFF8D">
        <w:t>O</w:t>
      </w:r>
      <w:r w:rsidR="00B510D5">
        <w:t>nce the PUCT chose the</w:t>
      </w:r>
      <w:r w:rsidR="3ABFFF8D">
        <w:t xml:space="preserve"> Performance Credit Mechanism (</w:t>
      </w:r>
      <w:r w:rsidR="00B510D5">
        <w:t>PCM</w:t>
      </w:r>
      <w:r w:rsidR="3ABFFF8D">
        <w:t>)</w:t>
      </w:r>
      <w:r w:rsidR="00B510D5">
        <w:t>, TCPA</w:t>
      </w:r>
      <w:r w:rsidR="00747BA8">
        <w:t xml:space="preserve"> </w:t>
      </w:r>
      <w:r w:rsidR="00F20D9E">
        <w:t xml:space="preserve"> supported </w:t>
      </w:r>
      <w:r w:rsidR="00C62C06">
        <w:t xml:space="preserve">it </w:t>
      </w:r>
      <w:r w:rsidR="006107F9">
        <w:t xml:space="preserve">because </w:t>
      </w:r>
      <w:r w:rsidR="00C62C06">
        <w:t xml:space="preserve">the PCM </w:t>
      </w:r>
      <w:r w:rsidR="006107F9">
        <w:t>would have created “a competitive solution for the most important aspect of reliability in the ERCOT region – resource adequacy.”</w:t>
      </w:r>
      <w:r w:rsidR="006107F9">
        <w:rPr>
          <w:rStyle w:val="FootnoteReference"/>
        </w:rPr>
        <w:footnoteReference w:id="6"/>
      </w:r>
      <w:r w:rsidR="00CC4A5E">
        <w:t xml:space="preserve"> </w:t>
      </w:r>
      <w:r w:rsidR="00D40D67">
        <w:t>Although</w:t>
      </w:r>
      <w:r w:rsidR="006654E6">
        <w:t xml:space="preserve"> the PCM </w:t>
      </w:r>
      <w:r w:rsidR="00380055">
        <w:t>was ultimately</w:t>
      </w:r>
      <w:r w:rsidR="006654E6">
        <w:t xml:space="preserve"> shelved by the </w:t>
      </w:r>
      <w:r w:rsidR="00B014FD">
        <w:t>PUCT</w:t>
      </w:r>
      <w:r w:rsidR="0070369E">
        <w:t xml:space="preserve"> after the </w:t>
      </w:r>
      <w:r w:rsidR="000A4A7A">
        <w:t>imposition of</w:t>
      </w:r>
      <w:r w:rsidR="0070369E">
        <w:t xml:space="preserve"> a cost cap</w:t>
      </w:r>
      <w:r w:rsidR="006654E6">
        <w:t xml:space="preserve">, the necessity </w:t>
      </w:r>
      <w:r w:rsidR="00380055">
        <w:t xml:space="preserve">for </w:t>
      </w:r>
      <w:r w:rsidR="006654E6">
        <w:t>a resource adequacy solution in ERCOT remains.</w:t>
      </w:r>
      <w:r>
        <w:t xml:space="preserve"> </w:t>
      </w:r>
      <w:r w:rsidR="007748FD">
        <w:t xml:space="preserve">In fact, </w:t>
      </w:r>
      <w:r w:rsidR="007748FD" w:rsidRPr="007748FD">
        <w:t>the 2025 Long-Term Reliability Assessment by the North American Electric Reliability Corporation (NERC) found ERCOT to be at High Risk as “planned resources as of July 2025 would result in energy shortfalls that exceed resource adequacy targets or baseline criteria for unserved energy or loss of load.”</w:t>
      </w:r>
      <w:r w:rsidR="007748FD" w:rsidRPr="007748FD">
        <w:rPr>
          <w:rStyle w:val="FootnoteReference"/>
        </w:rPr>
        <w:footnoteReference w:id="7"/>
      </w:r>
      <w:r w:rsidR="009125AB">
        <w:t xml:space="preserve"> </w:t>
      </w:r>
      <w:r w:rsidR="00166C82">
        <w:t>TCPA currently</w:t>
      </w:r>
      <w:r w:rsidR="00995BC0">
        <w:t xml:space="preserve"> remains </w:t>
      </w:r>
      <w:r w:rsidR="00166C82">
        <w:t xml:space="preserve">agnostic on whether the solution is PCM, DRRS+, or something else that is based on sound economic principles to support resource adequacy, but </w:t>
      </w:r>
      <w:r w:rsidR="00D40D67">
        <w:t xml:space="preserve">TCPA urges ERCOT </w:t>
      </w:r>
      <w:r w:rsidR="00CE3EDE">
        <w:t xml:space="preserve">to </w:t>
      </w:r>
      <w:r w:rsidR="00D40D67">
        <w:t xml:space="preserve">continue working </w:t>
      </w:r>
      <w:r w:rsidR="00DF2368">
        <w:t xml:space="preserve">diligently </w:t>
      </w:r>
      <w:r w:rsidR="00D40D67">
        <w:t xml:space="preserve">with stakeholders to develop </w:t>
      </w:r>
      <w:r w:rsidR="009125AB">
        <w:t>a resource adequacy tool</w:t>
      </w:r>
      <w:r w:rsidR="00D74C56">
        <w:t xml:space="preserve"> that sends the market signals needed to meet the expected demand growth. </w:t>
      </w:r>
    </w:p>
    <w:p w14:paraId="4EAFB6AC" w14:textId="77777777" w:rsidR="00CD6C7F" w:rsidRDefault="00CD6C7F" w:rsidP="00627D34">
      <w:pPr>
        <w:pStyle w:val="NormalArial"/>
        <w:jc w:val="both"/>
      </w:pPr>
    </w:p>
    <w:p w14:paraId="6E962CB4" w14:textId="70A703D4" w:rsidR="00CC4A5E" w:rsidRPr="009125AB" w:rsidRDefault="009125AB" w:rsidP="00627D34">
      <w:pPr>
        <w:pStyle w:val="NormalArial"/>
        <w:jc w:val="both"/>
        <w:rPr>
          <w:b/>
          <w:bCs/>
        </w:rPr>
      </w:pPr>
      <w:r w:rsidRPr="009125AB">
        <w:rPr>
          <w:b/>
          <w:bCs/>
        </w:rPr>
        <w:t xml:space="preserve">Delaying </w:t>
      </w:r>
      <w:r w:rsidR="00D01921">
        <w:rPr>
          <w:b/>
          <w:bCs/>
        </w:rPr>
        <w:t xml:space="preserve">development of </w:t>
      </w:r>
      <w:r w:rsidRPr="009125AB">
        <w:rPr>
          <w:b/>
          <w:bCs/>
        </w:rPr>
        <w:t>a resource adequacy solution puts the grid at risk.</w:t>
      </w:r>
    </w:p>
    <w:p w14:paraId="523D924C" w14:textId="77777777" w:rsidR="009125AB" w:rsidRDefault="009125AB" w:rsidP="00627D34">
      <w:pPr>
        <w:pStyle w:val="NormalArial"/>
        <w:jc w:val="both"/>
      </w:pPr>
    </w:p>
    <w:p w14:paraId="5AF5D382" w14:textId="16953A7B" w:rsidR="00D01921" w:rsidRDefault="00007C6B" w:rsidP="00D01921">
      <w:pPr>
        <w:pStyle w:val="NormalArial"/>
        <w:jc w:val="both"/>
        <w:rPr>
          <w:b/>
          <w:bCs/>
        </w:rPr>
      </w:pPr>
      <w:r>
        <w:t xml:space="preserve">Conversely, </w:t>
      </w:r>
      <w:r w:rsidR="00627D34">
        <w:t xml:space="preserve">TCPA </w:t>
      </w:r>
      <w:r>
        <w:t xml:space="preserve">is </w:t>
      </w:r>
      <w:r w:rsidR="00627D34">
        <w:t xml:space="preserve">concerned about </w:t>
      </w:r>
      <w:r>
        <w:t>TIEC’s</w:t>
      </w:r>
      <w:r w:rsidR="00627D34">
        <w:t xml:space="preserve"> </w:t>
      </w:r>
      <w:r w:rsidR="00506DE1">
        <w:t>suggestion</w:t>
      </w:r>
      <w:r>
        <w:t xml:space="preserve"> that ERCOT should </w:t>
      </w:r>
      <w:r w:rsidR="00E93CAA">
        <w:t>postpone consideration</w:t>
      </w:r>
      <w:r>
        <w:t xml:space="preserve"> of </w:t>
      </w:r>
      <w:r w:rsidR="00F7118D">
        <w:t xml:space="preserve">potential </w:t>
      </w:r>
      <w:r w:rsidR="00E55F69">
        <w:t>market design changes needed to meet reliability</w:t>
      </w:r>
      <w:r w:rsidR="00016388">
        <w:t xml:space="preserve">. </w:t>
      </w:r>
      <w:r w:rsidR="00D01921">
        <w:t>Although it remains to be seen if DRRS+ may be an appropriate resource adequacy mechanism</w:t>
      </w:r>
      <w:r w:rsidR="00D31106">
        <w:t xml:space="preserve"> tool</w:t>
      </w:r>
      <w:r w:rsidR="00D01921">
        <w:t xml:space="preserve">, Aurora found that DRRS on its own will not provide a significant reliability benefit: “DRRS Ancillary Service Plus provides the largest reliability improvement at the lowest system cost. An Extended ORDC provides less reliability benefit at a higher cost, while </w:t>
      </w:r>
      <w:r w:rsidR="00D01921" w:rsidRPr="504C0F1A">
        <w:rPr>
          <w:b/>
          <w:bCs/>
        </w:rPr>
        <w:t>DRRS Ancillary Service offers comparatively limited improvement.”</w:t>
      </w:r>
      <w:r w:rsidRPr="504C0F1A">
        <w:rPr>
          <w:rStyle w:val="FootnoteReference"/>
          <w:b/>
          <w:bCs/>
        </w:rPr>
        <w:footnoteReference w:id="8"/>
      </w:r>
    </w:p>
    <w:p w14:paraId="0349E808" w14:textId="77777777" w:rsidR="00D01921" w:rsidRDefault="00D01921" w:rsidP="00D01921">
      <w:pPr>
        <w:pStyle w:val="NormalArial"/>
        <w:jc w:val="both"/>
      </w:pPr>
    </w:p>
    <w:p w14:paraId="5A51E5EE" w14:textId="5BB3E533" w:rsidR="0093426B" w:rsidRPr="0093426B" w:rsidRDefault="00E93CAA" w:rsidP="00F7118D">
      <w:pPr>
        <w:pStyle w:val="NormalArial"/>
        <w:jc w:val="both"/>
      </w:pPr>
      <w:r>
        <w:t xml:space="preserve">As discussed above, the </w:t>
      </w:r>
      <w:r w:rsidR="005D4D17">
        <w:t xml:space="preserve">available evidence strongly suggests </w:t>
      </w:r>
      <w:r>
        <w:t>ERCOT will need more long-term dispatchable generation by 2030 and beyond</w:t>
      </w:r>
      <w:r w:rsidR="3ABFFF8D">
        <w:t xml:space="preserve">, and policymakers have </w:t>
      </w:r>
      <w:proofErr w:type="gramStart"/>
      <w:r w:rsidR="3ABFFF8D">
        <w:t>made it</w:t>
      </w:r>
      <w:proofErr w:type="gramEnd"/>
      <w:r w:rsidR="3ABFFF8D">
        <w:t xml:space="preserve"> clear through the Texas Energy Fund (TEF) that they would like to see that generation as soon as possible</w:t>
      </w:r>
      <w:r>
        <w:t>.</w:t>
      </w:r>
      <w:r w:rsidR="00016388">
        <w:t xml:space="preserve"> </w:t>
      </w:r>
      <w:r w:rsidR="00F7118D">
        <w:t xml:space="preserve">Therefore, </w:t>
      </w:r>
      <w:r w:rsidR="00D01921">
        <w:t xml:space="preserve">TCPA believes there is value in continuing to </w:t>
      </w:r>
      <w:r w:rsidR="3ABFFF8D">
        <w:t>examine</w:t>
      </w:r>
      <w:r w:rsidR="00D01921">
        <w:t xml:space="preserve"> DRRS+ and market-based mechanisms t</w:t>
      </w:r>
      <w:r w:rsidR="00F7118D">
        <w:t xml:space="preserve">hat could send the signals needed to ensure </w:t>
      </w:r>
      <w:r w:rsidR="000B5093">
        <w:t xml:space="preserve">the reliability standard is met by dispatchable resources with seasonally appropriate attributes, including the ability “to ensure winter performance </w:t>
      </w:r>
      <w:r w:rsidR="000B5093" w:rsidRPr="3ABFFF8D">
        <w:rPr>
          <w:i/>
          <w:iCs/>
        </w:rPr>
        <w:t>for several days</w:t>
      </w:r>
      <w:r w:rsidR="000B5093">
        <w:t>.”</w:t>
      </w:r>
      <w:r w:rsidR="000B5093">
        <w:rPr>
          <w:rStyle w:val="FootnoteReference"/>
        </w:rPr>
        <w:footnoteReference w:id="9"/>
      </w:r>
      <w:r w:rsidR="000B5093">
        <w:t xml:space="preserve"> </w:t>
      </w:r>
    </w:p>
    <w:p w14:paraId="68A2ADC9" w14:textId="77777777" w:rsidR="00F51720" w:rsidRDefault="00F51720" w:rsidP="00F51720">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F51720" w14:paraId="32E98A1B" w14:textId="77777777" w:rsidTr="00963D8F">
        <w:trPr>
          <w:trHeight w:val="350"/>
        </w:trPr>
        <w:tc>
          <w:tcPr>
            <w:tcW w:w="10440" w:type="dxa"/>
            <w:tcBorders>
              <w:bottom w:val="single" w:sz="4" w:space="0" w:color="auto"/>
            </w:tcBorders>
            <w:shd w:val="clear" w:color="auto" w:fill="FFFFFF"/>
            <w:vAlign w:val="center"/>
          </w:tcPr>
          <w:p w14:paraId="43F1EBA2" w14:textId="77777777" w:rsidR="00F51720" w:rsidRDefault="00F51720" w:rsidP="00963D8F">
            <w:pPr>
              <w:pStyle w:val="Header"/>
              <w:jc w:val="center"/>
            </w:pPr>
            <w:r>
              <w:t>Revised Cover Page Language</w:t>
            </w:r>
          </w:p>
        </w:tc>
      </w:tr>
    </w:tbl>
    <w:p w14:paraId="04217BDE" w14:textId="492760D4" w:rsidR="00F51720" w:rsidRDefault="00F51720" w:rsidP="00F51720">
      <w:pPr>
        <w:pStyle w:val="NormalArial"/>
        <w:spacing w:before="120" w:after="120"/>
      </w:pPr>
      <w:bookmarkStart w:id="1" w:name="_Hlk215662352"/>
      <w:r>
        <w:t>None</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F51720" w14:paraId="08822A3E" w14:textId="77777777" w:rsidTr="00963D8F">
        <w:trPr>
          <w:trHeight w:val="350"/>
        </w:trPr>
        <w:tc>
          <w:tcPr>
            <w:tcW w:w="10440" w:type="dxa"/>
            <w:tcBorders>
              <w:bottom w:val="single" w:sz="4" w:space="0" w:color="auto"/>
            </w:tcBorders>
            <w:shd w:val="clear" w:color="auto" w:fill="FFFFFF"/>
            <w:vAlign w:val="center"/>
          </w:tcPr>
          <w:bookmarkEnd w:id="1"/>
          <w:p w14:paraId="1399A601" w14:textId="77777777" w:rsidR="00F51720" w:rsidRDefault="00F51720" w:rsidP="00963D8F">
            <w:pPr>
              <w:pStyle w:val="Header"/>
              <w:jc w:val="center"/>
            </w:pPr>
            <w:r>
              <w:t>Revised Proposed Protocol Language</w:t>
            </w:r>
          </w:p>
        </w:tc>
      </w:tr>
    </w:tbl>
    <w:p w14:paraId="0BEE3A63" w14:textId="63B4E872" w:rsidR="00BD7258" w:rsidRDefault="00F51720" w:rsidP="00F51720">
      <w:pPr>
        <w:pStyle w:val="NormalArial"/>
        <w:spacing w:before="120" w:after="120"/>
      </w:pPr>
      <w:r>
        <w:t>None</w:t>
      </w:r>
    </w:p>
    <w:sectPr w:rsidR="00BD7258" w:rsidSect="0074209E">
      <w:headerReference w:type="default" r:id="rId14"/>
      <w:footerReference w:type="default" r:id="rId15"/>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51F6B3" w14:textId="77777777" w:rsidR="00925D8F" w:rsidRDefault="00925D8F">
      <w:r>
        <w:separator/>
      </w:r>
    </w:p>
  </w:endnote>
  <w:endnote w:type="continuationSeparator" w:id="0">
    <w:p w14:paraId="47DE91ED" w14:textId="77777777" w:rsidR="00925D8F" w:rsidRDefault="00925D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FDB7C" w14:textId="2D8A768E" w:rsidR="00EE6681" w:rsidRDefault="00604512" w:rsidP="0074209E">
    <w:pPr>
      <w:pStyle w:val="Footer"/>
      <w:tabs>
        <w:tab w:val="clear" w:pos="4320"/>
        <w:tab w:val="clear" w:pos="8640"/>
        <w:tab w:val="right" w:pos="9360"/>
      </w:tabs>
      <w:rPr>
        <w:rFonts w:ascii="Arial" w:hAnsi="Arial"/>
        <w:sz w:val="18"/>
      </w:rPr>
    </w:pPr>
    <w:r>
      <w:rPr>
        <w:rFonts w:ascii="Arial" w:hAnsi="Arial"/>
        <w:sz w:val="18"/>
      </w:rPr>
      <w:fldChar w:fldCharType="begin"/>
    </w:r>
    <w:r>
      <w:rPr>
        <w:rFonts w:ascii="Arial" w:hAnsi="Arial"/>
        <w:sz w:val="18"/>
      </w:rPr>
      <w:instrText xml:space="preserve"> FILENAME   \* MERGEFORMAT </w:instrText>
    </w:r>
    <w:r>
      <w:rPr>
        <w:rFonts w:ascii="Arial" w:hAnsi="Arial"/>
        <w:sz w:val="18"/>
      </w:rPr>
      <w:fldChar w:fldCharType="separate"/>
    </w:r>
    <w:r w:rsidR="005400BF">
      <w:rPr>
        <w:rFonts w:ascii="Arial" w:hAnsi="Arial"/>
        <w:noProof/>
        <w:sz w:val="18"/>
      </w:rPr>
      <w:t>1310NPRR-11 TCPA Comments 020226</w:t>
    </w:r>
    <w:r>
      <w:rPr>
        <w:rFonts w:ascii="Arial" w:hAnsi="Arial"/>
        <w:sz w:val="18"/>
      </w:rPr>
      <w:fldChar w:fldCharType="end"/>
    </w:r>
    <w:r w:rsidR="00EE6681">
      <w:rPr>
        <w:rFonts w:ascii="Arial" w:hAnsi="Arial"/>
        <w:sz w:val="18"/>
      </w:rPr>
      <w:tab/>
      <w:t xml:space="preserve">Page </w:t>
    </w:r>
    <w:r w:rsidR="00EE6681">
      <w:rPr>
        <w:rFonts w:ascii="Arial" w:hAnsi="Arial"/>
        <w:sz w:val="18"/>
      </w:rPr>
      <w:fldChar w:fldCharType="begin"/>
    </w:r>
    <w:r w:rsidR="00EE6681">
      <w:rPr>
        <w:rFonts w:ascii="Arial" w:hAnsi="Arial"/>
        <w:sz w:val="18"/>
      </w:rPr>
      <w:instrText xml:space="preserve"> PAGE </w:instrText>
    </w:r>
    <w:r w:rsidR="00EE6681">
      <w:rPr>
        <w:rFonts w:ascii="Arial" w:hAnsi="Arial"/>
        <w:sz w:val="18"/>
      </w:rPr>
      <w:fldChar w:fldCharType="separate"/>
    </w:r>
    <w:r>
      <w:rPr>
        <w:rFonts w:ascii="Arial" w:hAnsi="Arial"/>
        <w:noProof/>
        <w:sz w:val="18"/>
      </w:rPr>
      <w:t>1</w:t>
    </w:r>
    <w:r w:rsidR="00EE6681">
      <w:rPr>
        <w:rFonts w:ascii="Arial" w:hAnsi="Arial"/>
        <w:sz w:val="18"/>
      </w:rPr>
      <w:fldChar w:fldCharType="end"/>
    </w:r>
    <w:r w:rsidR="00EE6681">
      <w:rPr>
        <w:rFonts w:ascii="Arial" w:hAnsi="Arial"/>
        <w:sz w:val="18"/>
      </w:rPr>
      <w:t xml:space="preserve"> of </w:t>
    </w:r>
    <w:r w:rsidR="00EE6681">
      <w:rPr>
        <w:rFonts w:ascii="Arial" w:hAnsi="Arial"/>
        <w:sz w:val="18"/>
      </w:rPr>
      <w:fldChar w:fldCharType="begin"/>
    </w:r>
    <w:r w:rsidR="00EE6681">
      <w:rPr>
        <w:rFonts w:ascii="Arial" w:hAnsi="Arial"/>
        <w:sz w:val="18"/>
      </w:rPr>
      <w:instrText xml:space="preserve"> NUMPAGES </w:instrText>
    </w:r>
    <w:r w:rsidR="00EE6681">
      <w:rPr>
        <w:rFonts w:ascii="Arial" w:hAnsi="Arial"/>
        <w:sz w:val="18"/>
      </w:rPr>
      <w:fldChar w:fldCharType="separate"/>
    </w:r>
    <w:r>
      <w:rPr>
        <w:rFonts w:ascii="Arial" w:hAnsi="Arial"/>
        <w:noProof/>
        <w:sz w:val="18"/>
      </w:rPr>
      <w:t>1</w:t>
    </w:r>
    <w:r w:rsidR="00EE6681">
      <w:rPr>
        <w:rFonts w:ascii="Arial" w:hAnsi="Arial"/>
        <w:sz w:val="18"/>
      </w:rPr>
      <w:fldChar w:fldCharType="end"/>
    </w:r>
  </w:p>
  <w:p w14:paraId="2383E948" w14:textId="77777777" w:rsidR="00EE6681" w:rsidRDefault="00EE6681" w:rsidP="0074209E">
    <w:pPr>
      <w:pStyle w:val="Footer"/>
      <w:tabs>
        <w:tab w:val="clear" w:pos="4320"/>
        <w:tab w:val="clear" w:pos="8640"/>
        <w:tab w:val="right" w:pos="9360"/>
      </w:tabs>
      <w:rPr>
        <w:rFonts w:ascii="Arial" w:hAnsi="Arial"/>
        <w:sz w:val="18"/>
      </w:rPr>
    </w:pPr>
    <w:r>
      <w:rPr>
        <w:rFonts w:ascii="Arial" w:hAnsi="Arial"/>
        <w:sz w:val="18"/>
      </w:rPr>
      <w:t>PUBLIC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939A28" w14:textId="77777777" w:rsidR="00925D8F" w:rsidRDefault="00925D8F">
      <w:r>
        <w:separator/>
      </w:r>
    </w:p>
  </w:footnote>
  <w:footnote w:type="continuationSeparator" w:id="0">
    <w:p w14:paraId="2F8AC5DF" w14:textId="77777777" w:rsidR="00925D8F" w:rsidRDefault="00925D8F">
      <w:r>
        <w:continuationSeparator/>
      </w:r>
    </w:p>
  </w:footnote>
  <w:footnote w:id="1">
    <w:p w14:paraId="468CE89A" w14:textId="77777777" w:rsidR="00B014FD" w:rsidRPr="00CC4A5E" w:rsidRDefault="00B014FD" w:rsidP="00B014FD">
      <w:pPr>
        <w:pStyle w:val="Header"/>
        <w:rPr>
          <w:rFonts w:ascii="Times New Roman" w:hAnsi="Times New Roman"/>
          <w:b w:val="0"/>
          <w:bCs w:val="0"/>
          <w:sz w:val="20"/>
          <w:szCs w:val="20"/>
        </w:rPr>
      </w:pPr>
      <w:r w:rsidRPr="00B014FD">
        <w:rPr>
          <w:rStyle w:val="FootnoteReference"/>
          <w:rFonts w:ascii="Times New Roman" w:hAnsi="Times New Roman"/>
          <w:b w:val="0"/>
          <w:bCs w:val="0"/>
          <w:sz w:val="20"/>
          <w:szCs w:val="20"/>
        </w:rPr>
        <w:footnoteRef/>
      </w:r>
      <w:r w:rsidRPr="00B014FD">
        <w:rPr>
          <w:rFonts w:ascii="Times New Roman" w:hAnsi="Times New Roman"/>
          <w:b w:val="0"/>
          <w:bCs w:val="0"/>
          <w:sz w:val="20"/>
          <w:szCs w:val="20"/>
        </w:rPr>
        <w:t xml:space="preserve"> </w:t>
      </w:r>
      <w:r w:rsidRPr="00CC4A5E">
        <w:rPr>
          <w:rFonts w:ascii="Times New Roman" w:hAnsi="Times New Roman"/>
          <w:b w:val="0"/>
          <w:bCs w:val="0"/>
          <w:i/>
          <w:iCs/>
          <w:sz w:val="20"/>
          <w:szCs w:val="20"/>
        </w:rPr>
        <w:t>Dispatchable Reliability Reserve Service Plus Energy Storage Resource Participation and Release Facto</w:t>
      </w:r>
      <w:r>
        <w:rPr>
          <w:rFonts w:ascii="Times New Roman" w:hAnsi="Times New Roman"/>
          <w:b w:val="0"/>
          <w:bCs w:val="0"/>
          <w:i/>
          <w:iCs/>
          <w:sz w:val="20"/>
          <w:szCs w:val="20"/>
        </w:rPr>
        <w:t xml:space="preserve">r, </w:t>
      </w:r>
    </w:p>
    <w:p w14:paraId="1EBC11EB" w14:textId="7E28EE56" w:rsidR="00B014FD" w:rsidRDefault="00B014FD">
      <w:pPr>
        <w:pStyle w:val="FootnoteText"/>
      </w:pPr>
      <w:r>
        <w:t xml:space="preserve">NPRR1310, Comments by LCRA (January 28, 2026), </w:t>
      </w:r>
      <w:r>
        <w:rPr>
          <w:i/>
          <w:iCs/>
        </w:rPr>
        <w:t xml:space="preserve">available at </w:t>
      </w:r>
      <w:hyperlink r:id="rId1" w:history="1">
        <w:r w:rsidRPr="00C679A8">
          <w:rPr>
            <w:rStyle w:val="Hyperlink"/>
          </w:rPr>
          <w:t>https://www.ercot.com/files/docs/2026/01/28/1310NPRR-06-LCRA-Comments-012826.docx</w:t>
        </w:r>
      </w:hyperlink>
    </w:p>
  </w:footnote>
  <w:footnote w:id="2">
    <w:p w14:paraId="0E9CF4DF" w14:textId="77777777" w:rsidR="00B014FD" w:rsidRPr="00CC4A5E" w:rsidRDefault="00B014FD" w:rsidP="00B014FD">
      <w:pPr>
        <w:pStyle w:val="Header"/>
        <w:rPr>
          <w:rFonts w:ascii="Times New Roman" w:hAnsi="Times New Roman"/>
          <w:b w:val="0"/>
          <w:bCs w:val="0"/>
          <w:sz w:val="20"/>
          <w:szCs w:val="20"/>
        </w:rPr>
      </w:pPr>
      <w:r w:rsidRPr="00B014FD">
        <w:rPr>
          <w:rStyle w:val="FootnoteReference"/>
          <w:rFonts w:ascii="Times New Roman" w:hAnsi="Times New Roman"/>
          <w:b w:val="0"/>
          <w:bCs w:val="0"/>
          <w:sz w:val="20"/>
          <w:szCs w:val="20"/>
        </w:rPr>
        <w:footnoteRef/>
      </w:r>
      <w:r w:rsidRPr="00B014FD">
        <w:rPr>
          <w:rFonts w:ascii="Times New Roman" w:hAnsi="Times New Roman"/>
          <w:b w:val="0"/>
          <w:bCs w:val="0"/>
          <w:sz w:val="20"/>
          <w:szCs w:val="20"/>
        </w:rPr>
        <w:t xml:space="preserve"> </w:t>
      </w:r>
      <w:r w:rsidRPr="00CC4A5E">
        <w:rPr>
          <w:rFonts w:ascii="Times New Roman" w:hAnsi="Times New Roman"/>
          <w:b w:val="0"/>
          <w:bCs w:val="0"/>
          <w:i/>
          <w:iCs/>
          <w:sz w:val="20"/>
          <w:szCs w:val="20"/>
        </w:rPr>
        <w:t>Dispatchable Reliability Reserve Service Plus Energy Storage Resource Participation and Release Facto</w:t>
      </w:r>
      <w:r>
        <w:rPr>
          <w:rFonts w:ascii="Times New Roman" w:hAnsi="Times New Roman"/>
          <w:b w:val="0"/>
          <w:bCs w:val="0"/>
          <w:i/>
          <w:iCs/>
          <w:sz w:val="20"/>
          <w:szCs w:val="20"/>
        </w:rPr>
        <w:t xml:space="preserve">r, </w:t>
      </w:r>
    </w:p>
    <w:p w14:paraId="366AB899" w14:textId="21838E03" w:rsidR="00B014FD" w:rsidRPr="00E75568" w:rsidRDefault="00B014FD" w:rsidP="00B014FD">
      <w:pPr>
        <w:pStyle w:val="FootnoteText"/>
      </w:pPr>
      <w:r>
        <w:t xml:space="preserve">NPRR1310, Comments by </w:t>
      </w:r>
      <w:r w:rsidR="00E75568">
        <w:t xml:space="preserve">TIEC </w:t>
      </w:r>
      <w:r>
        <w:t xml:space="preserve">(January 28, 2026), </w:t>
      </w:r>
      <w:r>
        <w:rPr>
          <w:i/>
          <w:iCs/>
        </w:rPr>
        <w:t xml:space="preserve">available at </w:t>
      </w:r>
      <w:r w:rsidR="00E75568" w:rsidRPr="0021424E">
        <w:t>https://www.ercot.com/files/docs/2026/01/28/1310NPRR-08-TIEC-Comments-012826.docx</w:t>
      </w:r>
    </w:p>
    <w:p w14:paraId="41AA9CFA" w14:textId="37389827" w:rsidR="00B014FD" w:rsidRDefault="00B014FD">
      <w:pPr>
        <w:pStyle w:val="FootnoteText"/>
      </w:pPr>
    </w:p>
  </w:footnote>
  <w:footnote w:id="3">
    <w:p w14:paraId="2702121D" w14:textId="77777777" w:rsidR="00E75568" w:rsidRPr="00CC4A5E" w:rsidRDefault="00E75568" w:rsidP="00E75568">
      <w:pPr>
        <w:pStyle w:val="Header"/>
        <w:rPr>
          <w:rFonts w:ascii="Times New Roman" w:hAnsi="Times New Roman"/>
          <w:b w:val="0"/>
          <w:bCs w:val="0"/>
          <w:sz w:val="20"/>
          <w:szCs w:val="20"/>
        </w:rPr>
      </w:pPr>
      <w:r w:rsidRPr="0021424E">
        <w:rPr>
          <w:rStyle w:val="FootnoteReference"/>
          <w:rFonts w:ascii="Times New Roman" w:hAnsi="Times New Roman"/>
          <w:sz w:val="20"/>
          <w:szCs w:val="20"/>
        </w:rPr>
        <w:footnoteRef/>
      </w:r>
      <w:r w:rsidRPr="0021424E">
        <w:rPr>
          <w:rFonts w:ascii="Times New Roman" w:hAnsi="Times New Roman"/>
          <w:sz w:val="20"/>
          <w:szCs w:val="20"/>
        </w:rPr>
        <w:t xml:space="preserve"> </w:t>
      </w:r>
      <w:r w:rsidRPr="00CC4A5E">
        <w:rPr>
          <w:rFonts w:ascii="Times New Roman" w:hAnsi="Times New Roman"/>
          <w:b w:val="0"/>
          <w:bCs w:val="0"/>
          <w:i/>
          <w:iCs/>
          <w:sz w:val="20"/>
          <w:szCs w:val="20"/>
        </w:rPr>
        <w:t>Dispatchable Reliability Reserve Service Plus Energy Storage Resource Participation and Release Facto</w:t>
      </w:r>
      <w:r>
        <w:rPr>
          <w:rFonts w:ascii="Times New Roman" w:hAnsi="Times New Roman"/>
          <w:b w:val="0"/>
          <w:bCs w:val="0"/>
          <w:i/>
          <w:iCs/>
          <w:sz w:val="20"/>
          <w:szCs w:val="20"/>
        </w:rPr>
        <w:t xml:space="preserve">r, </w:t>
      </w:r>
    </w:p>
    <w:p w14:paraId="157DB496" w14:textId="639F8426" w:rsidR="00E75568" w:rsidRDefault="00E75568" w:rsidP="00E75568">
      <w:pPr>
        <w:pStyle w:val="FootnoteText"/>
      </w:pPr>
      <w:r>
        <w:t xml:space="preserve">NPRR1310, Comments by LCRA (January 28, 2026), Page 1, </w:t>
      </w:r>
      <w:r>
        <w:rPr>
          <w:i/>
          <w:iCs/>
        </w:rPr>
        <w:t xml:space="preserve">available at </w:t>
      </w:r>
      <w:hyperlink r:id="rId2" w:history="1">
        <w:r w:rsidRPr="00C679A8">
          <w:rPr>
            <w:rStyle w:val="Hyperlink"/>
          </w:rPr>
          <w:t>https://www.ercot.com/files/docs/2026/01/28/1310NPRR-06-LCRA-Comments-012826.docx</w:t>
        </w:r>
      </w:hyperlink>
    </w:p>
    <w:p w14:paraId="0BC87557" w14:textId="12858E00" w:rsidR="00E75568" w:rsidRDefault="00E75568">
      <w:pPr>
        <w:pStyle w:val="FootnoteText"/>
      </w:pPr>
    </w:p>
  </w:footnote>
  <w:footnote w:id="4">
    <w:p w14:paraId="774000B3" w14:textId="4EEBBC58" w:rsidR="007748FD" w:rsidRDefault="007748FD" w:rsidP="003D4F2B">
      <w:pPr>
        <w:pStyle w:val="FootnoteText"/>
      </w:pPr>
      <w:r>
        <w:rPr>
          <w:rStyle w:val="FootnoteReference"/>
        </w:rPr>
        <w:footnoteRef/>
      </w:r>
      <w:r>
        <w:t xml:space="preserve"> </w:t>
      </w:r>
      <w:r w:rsidRPr="006836E2">
        <w:t>Assessment of Resource Adequacy Needs in ERCOT and Impact of Market Design Changes, Aurora Energy Research (November 10, 2025),</w:t>
      </w:r>
      <w:r>
        <w:t xml:space="preserve"> </w:t>
      </w:r>
      <w:r w:rsidRPr="006A34C5">
        <w:rPr>
          <w:i/>
          <w:iCs/>
        </w:rPr>
        <w:t>available at</w:t>
      </w:r>
      <w:r>
        <w:t xml:space="preserve"> </w:t>
      </w:r>
      <w:hyperlink r:id="rId3" w:history="1">
        <w:r w:rsidRPr="00C679A8">
          <w:rPr>
            <w:rStyle w:val="Hyperlink"/>
          </w:rPr>
          <w:t>https://www.ercot.com/files/docs/2025/12/10/Aurora-Assessment-of-Resource-Adequacy-Needs-in-ERCOT-Region-and-Impact-of-Market-Design-Changes-2025.11.10-.pdf</w:t>
        </w:r>
      </w:hyperlink>
    </w:p>
  </w:footnote>
  <w:footnote w:id="5">
    <w:p w14:paraId="74395467" w14:textId="786F58BA" w:rsidR="00E75568" w:rsidRDefault="00E75568" w:rsidP="003D4F2B">
      <w:pPr>
        <w:pStyle w:val="FootnoteText"/>
      </w:pPr>
      <w:r>
        <w:rPr>
          <w:rStyle w:val="FootnoteReference"/>
        </w:rPr>
        <w:footnoteRef/>
      </w:r>
      <w:r>
        <w:t xml:space="preserve"> </w:t>
      </w:r>
      <w:r w:rsidRPr="006836E2">
        <w:t>Assessment of Resource Adequacy Needs in ERCOT and Impact of Market Design Changes, Aurora Energy Research (November 10, 2025),</w:t>
      </w:r>
      <w:r>
        <w:t xml:space="preserve"> Pag 3, </w:t>
      </w:r>
      <w:r w:rsidRPr="006A34C5">
        <w:rPr>
          <w:i/>
          <w:iCs/>
        </w:rPr>
        <w:t>available at</w:t>
      </w:r>
      <w:r>
        <w:t xml:space="preserve"> </w:t>
      </w:r>
      <w:hyperlink r:id="rId4" w:history="1">
        <w:r w:rsidRPr="00C679A8">
          <w:rPr>
            <w:rStyle w:val="Hyperlink"/>
          </w:rPr>
          <w:t>https://www.ercot.com/files/docs/2025/12/10/Aurora-Assessment-of-Resource-Adequacy-Needs-in-ERCOT-Region-and-Impact-of-Market-Design-Changes-2025.11.10-.pdf</w:t>
        </w:r>
      </w:hyperlink>
    </w:p>
  </w:footnote>
  <w:footnote w:id="6">
    <w:p w14:paraId="45FAC3C3" w14:textId="44A54FBD" w:rsidR="006107F9" w:rsidRDefault="006107F9" w:rsidP="003D4F2B">
      <w:pPr>
        <w:pStyle w:val="FootnoteText"/>
      </w:pPr>
      <w:r>
        <w:rPr>
          <w:rStyle w:val="FootnoteReference"/>
        </w:rPr>
        <w:footnoteRef/>
      </w:r>
      <w:r>
        <w:t xml:space="preserve"> </w:t>
      </w:r>
      <w:r w:rsidRPr="006107F9">
        <w:rPr>
          <w:i/>
          <w:iCs/>
        </w:rPr>
        <w:t>Performance Credit Mechanism (PCM),</w:t>
      </w:r>
      <w:r>
        <w:t xml:space="preserve"> Project 55000, </w:t>
      </w:r>
      <w:r w:rsidRPr="006107F9">
        <w:t>Texas Competitive Power Advocates’s Responses to Staff’s Questions Regarding the Performance Credit Mechanism</w:t>
      </w:r>
      <w:r>
        <w:t xml:space="preserve"> (June 20, 2024), </w:t>
      </w:r>
      <w:r w:rsidR="00E75568">
        <w:t xml:space="preserve">Page 1, </w:t>
      </w:r>
      <w:r>
        <w:rPr>
          <w:i/>
          <w:iCs/>
        </w:rPr>
        <w:t xml:space="preserve">available at </w:t>
      </w:r>
      <w:hyperlink r:id="rId5" w:history="1">
        <w:r w:rsidRPr="00C679A8">
          <w:rPr>
            <w:rStyle w:val="Hyperlink"/>
          </w:rPr>
          <w:t>https://interchange.puc.texas.gov/Documents/55000_30_1404503.PDF</w:t>
        </w:r>
      </w:hyperlink>
    </w:p>
  </w:footnote>
  <w:footnote w:id="7">
    <w:p w14:paraId="185E26A9" w14:textId="14F0E259" w:rsidR="007748FD" w:rsidRPr="00502216" w:rsidRDefault="007748FD" w:rsidP="007748FD">
      <w:pPr>
        <w:pStyle w:val="FootnoteText"/>
        <w:rPr>
          <w:i/>
          <w:iCs/>
        </w:rPr>
      </w:pPr>
      <w:r>
        <w:rPr>
          <w:rStyle w:val="FootnoteReference"/>
        </w:rPr>
        <w:footnoteRef/>
      </w:r>
      <w:r>
        <w:t xml:space="preserve"> 2025 Long-Term Reliability Assessment</w:t>
      </w:r>
      <w:r w:rsidR="00F7118D">
        <w:t>, North American Electric Reliability Corporation</w:t>
      </w:r>
      <w:r>
        <w:t xml:space="preserve"> (January 29, 2026), </w:t>
      </w:r>
      <w:r w:rsidR="00A64584">
        <w:t xml:space="preserve">Page 6, </w:t>
      </w:r>
      <w:r>
        <w:rPr>
          <w:i/>
          <w:iCs/>
        </w:rPr>
        <w:t xml:space="preserve">available at </w:t>
      </w:r>
      <w:hyperlink r:id="rId6" w:history="1">
        <w:r w:rsidRPr="00C679A8">
          <w:rPr>
            <w:rStyle w:val="Hyperlink"/>
          </w:rPr>
          <w:t>https://www.nerc.com/globalassets/our-work/assessments/nerc_ltra_2025.pdf</w:t>
        </w:r>
      </w:hyperlink>
    </w:p>
  </w:footnote>
  <w:footnote w:id="8">
    <w:p w14:paraId="6626E87F" w14:textId="5C07E683" w:rsidR="504C0F1A" w:rsidRDefault="504C0F1A" w:rsidP="504C0F1A">
      <w:pPr>
        <w:pStyle w:val="FootnoteText"/>
      </w:pPr>
      <w:r w:rsidRPr="504C0F1A">
        <w:rPr>
          <w:rStyle w:val="FootnoteReference"/>
        </w:rPr>
        <w:footnoteRef/>
      </w:r>
      <w:r>
        <w:t xml:space="preserve"> </w:t>
      </w:r>
      <w:r w:rsidRPr="00E75568">
        <w:t xml:space="preserve">Assessment of Resource Adequacy Needs in ERCOT and Impact of Market Design Changes, Aurora Energy Research (November 10, 2025), Page 3, </w:t>
      </w:r>
      <w:r w:rsidRPr="00E75568">
        <w:rPr>
          <w:i/>
          <w:iCs/>
        </w:rPr>
        <w:t>available at</w:t>
      </w:r>
      <w:r w:rsidRPr="00E75568">
        <w:t xml:space="preserve"> </w:t>
      </w:r>
      <w:hyperlink r:id="rId7">
        <w:r w:rsidRPr="00E75568">
          <w:rPr>
            <w:rStyle w:val="Hyperlink"/>
          </w:rPr>
          <w:t>https://www.ercot.com/files/docs/2025/12/10/Aurora-Assessment-of-Resource-Adequacy-Needs-in-ERCOT-Region-and-Impact-of-Market-Design-Changes-2025.11.10-.pdf</w:t>
        </w:r>
      </w:hyperlink>
    </w:p>
  </w:footnote>
  <w:footnote w:id="9">
    <w:p w14:paraId="75A3E470" w14:textId="77777777" w:rsidR="000B5093" w:rsidRDefault="000B5093" w:rsidP="000B5093">
      <w:pPr>
        <w:pStyle w:val="FootnoteText"/>
      </w:pPr>
      <w:r>
        <w:rPr>
          <w:rStyle w:val="FootnoteReference"/>
        </w:rPr>
        <w:footnoteRef/>
      </w:r>
      <w:r>
        <w:t xml:space="preserve"> PURA </w:t>
      </w:r>
      <w:r>
        <w:rPr>
          <w:rFonts w:cs="Arial"/>
        </w:rPr>
        <w:t xml:space="preserve">§ </w:t>
      </w:r>
      <w:r>
        <w:t xml:space="preserve">39.159(c): “the commission shall ensure that: (1) </w:t>
      </w:r>
      <w:r w:rsidRPr="006D2C88">
        <w:t xml:space="preserve">resources that provide services under Subsection (b) are </w:t>
      </w:r>
      <w:r w:rsidRPr="006D2C88">
        <w:rPr>
          <w:i/>
          <w:iCs/>
        </w:rPr>
        <w:t>dispatchable and able to meet continuous operating requirements</w:t>
      </w:r>
      <w:r w:rsidRPr="006D2C88">
        <w:t xml:space="preserve"> for the season in which the service is procured</w:t>
      </w:r>
      <w:r>
        <w:t xml:space="preserve">; (2) </w:t>
      </w:r>
      <w:r w:rsidRPr="006D2C88">
        <w:rPr>
          <w:i/>
          <w:iCs/>
        </w:rPr>
        <w:t>winter resource capability qualifications</w:t>
      </w:r>
      <w:r w:rsidRPr="006D2C88">
        <w:t xml:space="preserve"> for a service described by Subsection (b) include on-site fuel storage, dual fuel capability, or fuel supply arrangements to </w:t>
      </w:r>
      <w:r w:rsidRPr="006D2C88">
        <w:rPr>
          <w:i/>
          <w:iCs/>
        </w:rPr>
        <w:t>ensure winter performance for several days</w:t>
      </w:r>
      <w:r w:rsidRPr="006D2C88">
        <w:t>; and</w:t>
      </w:r>
      <w:r>
        <w:t xml:space="preserve"> (3) </w:t>
      </w:r>
      <w:r w:rsidRPr="006D2C88">
        <w:rPr>
          <w:i/>
          <w:iCs/>
        </w:rPr>
        <w:t>summer resource capability qualifications</w:t>
      </w:r>
      <w:r w:rsidRPr="006D2C88">
        <w:t xml:space="preserve"> for a service described by Subsection (b) </w:t>
      </w:r>
      <w:r w:rsidRPr="006D2C88">
        <w:rPr>
          <w:i/>
          <w:iCs/>
        </w:rPr>
        <w:t>include facilities or procedures to ensure operation under drought conditions</w:t>
      </w:r>
      <w:r w:rsidRPr="006D2C88">
        <w:t>.</w:t>
      </w:r>
      <w:r>
        <w:t>” (</w:t>
      </w:r>
      <w:r w:rsidRPr="00A21759">
        <w:rPr>
          <w:i/>
          <w:iCs/>
        </w:rPr>
        <w:t>emphasis added</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45593" w14:textId="74881E68" w:rsidR="00EE6681" w:rsidRDefault="00EE6681">
    <w:pPr>
      <w:pStyle w:val="Header"/>
      <w:jc w:val="center"/>
      <w:rPr>
        <w:sz w:val="32"/>
      </w:rPr>
    </w:pPr>
    <w:r>
      <w:rPr>
        <w:sz w:val="32"/>
      </w:rPr>
      <w:t>NPRR Comments</w:t>
    </w:r>
  </w:p>
  <w:p w14:paraId="7223B760" w14:textId="77777777" w:rsidR="00EE6681" w:rsidRDefault="00EE66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5C26B7FC"/>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6AA176D6"/>
    <w:multiLevelType w:val="hybridMultilevel"/>
    <w:tmpl w:val="E4367716"/>
    <w:lvl w:ilvl="0" w:tplc="FED83572">
      <w:start w:val="51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6060C90"/>
    <w:multiLevelType w:val="hybridMultilevel"/>
    <w:tmpl w:val="246208DE"/>
    <w:lvl w:ilvl="0" w:tplc="9434FC1A">
      <w:start w:val="1"/>
      <w:numFmt w:val="bullet"/>
      <w:pStyle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16cid:durableId="550307738">
    <w:abstractNumId w:val="0"/>
  </w:num>
  <w:num w:numId="2" w16cid:durableId="1139107528">
    <w:abstractNumId w:val="2"/>
  </w:num>
  <w:num w:numId="3" w16cid:durableId="16345539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27D"/>
    <w:rsid w:val="00007C6B"/>
    <w:rsid w:val="00016388"/>
    <w:rsid w:val="00025D2E"/>
    <w:rsid w:val="00037668"/>
    <w:rsid w:val="00051ADC"/>
    <w:rsid w:val="00075A94"/>
    <w:rsid w:val="000A4A7A"/>
    <w:rsid w:val="000B5093"/>
    <w:rsid w:val="00132855"/>
    <w:rsid w:val="00136FA1"/>
    <w:rsid w:val="001448A2"/>
    <w:rsid w:val="0014748D"/>
    <w:rsid w:val="00152993"/>
    <w:rsid w:val="001605D0"/>
    <w:rsid w:val="00166C82"/>
    <w:rsid w:val="00170297"/>
    <w:rsid w:val="001A227D"/>
    <w:rsid w:val="001C76C3"/>
    <w:rsid w:val="001E2032"/>
    <w:rsid w:val="00210F8E"/>
    <w:rsid w:val="0021424E"/>
    <w:rsid w:val="002623F9"/>
    <w:rsid w:val="002629C5"/>
    <w:rsid w:val="003010C0"/>
    <w:rsid w:val="00324DFA"/>
    <w:rsid w:val="00332A97"/>
    <w:rsid w:val="00350C00"/>
    <w:rsid w:val="00366113"/>
    <w:rsid w:val="00366C13"/>
    <w:rsid w:val="00380055"/>
    <w:rsid w:val="003C270C"/>
    <w:rsid w:val="003D0994"/>
    <w:rsid w:val="003D4F2B"/>
    <w:rsid w:val="003D6E47"/>
    <w:rsid w:val="003F120C"/>
    <w:rsid w:val="0040022F"/>
    <w:rsid w:val="00421C86"/>
    <w:rsid w:val="00423824"/>
    <w:rsid w:val="0043567D"/>
    <w:rsid w:val="00435F9A"/>
    <w:rsid w:val="00453141"/>
    <w:rsid w:val="004A546C"/>
    <w:rsid w:val="004B7B90"/>
    <w:rsid w:val="004E2C19"/>
    <w:rsid w:val="005003F6"/>
    <w:rsid w:val="00502216"/>
    <w:rsid w:val="00506DE1"/>
    <w:rsid w:val="005077B7"/>
    <w:rsid w:val="00516C1A"/>
    <w:rsid w:val="005400BF"/>
    <w:rsid w:val="005A3B40"/>
    <w:rsid w:val="005B5F46"/>
    <w:rsid w:val="005C1BB0"/>
    <w:rsid w:val="005D284C"/>
    <w:rsid w:val="005D4B86"/>
    <w:rsid w:val="005D4D17"/>
    <w:rsid w:val="005E0AAB"/>
    <w:rsid w:val="00604512"/>
    <w:rsid w:val="006107F9"/>
    <w:rsid w:val="00627D34"/>
    <w:rsid w:val="00633E23"/>
    <w:rsid w:val="006654E6"/>
    <w:rsid w:val="00673B94"/>
    <w:rsid w:val="00680AC6"/>
    <w:rsid w:val="006835D8"/>
    <w:rsid w:val="006836E2"/>
    <w:rsid w:val="006A34C5"/>
    <w:rsid w:val="006C316E"/>
    <w:rsid w:val="006D0F7C"/>
    <w:rsid w:val="0070369E"/>
    <w:rsid w:val="007269C4"/>
    <w:rsid w:val="00740BC8"/>
    <w:rsid w:val="0074209E"/>
    <w:rsid w:val="00747BA8"/>
    <w:rsid w:val="00762513"/>
    <w:rsid w:val="00765288"/>
    <w:rsid w:val="007720A9"/>
    <w:rsid w:val="007748FD"/>
    <w:rsid w:val="007F2CA8"/>
    <w:rsid w:val="007F7161"/>
    <w:rsid w:val="008172E0"/>
    <w:rsid w:val="00833FF4"/>
    <w:rsid w:val="0085559E"/>
    <w:rsid w:val="00896B1B"/>
    <w:rsid w:val="008D1C30"/>
    <w:rsid w:val="008E559E"/>
    <w:rsid w:val="009125AB"/>
    <w:rsid w:val="00914E37"/>
    <w:rsid w:val="00916080"/>
    <w:rsid w:val="00917D0F"/>
    <w:rsid w:val="00921A68"/>
    <w:rsid w:val="00925D8F"/>
    <w:rsid w:val="0093426B"/>
    <w:rsid w:val="009417C9"/>
    <w:rsid w:val="0094568E"/>
    <w:rsid w:val="009820D9"/>
    <w:rsid w:val="00995BC0"/>
    <w:rsid w:val="009E5C31"/>
    <w:rsid w:val="009F11B2"/>
    <w:rsid w:val="009F1CF4"/>
    <w:rsid w:val="00A00A8A"/>
    <w:rsid w:val="00A015C4"/>
    <w:rsid w:val="00A15172"/>
    <w:rsid w:val="00A32C99"/>
    <w:rsid w:val="00A40DCF"/>
    <w:rsid w:val="00A4280F"/>
    <w:rsid w:val="00A52635"/>
    <w:rsid w:val="00A64584"/>
    <w:rsid w:val="00A81F74"/>
    <w:rsid w:val="00AA7158"/>
    <w:rsid w:val="00AD7993"/>
    <w:rsid w:val="00AE3E1A"/>
    <w:rsid w:val="00B014FD"/>
    <w:rsid w:val="00B03A3F"/>
    <w:rsid w:val="00B1614B"/>
    <w:rsid w:val="00B16BAB"/>
    <w:rsid w:val="00B5080A"/>
    <w:rsid w:val="00B510D5"/>
    <w:rsid w:val="00B5261A"/>
    <w:rsid w:val="00B825B4"/>
    <w:rsid w:val="00B943AE"/>
    <w:rsid w:val="00BA1471"/>
    <w:rsid w:val="00BD7258"/>
    <w:rsid w:val="00C0598D"/>
    <w:rsid w:val="00C11015"/>
    <w:rsid w:val="00C11956"/>
    <w:rsid w:val="00C44E5C"/>
    <w:rsid w:val="00C51A9B"/>
    <w:rsid w:val="00C602E5"/>
    <w:rsid w:val="00C62C06"/>
    <w:rsid w:val="00C648D9"/>
    <w:rsid w:val="00C748FD"/>
    <w:rsid w:val="00C75E6F"/>
    <w:rsid w:val="00C911A9"/>
    <w:rsid w:val="00CB25D7"/>
    <w:rsid w:val="00CB343C"/>
    <w:rsid w:val="00CC4A5E"/>
    <w:rsid w:val="00CD6C7F"/>
    <w:rsid w:val="00CE3EDE"/>
    <w:rsid w:val="00CF3DE2"/>
    <w:rsid w:val="00D01921"/>
    <w:rsid w:val="00D0548E"/>
    <w:rsid w:val="00D31106"/>
    <w:rsid w:val="00D4046E"/>
    <w:rsid w:val="00D40D67"/>
    <w:rsid w:val="00D4362F"/>
    <w:rsid w:val="00D74C56"/>
    <w:rsid w:val="00DD4739"/>
    <w:rsid w:val="00DE5F33"/>
    <w:rsid w:val="00DF2368"/>
    <w:rsid w:val="00E048E1"/>
    <w:rsid w:val="00E07B54"/>
    <w:rsid w:val="00E11F78"/>
    <w:rsid w:val="00E24374"/>
    <w:rsid w:val="00E269CE"/>
    <w:rsid w:val="00E32B90"/>
    <w:rsid w:val="00E55F69"/>
    <w:rsid w:val="00E621E1"/>
    <w:rsid w:val="00E75568"/>
    <w:rsid w:val="00E93CAA"/>
    <w:rsid w:val="00EC3E35"/>
    <w:rsid w:val="00EC55B3"/>
    <w:rsid w:val="00ED23D2"/>
    <w:rsid w:val="00ED3599"/>
    <w:rsid w:val="00EE6681"/>
    <w:rsid w:val="00F20D9E"/>
    <w:rsid w:val="00F3090D"/>
    <w:rsid w:val="00F51720"/>
    <w:rsid w:val="00F7118D"/>
    <w:rsid w:val="00F836A7"/>
    <w:rsid w:val="00F96FB2"/>
    <w:rsid w:val="00FB51D8"/>
    <w:rsid w:val="00FC1E8E"/>
    <w:rsid w:val="00FD08E8"/>
    <w:rsid w:val="00FE7594"/>
    <w:rsid w:val="1A10BD8C"/>
    <w:rsid w:val="3ABFFF8D"/>
    <w:rsid w:val="504C0F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6EED27"/>
  <w15:chartTrackingRefBased/>
  <w15:docId w15:val="{1C954E70-7A7D-40EC-8E3A-3BDCB0592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aliases w:val="h1"/>
    <w:basedOn w:val="Normal"/>
    <w:next w:val="Normal"/>
    <w:qFormat/>
    <w:pPr>
      <w:keepNext/>
      <w:numPr>
        <w:numId w:val="1"/>
      </w:numPr>
      <w:spacing w:after="240"/>
      <w:outlineLvl w:val="0"/>
    </w:pPr>
    <w:rPr>
      <w:b/>
      <w:caps/>
      <w:szCs w:val="20"/>
    </w:rPr>
  </w:style>
  <w:style w:type="paragraph" w:styleId="Heading2">
    <w:name w:val="heading 2"/>
    <w:aliases w:val="h2"/>
    <w:basedOn w:val="Normal"/>
    <w:next w:val="Normal"/>
    <w:qFormat/>
    <w:pPr>
      <w:keepNext/>
      <w:numPr>
        <w:ilvl w:val="1"/>
        <w:numId w:val="1"/>
      </w:numPr>
      <w:spacing w:before="240" w:after="240"/>
      <w:outlineLvl w:val="1"/>
    </w:pPr>
    <w:rPr>
      <w:b/>
      <w:szCs w:val="20"/>
    </w:rPr>
  </w:style>
  <w:style w:type="paragraph" w:styleId="Heading3">
    <w:name w:val="heading 3"/>
    <w:aliases w:val="h3"/>
    <w:basedOn w:val="Normal"/>
    <w:next w:val="Normal"/>
    <w:qFormat/>
    <w:pPr>
      <w:keepNext/>
      <w:numPr>
        <w:ilvl w:val="2"/>
        <w:numId w:val="1"/>
      </w:numPr>
      <w:spacing w:before="120" w:after="120"/>
      <w:outlineLvl w:val="2"/>
    </w:pPr>
    <w:rPr>
      <w:b/>
      <w:bCs/>
      <w:i/>
      <w:iCs/>
      <w:szCs w:val="20"/>
    </w:rPr>
  </w:style>
  <w:style w:type="paragraph" w:styleId="Heading4">
    <w:name w:val="heading 4"/>
    <w:aliases w:val="h4"/>
    <w:basedOn w:val="Normal"/>
    <w:next w:val="Normal"/>
    <w:qFormat/>
    <w:pPr>
      <w:keepNext/>
      <w:widowControl w:val="0"/>
      <w:numPr>
        <w:ilvl w:val="3"/>
        <w:numId w:val="1"/>
      </w:numPr>
      <w:spacing w:before="360" w:after="240"/>
      <w:outlineLvl w:val="3"/>
    </w:pPr>
    <w:rPr>
      <w:b/>
      <w:bCs/>
      <w:snapToGrid w:val="0"/>
      <w:szCs w:val="20"/>
    </w:rPr>
  </w:style>
  <w:style w:type="paragraph" w:styleId="Heading5">
    <w:name w:val="heading 5"/>
    <w:aliases w:val="h5"/>
    <w:basedOn w:val="Normal"/>
    <w:next w:val="Normal"/>
    <w:qFormat/>
    <w:pPr>
      <w:spacing w:before="240" w:after="60"/>
      <w:outlineLvl w:val="4"/>
    </w:pPr>
    <w:rPr>
      <w:b/>
      <w:i/>
      <w:sz w:val="26"/>
      <w:szCs w:val="20"/>
    </w:rPr>
  </w:style>
  <w:style w:type="paragraph" w:styleId="Heading6">
    <w:name w:val="heading 6"/>
    <w:aliases w:val="h6"/>
    <w:basedOn w:val="Normal"/>
    <w:next w:val="Normal"/>
    <w:qFormat/>
    <w:pPr>
      <w:spacing w:before="240" w:after="60"/>
      <w:outlineLvl w:val="5"/>
    </w:pPr>
    <w:rPr>
      <w:b/>
      <w:sz w:val="22"/>
      <w:szCs w:val="20"/>
    </w:rPr>
  </w:style>
  <w:style w:type="paragraph" w:styleId="Heading7">
    <w:name w:val="heading 7"/>
    <w:basedOn w:val="Normal"/>
    <w:next w:val="Normal"/>
    <w:qFormat/>
    <w:pPr>
      <w:spacing w:before="240" w:after="60"/>
      <w:outlineLvl w:val="6"/>
    </w:pPr>
    <w:rPr>
      <w:szCs w:val="20"/>
    </w:rPr>
  </w:style>
  <w:style w:type="paragraph" w:styleId="Heading8">
    <w:name w:val="heading 8"/>
    <w:basedOn w:val="Normal"/>
    <w:next w:val="Normal"/>
    <w:qFormat/>
    <w:pPr>
      <w:spacing w:before="240" w:after="60"/>
      <w:outlineLvl w:val="7"/>
    </w:pPr>
    <w:rPr>
      <w:i/>
      <w:szCs w:val="20"/>
    </w:rPr>
  </w:style>
  <w:style w:type="paragraph" w:styleId="Heading9">
    <w:name w:val="heading 9"/>
    <w:basedOn w:val="Normal"/>
    <w:next w:val="Normal"/>
    <w:qFormat/>
    <w:pPr>
      <w:spacing w:before="240" w:after="60"/>
      <w:outlineLvl w:val="8"/>
    </w:pPr>
    <w:rPr>
      <w:rFonts w:ascii="Arial" w:hAnsi="Arial"/>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basedOn w:val="Normal"/>
    <w:pPr>
      <w:spacing w:before="120" w:after="120"/>
    </w:pPr>
  </w:style>
  <w:style w:type="paragraph" w:styleId="BodyTextIndent">
    <w:name w:val="Body Text Indent"/>
    <w:basedOn w:val="Normal"/>
    <w:pPr>
      <w:spacing w:before="120" w:after="120"/>
      <w:ind w:left="720"/>
    </w:pPr>
  </w:style>
  <w:style w:type="paragraph" w:customStyle="1" w:styleId="Bullet">
    <w:name w:val="Bullet"/>
    <w:basedOn w:val="Normal"/>
    <w:pPr>
      <w:numPr>
        <w:numId w:val="2"/>
      </w:numPr>
      <w:spacing w:before="60" w:after="120"/>
    </w:pPr>
    <w:rPr>
      <w:szCs w:val="20"/>
    </w:rPr>
  </w:style>
  <w:style w:type="paragraph" w:styleId="BalloonText">
    <w:name w:val="Balloon Text"/>
    <w:basedOn w:val="Normal"/>
    <w:semiHidden/>
    <w:rsid w:val="00673B94"/>
    <w:rPr>
      <w:rFonts w:ascii="Tahoma" w:hAnsi="Tahoma" w:cs="Tahoma"/>
      <w:sz w:val="16"/>
      <w:szCs w:val="16"/>
    </w:rPr>
  </w:style>
  <w:style w:type="paragraph" w:customStyle="1" w:styleId="NormalArial">
    <w:name w:val="Normal+Arial"/>
    <w:basedOn w:val="Normal"/>
    <w:rPr>
      <w:rFonts w:ascii="Arial" w:hAnsi="Arial"/>
    </w:rPr>
  </w:style>
  <w:style w:type="table" w:styleId="TableGrid">
    <w:name w:val="Table Grid"/>
    <w:basedOn w:val="TableNormal"/>
    <w:rsid w:val="00075A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DD4739"/>
    <w:rPr>
      <w:sz w:val="16"/>
      <w:szCs w:val="16"/>
    </w:rPr>
  </w:style>
  <w:style w:type="paragraph" w:styleId="CommentText">
    <w:name w:val="annotation text"/>
    <w:basedOn w:val="Normal"/>
    <w:semiHidden/>
    <w:rsid w:val="00DD4739"/>
    <w:rPr>
      <w:sz w:val="20"/>
      <w:szCs w:val="20"/>
    </w:rPr>
  </w:style>
  <w:style w:type="paragraph" w:styleId="CommentSubject">
    <w:name w:val="annotation subject"/>
    <w:basedOn w:val="CommentText"/>
    <w:next w:val="CommentText"/>
    <w:semiHidden/>
    <w:rsid w:val="00DD4739"/>
    <w:rPr>
      <w:b/>
      <w:bCs/>
    </w:rPr>
  </w:style>
  <w:style w:type="character" w:styleId="UnresolvedMention">
    <w:name w:val="Unresolved Mention"/>
    <w:uiPriority w:val="99"/>
    <w:semiHidden/>
    <w:unhideWhenUsed/>
    <w:rsid w:val="00B1614B"/>
    <w:rPr>
      <w:color w:val="605E5C"/>
      <w:shd w:val="clear" w:color="auto" w:fill="E1DFDD"/>
    </w:rPr>
  </w:style>
  <w:style w:type="paragraph" w:styleId="FootnoteText">
    <w:name w:val="footnote text"/>
    <w:basedOn w:val="Normal"/>
    <w:link w:val="FootnoteTextChar"/>
    <w:rsid w:val="00B825B4"/>
    <w:rPr>
      <w:sz w:val="20"/>
      <w:szCs w:val="20"/>
    </w:rPr>
  </w:style>
  <w:style w:type="character" w:customStyle="1" w:styleId="FootnoteTextChar">
    <w:name w:val="Footnote Text Char"/>
    <w:basedOn w:val="DefaultParagraphFont"/>
    <w:link w:val="FootnoteText"/>
    <w:rsid w:val="00B825B4"/>
  </w:style>
  <w:style w:type="character" w:styleId="FootnoteReference">
    <w:name w:val="footnote reference"/>
    <w:rsid w:val="00B825B4"/>
    <w:rPr>
      <w:vertAlign w:val="superscript"/>
    </w:rPr>
  </w:style>
  <w:style w:type="paragraph" w:styleId="Revision">
    <w:name w:val="Revision"/>
    <w:hidden/>
    <w:uiPriority w:val="99"/>
    <w:semiHidden/>
    <w:rsid w:val="00E75568"/>
    <w:rPr>
      <w:sz w:val="24"/>
      <w:szCs w:val="24"/>
    </w:rPr>
  </w:style>
  <w:style w:type="character" w:styleId="FollowedHyperlink">
    <w:name w:val="FollowedHyperlink"/>
    <w:basedOn w:val="DefaultParagraphFont"/>
    <w:rsid w:val="00E75568"/>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3487073">
      <w:bodyDiv w:val="1"/>
      <w:marLeft w:val="0"/>
      <w:marRight w:val="0"/>
      <w:marTop w:val="0"/>
      <w:marBottom w:val="0"/>
      <w:divBdr>
        <w:top w:val="none" w:sz="0" w:space="0" w:color="auto"/>
        <w:left w:val="none" w:sz="0" w:space="0" w:color="auto"/>
        <w:bottom w:val="none" w:sz="0" w:space="0" w:color="auto"/>
        <w:right w:val="none" w:sz="0" w:space="0" w:color="auto"/>
      </w:divBdr>
    </w:div>
    <w:div w:id="1543128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ichele@competitivepower.or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aul@competitivepower.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rcot.com/mktrules/issues/NPRR1310"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www.ercot.com/files/docs/2025/12/10/Aurora-Assessment-of-Resource-Adequacy-Needs-in-ERCOT-Region-and-Impact-of-Market-Design-Changes-2025.11.10-.pdf" TargetMode="External"/><Relationship Id="rId7" Type="http://schemas.openxmlformats.org/officeDocument/2006/relationships/hyperlink" Target="https://www.ercot.com/files/docs/2025/12/10/Aurora-Assessment-of-Resource-Adequacy-Needs-in-ERCOT-Region-and-Impact-of-Market-Design-Changes-2025.11.10-.pdf" TargetMode="External"/><Relationship Id="rId2" Type="http://schemas.openxmlformats.org/officeDocument/2006/relationships/hyperlink" Target="https://www.ercot.com/files/docs/2026/01/28/1310NPRR-06-LCRA-Comments-012826.docx" TargetMode="External"/><Relationship Id="rId1" Type="http://schemas.openxmlformats.org/officeDocument/2006/relationships/hyperlink" Target="https://www.ercot.com/files/docs/2026/01/28/1310NPRR-06-LCRA-Comments-012826.docx" TargetMode="External"/><Relationship Id="rId6" Type="http://schemas.openxmlformats.org/officeDocument/2006/relationships/hyperlink" Target="https://www.nerc.com/globalassets/our-work/assessments/nerc_ltra_2025.pdf" TargetMode="External"/><Relationship Id="rId5" Type="http://schemas.openxmlformats.org/officeDocument/2006/relationships/hyperlink" Target="https://interchange.puc.texas.gov/Documents/55000_30_1404503.PDF" TargetMode="External"/><Relationship Id="rId4" Type="http://schemas.openxmlformats.org/officeDocument/2006/relationships/hyperlink" Target="https://www.ercot.com/files/docs/2025/12/10/Aurora-Assessment-of-Resource-Adequacy-Needs-in-ERCOT-Region-and-Impact-of-Market-Design-Changes-2025.11.1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98F42D58D492445BCD4BB491F554FAD" ma:contentTypeVersion="4" ma:contentTypeDescription="Create a new document." ma:contentTypeScope="" ma:versionID="a109864c4f69396e075c023d0f928f21">
  <xsd:schema xmlns:xsd="http://www.w3.org/2001/XMLSchema" xmlns:xs="http://www.w3.org/2001/XMLSchema" xmlns:p="http://schemas.microsoft.com/office/2006/metadata/properties" xmlns:ns2="fb90a2b6-4ef7-4c9f-8e48-222864d5bb60" targetNamespace="http://schemas.microsoft.com/office/2006/metadata/properties" ma:root="true" ma:fieldsID="21a2e1d0150983905e2e812f1cc1f589" ns2:_="">
    <xsd:import namespace="fb90a2b6-4ef7-4c9f-8e48-222864d5bb6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90a2b6-4ef7-4c9f-8e48-222864d5bb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0ADE07C-B9A4-43CB-A0FB-6974A79AA984}">
  <ds:schemaRefs>
    <ds:schemaRef ds:uri="http://schemas.openxmlformats.org/officeDocument/2006/bibliography"/>
  </ds:schemaRefs>
</ds:datastoreItem>
</file>

<file path=customXml/itemProps2.xml><?xml version="1.0" encoding="utf-8"?>
<ds:datastoreItem xmlns:ds="http://schemas.openxmlformats.org/officeDocument/2006/customXml" ds:itemID="{B067C411-29C6-4616-A51F-CFC04F71663B}">
  <ds:schemaRefs>
    <ds:schemaRef ds:uri="http://schemas.microsoft.com/sharepoint/v3/contenttype/forms"/>
  </ds:schemaRefs>
</ds:datastoreItem>
</file>

<file path=customXml/itemProps3.xml><?xml version="1.0" encoding="utf-8"?>
<ds:datastoreItem xmlns:ds="http://schemas.openxmlformats.org/officeDocument/2006/customXml" ds:itemID="{BCD65B98-1F90-4730-A2FE-B38AC4F199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90a2b6-4ef7-4c9f-8e48-222864d5bb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85104CB-1E34-487F-A608-E117366D7E5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676</Words>
  <Characters>4181</Characters>
  <Application>Microsoft Office Word</Application>
  <DocSecurity>0</DocSecurity>
  <Lines>97</Lines>
  <Paragraphs>36</Paragraphs>
  <ScaleCrop>false</ScaleCrop>
  <Company/>
  <LinksUpToDate>false</LinksUpToDate>
  <CharactersWithSpaces>4821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ERCOT/if</dc:creator>
  <cp:keywords/>
  <dc:description/>
  <cp:lastModifiedBy>C Phillips</cp:lastModifiedBy>
  <cp:revision>3</cp:revision>
  <cp:lastPrinted>2001-06-20T16:28:00Z</cp:lastPrinted>
  <dcterms:created xsi:type="dcterms:W3CDTF">2026-02-03T00:06:00Z</dcterms:created>
  <dcterms:modified xsi:type="dcterms:W3CDTF">2026-02-03T00:07:00Z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2025-12-03T19:54:05Z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ca98c67d-d6ac-4dd6-a1cd-78d2e2a206dc</vt:lpwstr>
  </property>
  <property fmtid="{D5CDD505-2E9C-101B-9397-08002B2CF9AE}" pid="8" name="MSIP_Label_7084cbda-52b8-46fb-a7b7-cb5bd465ed85_ContentBits">
    <vt:lpwstr>0</vt:lpwstr>
  </property>
  <property fmtid="{D5CDD505-2E9C-101B-9397-08002B2CF9AE}" pid="9" name="MSIP_Label_7084cbda-52b8-46fb-a7b7-cb5bd465ed85_Tag">
    <vt:lpwstr>10, 3, 0, 1</vt:lpwstr>
  </property>
</Properties>
</file>