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52993" w14:paraId="6F2F8A2C" w14:textId="77777777">
        <w:tc>
          <w:tcPr>
            <w:tcW w:w="1620" w:type="dxa"/>
            <w:tcBorders>
              <w:bottom w:val="single" w:sz="4" w:space="0" w:color="auto"/>
            </w:tcBorders>
            <w:shd w:val="clear" w:color="auto" w:fill="FFFFFF"/>
            <w:vAlign w:val="center"/>
          </w:tcPr>
          <w:p w14:paraId="03E6F99E" w14:textId="77777777" w:rsidR="00152993" w:rsidRDefault="00EE6681">
            <w:pPr>
              <w:pStyle w:val="Header"/>
              <w:rPr>
                <w:rFonts w:ascii="Verdana" w:hAnsi="Verdana"/>
                <w:sz w:val="22"/>
              </w:rPr>
            </w:pPr>
            <w:r>
              <w:t>N</w:t>
            </w:r>
            <w:r w:rsidR="00152993">
              <w:t>PRR Number</w:t>
            </w:r>
          </w:p>
        </w:tc>
        <w:tc>
          <w:tcPr>
            <w:tcW w:w="1260" w:type="dxa"/>
            <w:tcBorders>
              <w:bottom w:val="single" w:sz="4" w:space="0" w:color="auto"/>
            </w:tcBorders>
            <w:vAlign w:val="center"/>
          </w:tcPr>
          <w:p w14:paraId="4F02D067" w14:textId="5E096140" w:rsidR="00152993" w:rsidRDefault="00557586">
            <w:pPr>
              <w:pStyle w:val="Header"/>
            </w:pPr>
            <w:hyperlink r:id="rId11" w:history="1">
              <w:r w:rsidRPr="005A3E8F">
                <w:rPr>
                  <w:rStyle w:val="Hyperlink"/>
                </w:rPr>
                <w:t>1340</w:t>
              </w:r>
            </w:hyperlink>
          </w:p>
        </w:tc>
        <w:tc>
          <w:tcPr>
            <w:tcW w:w="900" w:type="dxa"/>
            <w:tcBorders>
              <w:bottom w:val="single" w:sz="4" w:space="0" w:color="auto"/>
            </w:tcBorders>
            <w:shd w:val="clear" w:color="auto" w:fill="FFFFFF"/>
            <w:vAlign w:val="center"/>
          </w:tcPr>
          <w:p w14:paraId="3A01ED7D" w14:textId="77777777" w:rsidR="00152993" w:rsidRDefault="00EE6681">
            <w:pPr>
              <w:pStyle w:val="Header"/>
            </w:pPr>
            <w:r>
              <w:t>N</w:t>
            </w:r>
            <w:r w:rsidR="00152993">
              <w:t>PRR Title</w:t>
            </w:r>
          </w:p>
        </w:tc>
        <w:tc>
          <w:tcPr>
            <w:tcW w:w="6660" w:type="dxa"/>
            <w:tcBorders>
              <w:bottom w:val="single" w:sz="4" w:space="0" w:color="auto"/>
            </w:tcBorders>
            <w:vAlign w:val="center"/>
          </w:tcPr>
          <w:p w14:paraId="7700A7BA" w14:textId="19C31E64" w:rsidR="00152993" w:rsidRDefault="00557586">
            <w:pPr>
              <w:pStyle w:val="Header"/>
            </w:pPr>
            <w:r w:rsidRPr="00FF70C2">
              <w:t>Dispatchable Reliability Reserve Service Ancillary Service</w:t>
            </w:r>
            <w:r>
              <w:t xml:space="preserve"> with Energy Storage Resource Participation</w:t>
            </w:r>
          </w:p>
        </w:tc>
      </w:tr>
      <w:tr w:rsidR="00152993" w14:paraId="239E699C" w14:textId="77777777">
        <w:trPr>
          <w:trHeight w:val="413"/>
        </w:trPr>
        <w:tc>
          <w:tcPr>
            <w:tcW w:w="2880" w:type="dxa"/>
            <w:gridSpan w:val="2"/>
            <w:tcBorders>
              <w:top w:val="nil"/>
              <w:left w:val="nil"/>
              <w:bottom w:val="single" w:sz="4" w:space="0" w:color="auto"/>
              <w:right w:val="nil"/>
            </w:tcBorders>
            <w:vAlign w:val="center"/>
          </w:tcPr>
          <w:p w14:paraId="0DD4A0B7" w14:textId="77777777" w:rsidR="00152993" w:rsidRDefault="00152993">
            <w:pPr>
              <w:pStyle w:val="NormalArial"/>
            </w:pPr>
          </w:p>
        </w:tc>
        <w:tc>
          <w:tcPr>
            <w:tcW w:w="7560" w:type="dxa"/>
            <w:gridSpan w:val="2"/>
            <w:tcBorders>
              <w:top w:val="single" w:sz="4" w:space="0" w:color="auto"/>
              <w:left w:val="nil"/>
              <w:bottom w:val="nil"/>
              <w:right w:val="nil"/>
            </w:tcBorders>
            <w:vAlign w:val="center"/>
          </w:tcPr>
          <w:p w14:paraId="31264128" w14:textId="77777777" w:rsidR="00152993" w:rsidRDefault="00152993">
            <w:pPr>
              <w:pStyle w:val="NormalArial"/>
            </w:pPr>
          </w:p>
        </w:tc>
      </w:tr>
      <w:tr w:rsidR="00152993" w14:paraId="7F778E9E"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0F46437E" w14:textId="77777777" w:rsidR="00152993" w:rsidRDefault="00152993">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597E6A2" w14:textId="5785C003" w:rsidR="00152993" w:rsidRDefault="00557586">
            <w:pPr>
              <w:pStyle w:val="NormalArial"/>
            </w:pPr>
            <w:r>
              <w:t xml:space="preserve">July </w:t>
            </w:r>
            <w:r w:rsidR="00AA236C">
              <w:t>21</w:t>
            </w:r>
            <w:r>
              <w:t>, 2026</w:t>
            </w:r>
          </w:p>
        </w:tc>
      </w:tr>
      <w:tr w:rsidR="00152993" w14:paraId="18509604" w14:textId="77777777">
        <w:trPr>
          <w:trHeight w:val="467"/>
        </w:trPr>
        <w:tc>
          <w:tcPr>
            <w:tcW w:w="2880" w:type="dxa"/>
            <w:gridSpan w:val="2"/>
            <w:tcBorders>
              <w:top w:val="single" w:sz="4" w:space="0" w:color="auto"/>
              <w:left w:val="nil"/>
              <w:bottom w:val="nil"/>
              <w:right w:val="nil"/>
            </w:tcBorders>
            <w:shd w:val="clear" w:color="auto" w:fill="FFFFFF"/>
            <w:vAlign w:val="center"/>
          </w:tcPr>
          <w:p w14:paraId="28A74553" w14:textId="77777777" w:rsidR="00152993" w:rsidRDefault="00152993">
            <w:pPr>
              <w:pStyle w:val="NormalArial"/>
            </w:pPr>
          </w:p>
        </w:tc>
        <w:tc>
          <w:tcPr>
            <w:tcW w:w="7560" w:type="dxa"/>
            <w:gridSpan w:val="2"/>
            <w:tcBorders>
              <w:top w:val="nil"/>
              <w:left w:val="nil"/>
              <w:bottom w:val="nil"/>
              <w:right w:val="nil"/>
            </w:tcBorders>
            <w:vAlign w:val="center"/>
          </w:tcPr>
          <w:p w14:paraId="341B59CB" w14:textId="77777777" w:rsidR="00152993" w:rsidRDefault="00152993">
            <w:pPr>
              <w:pStyle w:val="NormalArial"/>
            </w:pPr>
          </w:p>
        </w:tc>
      </w:tr>
      <w:tr w:rsidR="00152993" w14:paraId="6C616F50" w14:textId="77777777">
        <w:trPr>
          <w:trHeight w:val="440"/>
        </w:trPr>
        <w:tc>
          <w:tcPr>
            <w:tcW w:w="10440" w:type="dxa"/>
            <w:gridSpan w:val="4"/>
            <w:tcBorders>
              <w:top w:val="single" w:sz="4" w:space="0" w:color="auto"/>
            </w:tcBorders>
            <w:shd w:val="clear" w:color="auto" w:fill="FFFFFF"/>
            <w:vAlign w:val="center"/>
          </w:tcPr>
          <w:p w14:paraId="6697E60D" w14:textId="77777777" w:rsidR="00152993" w:rsidRDefault="00152993">
            <w:pPr>
              <w:pStyle w:val="Header"/>
              <w:jc w:val="center"/>
            </w:pPr>
            <w:r>
              <w:t>Submitter’s Information</w:t>
            </w:r>
          </w:p>
        </w:tc>
      </w:tr>
      <w:tr w:rsidR="00152993" w14:paraId="791A2885" w14:textId="77777777">
        <w:trPr>
          <w:trHeight w:val="350"/>
        </w:trPr>
        <w:tc>
          <w:tcPr>
            <w:tcW w:w="2880" w:type="dxa"/>
            <w:gridSpan w:val="2"/>
            <w:shd w:val="clear" w:color="auto" w:fill="FFFFFF"/>
            <w:vAlign w:val="center"/>
          </w:tcPr>
          <w:p w14:paraId="70F85429" w14:textId="77777777" w:rsidR="00152993" w:rsidRPr="00EC55B3" w:rsidRDefault="00152993" w:rsidP="00EC55B3">
            <w:pPr>
              <w:pStyle w:val="Header"/>
            </w:pPr>
            <w:r w:rsidRPr="00EC55B3">
              <w:t>Name</w:t>
            </w:r>
          </w:p>
        </w:tc>
        <w:tc>
          <w:tcPr>
            <w:tcW w:w="7560" w:type="dxa"/>
            <w:gridSpan w:val="2"/>
            <w:vAlign w:val="center"/>
          </w:tcPr>
          <w:p w14:paraId="01C18BBB" w14:textId="5A7DB1C5" w:rsidR="00152993" w:rsidRDefault="00557586">
            <w:pPr>
              <w:pStyle w:val="NormalArial"/>
            </w:pPr>
            <w:r>
              <w:t xml:space="preserve">Paul Townsend; </w:t>
            </w:r>
            <w:r w:rsidR="00AE3E1A">
              <w:t>Michele Richmond</w:t>
            </w:r>
          </w:p>
        </w:tc>
      </w:tr>
      <w:tr w:rsidR="00152993" w14:paraId="62904AE8" w14:textId="77777777">
        <w:trPr>
          <w:trHeight w:val="350"/>
        </w:trPr>
        <w:tc>
          <w:tcPr>
            <w:tcW w:w="2880" w:type="dxa"/>
            <w:gridSpan w:val="2"/>
            <w:shd w:val="clear" w:color="auto" w:fill="FFFFFF"/>
            <w:vAlign w:val="center"/>
          </w:tcPr>
          <w:p w14:paraId="7B91813C" w14:textId="77777777" w:rsidR="00152993" w:rsidRPr="00EC55B3" w:rsidRDefault="00152993" w:rsidP="00EC55B3">
            <w:pPr>
              <w:pStyle w:val="Header"/>
            </w:pPr>
            <w:r w:rsidRPr="00EC55B3">
              <w:t>E-mail Address</w:t>
            </w:r>
          </w:p>
        </w:tc>
        <w:tc>
          <w:tcPr>
            <w:tcW w:w="7560" w:type="dxa"/>
            <w:gridSpan w:val="2"/>
            <w:vAlign w:val="center"/>
          </w:tcPr>
          <w:p w14:paraId="1817C293" w14:textId="2D15A315" w:rsidR="00152993" w:rsidRDefault="00557586">
            <w:pPr>
              <w:pStyle w:val="NormalArial"/>
            </w:pPr>
            <w:hyperlink r:id="rId12" w:history="1">
              <w:r w:rsidRPr="00462307">
                <w:rPr>
                  <w:rStyle w:val="Hyperlink"/>
                </w:rPr>
                <w:t>paul@competitivepower.org</w:t>
              </w:r>
            </w:hyperlink>
            <w:r>
              <w:t xml:space="preserve">; </w:t>
            </w:r>
            <w:hyperlink r:id="rId13" w:history="1">
              <w:r w:rsidR="00F51720" w:rsidRPr="00143780">
                <w:rPr>
                  <w:rStyle w:val="Hyperlink"/>
                </w:rPr>
                <w:t>michele@competitivepower.org</w:t>
              </w:r>
            </w:hyperlink>
          </w:p>
        </w:tc>
      </w:tr>
      <w:tr w:rsidR="00152993" w14:paraId="5765279B" w14:textId="77777777">
        <w:trPr>
          <w:trHeight w:val="350"/>
        </w:trPr>
        <w:tc>
          <w:tcPr>
            <w:tcW w:w="2880" w:type="dxa"/>
            <w:gridSpan w:val="2"/>
            <w:shd w:val="clear" w:color="auto" w:fill="FFFFFF"/>
            <w:vAlign w:val="center"/>
          </w:tcPr>
          <w:p w14:paraId="54968763" w14:textId="77777777" w:rsidR="00152993" w:rsidRPr="00EC55B3" w:rsidRDefault="00152993" w:rsidP="00EC55B3">
            <w:pPr>
              <w:pStyle w:val="Header"/>
            </w:pPr>
            <w:r w:rsidRPr="00EC55B3">
              <w:t>Company</w:t>
            </w:r>
          </w:p>
        </w:tc>
        <w:tc>
          <w:tcPr>
            <w:tcW w:w="7560" w:type="dxa"/>
            <w:gridSpan w:val="2"/>
            <w:vAlign w:val="center"/>
          </w:tcPr>
          <w:p w14:paraId="2DD4CA64" w14:textId="77777777" w:rsidR="00152993" w:rsidRDefault="00AE3E1A">
            <w:pPr>
              <w:pStyle w:val="NormalArial"/>
            </w:pPr>
            <w:r>
              <w:t>Texas Competitive Power Advocates (TCPA)</w:t>
            </w:r>
          </w:p>
        </w:tc>
      </w:tr>
      <w:tr w:rsidR="00152993" w14:paraId="1598AFA2" w14:textId="77777777">
        <w:trPr>
          <w:trHeight w:val="350"/>
        </w:trPr>
        <w:tc>
          <w:tcPr>
            <w:tcW w:w="2880" w:type="dxa"/>
            <w:gridSpan w:val="2"/>
            <w:tcBorders>
              <w:bottom w:val="single" w:sz="4" w:space="0" w:color="auto"/>
            </w:tcBorders>
            <w:shd w:val="clear" w:color="auto" w:fill="FFFFFF"/>
            <w:vAlign w:val="center"/>
          </w:tcPr>
          <w:p w14:paraId="5EAD57DF" w14:textId="77777777" w:rsidR="00152993" w:rsidRPr="00EC55B3" w:rsidRDefault="00152993" w:rsidP="00EC55B3">
            <w:pPr>
              <w:pStyle w:val="Header"/>
            </w:pPr>
            <w:r w:rsidRPr="00EC55B3">
              <w:t>Phone Number</w:t>
            </w:r>
          </w:p>
        </w:tc>
        <w:tc>
          <w:tcPr>
            <w:tcW w:w="7560" w:type="dxa"/>
            <w:gridSpan w:val="2"/>
            <w:tcBorders>
              <w:bottom w:val="single" w:sz="4" w:space="0" w:color="auto"/>
            </w:tcBorders>
            <w:vAlign w:val="center"/>
          </w:tcPr>
          <w:p w14:paraId="3B10FBCD" w14:textId="3F7B7EAA" w:rsidR="00152993" w:rsidRDefault="00152993">
            <w:pPr>
              <w:pStyle w:val="NormalArial"/>
            </w:pPr>
          </w:p>
        </w:tc>
      </w:tr>
      <w:tr w:rsidR="00152993" w14:paraId="23C59250" w14:textId="77777777">
        <w:trPr>
          <w:trHeight w:val="350"/>
        </w:trPr>
        <w:tc>
          <w:tcPr>
            <w:tcW w:w="2880" w:type="dxa"/>
            <w:gridSpan w:val="2"/>
            <w:shd w:val="clear" w:color="auto" w:fill="FFFFFF"/>
            <w:vAlign w:val="center"/>
          </w:tcPr>
          <w:p w14:paraId="1D968A42" w14:textId="77777777" w:rsidR="00152993" w:rsidRPr="00EC55B3" w:rsidRDefault="00075A94" w:rsidP="00EC55B3">
            <w:pPr>
              <w:pStyle w:val="Header"/>
            </w:pPr>
            <w:r>
              <w:t>Cell</w:t>
            </w:r>
            <w:r w:rsidRPr="00EC55B3">
              <w:t xml:space="preserve"> </w:t>
            </w:r>
            <w:r w:rsidR="00152993" w:rsidRPr="00EC55B3">
              <w:t>Number</w:t>
            </w:r>
          </w:p>
        </w:tc>
        <w:tc>
          <w:tcPr>
            <w:tcW w:w="7560" w:type="dxa"/>
            <w:gridSpan w:val="2"/>
            <w:vAlign w:val="center"/>
          </w:tcPr>
          <w:p w14:paraId="3342C67E" w14:textId="2D79A2FD" w:rsidR="00152993" w:rsidRDefault="00557586">
            <w:pPr>
              <w:pStyle w:val="NormalArial"/>
            </w:pPr>
            <w:r>
              <w:t xml:space="preserve">512-853-0655; </w:t>
            </w:r>
            <w:r w:rsidR="00AE3E1A">
              <w:t>512-653-7447</w:t>
            </w:r>
          </w:p>
        </w:tc>
      </w:tr>
      <w:tr w:rsidR="00075A94" w14:paraId="1C3DC4C2" w14:textId="77777777">
        <w:trPr>
          <w:trHeight w:val="350"/>
        </w:trPr>
        <w:tc>
          <w:tcPr>
            <w:tcW w:w="2880" w:type="dxa"/>
            <w:gridSpan w:val="2"/>
            <w:tcBorders>
              <w:bottom w:val="single" w:sz="4" w:space="0" w:color="auto"/>
            </w:tcBorders>
            <w:shd w:val="clear" w:color="auto" w:fill="FFFFFF"/>
            <w:vAlign w:val="center"/>
          </w:tcPr>
          <w:p w14:paraId="6D8AC5ED" w14:textId="77777777" w:rsidR="00075A94" w:rsidRPr="00EC55B3" w:rsidDel="00075A94" w:rsidRDefault="00075A94" w:rsidP="00EC55B3">
            <w:pPr>
              <w:pStyle w:val="Header"/>
            </w:pPr>
            <w:r>
              <w:t>Market Segment</w:t>
            </w:r>
          </w:p>
        </w:tc>
        <w:tc>
          <w:tcPr>
            <w:tcW w:w="7560" w:type="dxa"/>
            <w:gridSpan w:val="2"/>
            <w:tcBorders>
              <w:bottom w:val="single" w:sz="4" w:space="0" w:color="auto"/>
            </w:tcBorders>
            <w:vAlign w:val="center"/>
          </w:tcPr>
          <w:p w14:paraId="7FD7FE25" w14:textId="7FB712C6" w:rsidR="00075A94" w:rsidRDefault="00B1614B">
            <w:pPr>
              <w:pStyle w:val="NormalArial"/>
            </w:pPr>
            <w:r>
              <w:t>Independent Generator</w:t>
            </w:r>
            <w:r w:rsidR="00F51720">
              <w:t xml:space="preserve"> </w:t>
            </w:r>
            <w:r w:rsidR="00AE3E1A">
              <w:t>/ Independent Power Marketer</w:t>
            </w:r>
          </w:p>
        </w:tc>
      </w:tr>
    </w:tbl>
    <w:p w14:paraId="31F3B31A" w14:textId="77777777" w:rsidR="00075A94" w:rsidRDefault="00075A94">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075A94" w:rsidRPr="00B5080A" w14:paraId="1C817625" w14:textId="77777777" w:rsidTr="00B5080A">
        <w:trPr>
          <w:trHeight w:val="422"/>
          <w:jc w:val="center"/>
        </w:trPr>
        <w:tc>
          <w:tcPr>
            <w:tcW w:w="10440" w:type="dxa"/>
            <w:vAlign w:val="center"/>
          </w:tcPr>
          <w:p w14:paraId="6D2AC2D6" w14:textId="77777777" w:rsidR="00075A94" w:rsidRPr="00075A94" w:rsidRDefault="00075A94" w:rsidP="00B5080A">
            <w:pPr>
              <w:pStyle w:val="Header"/>
              <w:jc w:val="center"/>
            </w:pPr>
            <w:r w:rsidRPr="00075A94">
              <w:t>Comments</w:t>
            </w:r>
          </w:p>
        </w:tc>
      </w:tr>
    </w:tbl>
    <w:p w14:paraId="434BBEBE" w14:textId="77777777" w:rsidR="001520A7" w:rsidRDefault="001520A7" w:rsidP="001520A7">
      <w:pPr>
        <w:pStyle w:val="NormalArial"/>
      </w:pPr>
    </w:p>
    <w:p w14:paraId="4BE1696C" w14:textId="041AC4E0" w:rsidR="001520A7" w:rsidRDefault="001520A7" w:rsidP="001520A7">
      <w:pPr>
        <w:pStyle w:val="NormalArial"/>
      </w:pPr>
      <w:r>
        <w:t xml:space="preserve">Texas Competitive Power Advocates (TCPA) appreciates ERCOT’s work to develop </w:t>
      </w:r>
      <w:r w:rsidR="00B4309F">
        <w:t>Nodal Protocol Revision Request (</w:t>
      </w:r>
      <w:r>
        <w:t>NPRR</w:t>
      </w:r>
      <w:r w:rsidR="00B4309F">
        <w:t xml:space="preserve">) </w:t>
      </w:r>
      <w:r>
        <w:t xml:space="preserve">1340, in response to the Public Utility Commission of Texas’ </w:t>
      </w:r>
      <w:r w:rsidR="00B4309F">
        <w:t xml:space="preserve">(PUCT’s) </w:t>
      </w:r>
      <w:r>
        <w:t>direction to consider Energy Storage Resource (ESR) participation in DRRS separately from NPRR1309</w:t>
      </w:r>
      <w:r w:rsidR="00B4309F">
        <w:t xml:space="preserve">, </w:t>
      </w:r>
      <w:r w:rsidR="00B4309F" w:rsidRPr="00B4309F">
        <w:t>Board Priority - Dispatchable Reliability Reserve Service Ancillary Service</w:t>
      </w:r>
      <w:r w:rsidR="00B4309F">
        <w:t>,</w:t>
      </w:r>
      <w:r>
        <w:t xml:space="preserve"> and NPRR1310</w:t>
      </w:r>
      <w:r w:rsidR="00B4309F">
        <w:t xml:space="preserve">, </w:t>
      </w:r>
      <w:r w:rsidR="00B4309F" w:rsidRPr="00B4309F">
        <w:t>Dispatchable Reliability Reserve Service Plus Energy Storage Resource Participation and Release Factor</w:t>
      </w:r>
      <w:r>
        <w:t>.</w:t>
      </w:r>
    </w:p>
    <w:p w14:paraId="21962B61" w14:textId="77777777" w:rsidR="001520A7" w:rsidRDefault="001520A7" w:rsidP="001520A7">
      <w:pPr>
        <w:pStyle w:val="NormalArial"/>
      </w:pPr>
    </w:p>
    <w:p w14:paraId="190AE53C" w14:textId="4F721150" w:rsidR="001520A7" w:rsidRDefault="001520A7" w:rsidP="001520A7">
      <w:pPr>
        <w:pStyle w:val="NormalArial"/>
      </w:pPr>
      <w:r w:rsidRPr="004C7AC8">
        <w:t>TCPA</w:t>
      </w:r>
      <w:r w:rsidR="004C7AC8" w:rsidRPr="004C7AC8">
        <w:t xml:space="preserve"> believes in open markets and resource-neutrality, </w:t>
      </w:r>
      <w:r w:rsidR="009503F8">
        <w:t>thus</w:t>
      </w:r>
      <w:r w:rsidR="009503F8" w:rsidRPr="004C7AC8">
        <w:t xml:space="preserve"> </w:t>
      </w:r>
      <w:r w:rsidR="004C7AC8" w:rsidRPr="004C7AC8">
        <w:t xml:space="preserve">it </w:t>
      </w:r>
      <w:r w:rsidRPr="004C7AC8">
        <w:t>does not oppose consideration of ESR participation in DRRS</w:t>
      </w:r>
      <w:r w:rsidR="004C7AC8" w:rsidRPr="004C7AC8">
        <w:t xml:space="preserve">. </w:t>
      </w:r>
      <w:r w:rsidRPr="004C7AC8">
        <w:t>Ho</w:t>
      </w:r>
      <w:r>
        <w:t xml:space="preserve">wever, because NPRR1340 would determine how ESRs may qualify for and provide this new reliability service, TCPA urges ERCOT and stakeholders to ensure that ESR eligibility is designed </w:t>
      </w:r>
      <w:r w:rsidR="009503F8">
        <w:t>to meet the market need identified in statute and ensure the product fulfills its intended purp</w:t>
      </w:r>
      <w:r w:rsidR="0053463C">
        <w:t>o</w:t>
      </w:r>
      <w:r w:rsidR="009503F8">
        <w:t>ses – not to accommodate company business models or commercial preferences.</w:t>
      </w:r>
    </w:p>
    <w:p w14:paraId="5208DCBA" w14:textId="77777777" w:rsidR="001520A7" w:rsidRDefault="001520A7" w:rsidP="001520A7">
      <w:pPr>
        <w:pStyle w:val="NormalArial"/>
      </w:pPr>
    </w:p>
    <w:p w14:paraId="3908B2AC" w14:textId="158A3676" w:rsidR="001520A7" w:rsidRPr="001520A7" w:rsidRDefault="001520A7" w:rsidP="001520A7">
      <w:pPr>
        <w:pStyle w:val="NormalArial"/>
        <w:rPr>
          <w:b/>
          <w:bCs/>
        </w:rPr>
      </w:pPr>
      <w:r w:rsidRPr="001520A7">
        <w:rPr>
          <w:b/>
          <w:bCs/>
        </w:rPr>
        <w:t>ESR Duration Requirements Should Reflect the Reliability Need</w:t>
      </w:r>
    </w:p>
    <w:p w14:paraId="1DBB47EE" w14:textId="77777777" w:rsidR="001520A7" w:rsidRDefault="001520A7" w:rsidP="001520A7">
      <w:pPr>
        <w:pStyle w:val="NormalArial"/>
      </w:pPr>
    </w:p>
    <w:p w14:paraId="34C327F7" w14:textId="2E5728A0" w:rsidR="001520A7" w:rsidRDefault="001520A7" w:rsidP="001520A7">
      <w:pPr>
        <w:pStyle w:val="NormalArial"/>
      </w:pPr>
      <w:r>
        <w:t xml:space="preserve">PURA § 39.159(d)(2)(A) requires a DRRS resource to </w:t>
      </w:r>
      <w:r>
        <w:rPr>
          <w:rFonts w:cs="Arial"/>
        </w:rPr>
        <w:t xml:space="preserve">“be capable of running for </w:t>
      </w:r>
      <w:r w:rsidRPr="00C85312">
        <w:rPr>
          <w:rFonts w:cs="Arial"/>
          <w:i/>
          <w:iCs/>
        </w:rPr>
        <w:t>at least</w:t>
      </w:r>
      <w:r>
        <w:rPr>
          <w:rFonts w:cs="Arial"/>
        </w:rPr>
        <w:t xml:space="preserve"> [emphasis added] four hours at the resource’s high sustained limit….”</w:t>
      </w:r>
      <w:r>
        <w:t xml:space="preserve"> PURA § 39.159(e) further provides that ERCOT “may require a resource to be capable of running for </w:t>
      </w:r>
      <w:r w:rsidRPr="001520A7">
        <w:rPr>
          <w:i/>
          <w:iCs/>
        </w:rPr>
        <w:t>more than four hours</w:t>
      </w:r>
      <w:r>
        <w:t xml:space="preserve"> [emphasis added] as [ERCOT] determines is needed.”</w:t>
      </w:r>
    </w:p>
    <w:p w14:paraId="3DE0F28B" w14:textId="77777777" w:rsidR="001520A7" w:rsidRDefault="001520A7" w:rsidP="001520A7">
      <w:pPr>
        <w:pStyle w:val="NormalArial"/>
      </w:pPr>
    </w:p>
    <w:p w14:paraId="79C580BB" w14:textId="145B63B4" w:rsidR="001520A7" w:rsidRDefault="001520A7" w:rsidP="001520A7">
      <w:pPr>
        <w:pStyle w:val="NormalArial"/>
      </w:pPr>
      <w:r>
        <w:t xml:space="preserve">Accordingly, the four-hour requirement </w:t>
      </w:r>
      <w:r w:rsidR="009503F8">
        <w:t>establishes a minimum run time eligibility</w:t>
      </w:r>
      <w:r>
        <w:t xml:space="preserve">, not a </w:t>
      </w:r>
      <w:r w:rsidR="009503F8">
        <w:t>maximum or fixed design threshold</w:t>
      </w:r>
      <w:r>
        <w:t xml:space="preserve">. </w:t>
      </w:r>
      <w:r w:rsidR="009503F8">
        <w:t xml:space="preserve">It should be understood as a floor that permits higher performance requirements when necessary to ensure the product fulfills its intended purpose. </w:t>
      </w:r>
      <w:r>
        <w:t xml:space="preserve">NPRR1340 currently allows ESRs to qualify if they can sustain their DRRS award for four consecutive hours. While that may satisfy the minimum statutory </w:t>
      </w:r>
      <w:r>
        <w:lastRenderedPageBreak/>
        <w:t>threshold, TCPA is concerned that a uniform four-hour duration requirement may not be sufficient to support DRRS’ broader reliability purpose, particularly during winter reliability events and extended periods of tight operating conditions.</w:t>
      </w:r>
    </w:p>
    <w:p w14:paraId="28E875A7" w14:textId="77777777" w:rsidR="001520A7" w:rsidRDefault="001520A7" w:rsidP="001520A7">
      <w:pPr>
        <w:pStyle w:val="NormalArial"/>
      </w:pPr>
    </w:p>
    <w:p w14:paraId="4890F0D4" w14:textId="6FDAC229" w:rsidR="001520A7" w:rsidRDefault="04F64130" w:rsidP="004918EE">
      <w:pPr>
        <w:pStyle w:val="NormalArial"/>
      </w:pPr>
      <w:r>
        <w:t>DRRS is not simply another short-duration ancillary service. PURA § 39.159 establishes DRRS as part of a broader reliability framework intended to account for market uncertainty, address inter-hour operational challenges, reduce reliance on Reliability Unit Commitment (RUC), and support the ERCOT reliability standard. Stated more succinctly, this section was established to</w:t>
      </w:r>
      <w:r w:rsidRPr="04F64130">
        <w:rPr>
          <w:rFonts w:ascii="Segoe UI" w:eastAsia="Segoe UI" w:hAnsi="Segoe UI" w:cs="Segoe UI"/>
          <w:sz w:val="21"/>
          <w:szCs w:val="21"/>
        </w:rPr>
        <w:t xml:space="preserve"> </w:t>
      </w:r>
      <w:r w:rsidRPr="004918EE">
        <w:t>ensure the ERCOT region has sufficient dispatchable, weather-resilient resources and reliability services to maintain grid reliability during high-risk conditions while preserving a competitive market structure.</w:t>
      </w:r>
      <w:r w:rsidRPr="04F64130">
        <w:t xml:space="preserve"> </w:t>
      </w:r>
    </w:p>
    <w:p w14:paraId="78F65AE9" w14:textId="3CA726E7" w:rsidR="001520A7" w:rsidRDefault="04F64130" w:rsidP="004918EE">
      <w:pPr>
        <w:pStyle w:val="NormalArial"/>
      </w:pPr>
      <w:r>
        <w:t>If ESRs are permitted to provide DRRS, their qualification requirements should reflect the duration of the reliability risks DRRS is intended to mitigate. These reliability risks differ from season to season.</w:t>
      </w:r>
    </w:p>
    <w:p w14:paraId="1E0A9548" w14:textId="77777777" w:rsidR="001520A7" w:rsidRDefault="001520A7" w:rsidP="001520A7">
      <w:pPr>
        <w:pStyle w:val="NormalArial"/>
      </w:pPr>
    </w:p>
    <w:p w14:paraId="170DAF92" w14:textId="5F0DD78B" w:rsidR="001520A7" w:rsidRPr="00FE183F" w:rsidRDefault="001520A7" w:rsidP="001520A7">
      <w:pPr>
        <w:pStyle w:val="NormalArial"/>
        <w:rPr>
          <w:b/>
          <w:bCs/>
        </w:rPr>
      </w:pPr>
      <w:r w:rsidRPr="00FE183F">
        <w:rPr>
          <w:b/>
          <w:bCs/>
        </w:rPr>
        <w:t>Winter Conditions Require Longer-Duration Capability</w:t>
      </w:r>
    </w:p>
    <w:p w14:paraId="0315214D" w14:textId="77777777" w:rsidR="001520A7" w:rsidRDefault="001520A7" w:rsidP="001520A7">
      <w:pPr>
        <w:pStyle w:val="NormalArial"/>
      </w:pPr>
    </w:p>
    <w:p w14:paraId="5CAB2F5C" w14:textId="73798908" w:rsidR="001520A7" w:rsidRDefault="04F64130" w:rsidP="001520A7">
      <w:pPr>
        <w:pStyle w:val="NormalArial"/>
      </w:pPr>
      <w:r>
        <w:t>TCPA contends that historical performance demonstrates a longer duration requirement is warranted for the winter season. Every recent ERCOT winter event, including Winter Storm Uri, and those that have occurred since, has persisted for at least 72 hours (e.g. Winter Storms Landon and Heather), with several lasting even longer. During these periods, the reliability need is not limited to a single four-hour operating window.</w:t>
      </w:r>
    </w:p>
    <w:p w14:paraId="2E44B298" w14:textId="77777777" w:rsidR="001520A7" w:rsidRDefault="001520A7" w:rsidP="001520A7">
      <w:pPr>
        <w:pStyle w:val="NormalArial"/>
      </w:pPr>
    </w:p>
    <w:p w14:paraId="1C84375B" w14:textId="5C66F4E3" w:rsidR="001520A7" w:rsidRDefault="001520A7" w:rsidP="001520A7">
      <w:pPr>
        <w:pStyle w:val="NormalArial"/>
      </w:pPr>
      <w:r>
        <w:t xml:space="preserve">For that reason, TCPA recommends that ERCOT evaluate whether ESR participation in DRRS </w:t>
      </w:r>
      <w:r w:rsidR="00F77A8F">
        <w:t xml:space="preserve">during the winter season </w:t>
      </w:r>
      <w:r>
        <w:t>should require a longer duration capability, potentially up to 72 hours, consistent with the multi-day nature of recent winter reliability events and the statutory requirement that the ERCOT reliability standard</w:t>
      </w:r>
      <w:r w:rsidR="009D34E4">
        <w:t xml:space="preserve">, </w:t>
      </w:r>
      <w:r w:rsidR="00536376">
        <w:t>in</w:t>
      </w:r>
      <w:r w:rsidR="009D34E4">
        <w:t xml:space="preserve"> which </w:t>
      </w:r>
      <w:r w:rsidR="00536376">
        <w:t xml:space="preserve">the Legislature embedded the </w:t>
      </w:r>
      <w:r w:rsidR="009D34E4">
        <w:t xml:space="preserve">DRRS </w:t>
      </w:r>
      <w:r w:rsidR="00536376">
        <w:t>product,</w:t>
      </w:r>
      <w:r>
        <w:t xml:space="preserve"> account for winter performance over several days.</w:t>
      </w:r>
    </w:p>
    <w:p w14:paraId="174C5223" w14:textId="77777777" w:rsidR="001520A7" w:rsidRDefault="001520A7" w:rsidP="001520A7">
      <w:pPr>
        <w:pStyle w:val="NormalArial"/>
      </w:pPr>
    </w:p>
    <w:p w14:paraId="65F7C568" w14:textId="77777777" w:rsidR="001520A7" w:rsidRDefault="001520A7" w:rsidP="001520A7">
      <w:pPr>
        <w:pStyle w:val="NormalArial"/>
      </w:pPr>
      <w:r>
        <w:t>At minimum, ERCOT should not treat four-hour ESR capability as inherently equivalent to the long-duration dispatchable capability needed during extended winter weather conditions. A four-hour ESR may provide meaningful operational value, but that value should be recognized for what it is: limited-duration discharge capability, not a substitute for resources capable of sustained operation across a multi-day reliability event.</w:t>
      </w:r>
    </w:p>
    <w:p w14:paraId="6D5D0590" w14:textId="77777777" w:rsidR="001520A7" w:rsidRDefault="001520A7" w:rsidP="001520A7">
      <w:pPr>
        <w:pStyle w:val="NormalArial"/>
      </w:pPr>
    </w:p>
    <w:p w14:paraId="24AB5CE6" w14:textId="3D298738" w:rsidR="001520A7" w:rsidRPr="00FE183F" w:rsidRDefault="001520A7" w:rsidP="001520A7">
      <w:pPr>
        <w:pStyle w:val="NormalArial"/>
        <w:rPr>
          <w:b/>
          <w:bCs/>
        </w:rPr>
      </w:pPr>
      <w:r w:rsidRPr="00FE183F">
        <w:rPr>
          <w:b/>
          <w:bCs/>
        </w:rPr>
        <w:t>A Longer Duration Standard Is Also Appropriate Outside Winter</w:t>
      </w:r>
    </w:p>
    <w:p w14:paraId="5D17B97F" w14:textId="77777777" w:rsidR="001520A7" w:rsidRDefault="001520A7" w:rsidP="001520A7">
      <w:pPr>
        <w:pStyle w:val="NormalArial"/>
      </w:pPr>
    </w:p>
    <w:p w14:paraId="72342416" w14:textId="1220A84D" w:rsidR="001520A7" w:rsidRDefault="04F64130" w:rsidP="004918EE">
      <w:pPr>
        <w:pStyle w:val="NormalArial"/>
      </w:pPr>
      <w:r>
        <w:t>For the spring, summer, and fall seasons (collectively “non-winter months”), TCPA recommends that ERCOT evaluate a duration requirement longer than four hours, such as six hours, for ESR participation in DRRS. This would better align DRRS with the reliability challenges it is intended to reduce, including RUC deployments that often involve minimum run times exceeding four hours. Beyond the statutory allowance for longer durations, a</w:t>
      </w:r>
      <w:r w:rsidRPr="04F64130">
        <w:rPr>
          <w:rFonts w:ascii="Segoe UI" w:eastAsia="Segoe UI" w:hAnsi="Segoe UI" w:cs="Segoe UI"/>
          <w:sz w:val="21"/>
          <w:szCs w:val="21"/>
        </w:rPr>
        <w:t xml:space="preserve"> </w:t>
      </w:r>
      <w:r w:rsidRPr="004918EE">
        <w:rPr>
          <w:rFonts w:eastAsia="Arial" w:cs="Arial"/>
        </w:rPr>
        <w:t>six</w:t>
      </w:r>
      <w:r w:rsidRPr="004918EE">
        <w:t xml:space="preserve">-hour duration requirement for the </w:t>
      </w:r>
      <w:r w:rsidR="00C51FE6">
        <w:t>non-winter months</w:t>
      </w:r>
      <w:r w:rsidRPr="004918EE">
        <w:t xml:space="preserve"> can be justified by ERCOT's use of a six-hour net-load forecast uncertainty horizon and the </w:t>
      </w:r>
      <w:r w:rsidRPr="004918EE">
        <w:lastRenderedPageBreak/>
        <w:t>need to maintain reliability through sustained load, wind, and solar forecast errors and multi-hour net-load ramps that frequently occur around sunrise and sunset.</w:t>
      </w:r>
    </w:p>
    <w:p w14:paraId="55594FDC" w14:textId="539ACA41" w:rsidR="001520A7" w:rsidRDefault="004C7AC8" w:rsidP="004C7AC8">
      <w:pPr>
        <w:pStyle w:val="NormalArial"/>
        <w:tabs>
          <w:tab w:val="left" w:pos="1227"/>
        </w:tabs>
      </w:pPr>
      <w:r>
        <w:tab/>
      </w:r>
    </w:p>
    <w:p w14:paraId="5E598C1A" w14:textId="5B79573F" w:rsidR="001520A7" w:rsidRDefault="004A2D5B" w:rsidP="001520A7">
      <w:pPr>
        <w:pStyle w:val="NormalArial"/>
      </w:pPr>
      <w:r>
        <w:t>Because one of the statutory requirements for DRRS is to reduce reliance on RUC, the service should be structured around the operational characteristics of the resources that RUC would otherwise commit. A four-hour ESR award may help manage certain intra-day risks, but it may not be sufficient to replace the operational value of a thermal resource committed through RUC for a longer reliability need.</w:t>
      </w:r>
      <w:r w:rsidRPr="04F64130">
        <w:t xml:space="preserve"> </w:t>
      </w:r>
      <w:r w:rsidRPr="004918EE">
        <w:t xml:space="preserve">Recent ERCOT analyses have also highlighted limitations in the information available to the RUC engine, including differences between QSE-submitted battery state-of-charge (SOC) data used by </w:t>
      </w:r>
      <w:r>
        <w:t>Hourly Reliability Unit Commitment (</w:t>
      </w:r>
      <w:r w:rsidRPr="004918EE">
        <w:t>HRUC</w:t>
      </w:r>
      <w:r>
        <w:t>)</w:t>
      </w:r>
      <w:r w:rsidRPr="004918EE">
        <w:t xml:space="preserve"> and actual real-time battery conditions, which can contribute to ancillary service shortfalls and influence RUC commitment decisions. As a result, relying on shorter-duration ESR capability to avoid RUC commitments may overstate the operational reliability value available to operators when making forward commitment decisions.</w:t>
      </w:r>
    </w:p>
    <w:p w14:paraId="2C60B1D7" w14:textId="77777777" w:rsidR="001520A7" w:rsidRDefault="001520A7" w:rsidP="001520A7">
      <w:pPr>
        <w:pStyle w:val="NormalArial"/>
      </w:pPr>
    </w:p>
    <w:p w14:paraId="14934A44" w14:textId="7D354489" w:rsidR="001520A7" w:rsidRPr="00FE183F" w:rsidRDefault="001520A7" w:rsidP="001520A7">
      <w:pPr>
        <w:pStyle w:val="NormalArial"/>
        <w:rPr>
          <w:b/>
          <w:bCs/>
        </w:rPr>
      </w:pPr>
      <w:r w:rsidRPr="00FE183F">
        <w:rPr>
          <w:b/>
          <w:bCs/>
        </w:rPr>
        <w:t>DRRS Should Send a Market Signal for Long-Duration Capability</w:t>
      </w:r>
    </w:p>
    <w:p w14:paraId="7194DF47" w14:textId="77777777" w:rsidR="001520A7" w:rsidRDefault="001520A7" w:rsidP="001520A7">
      <w:pPr>
        <w:pStyle w:val="NormalArial"/>
      </w:pPr>
    </w:p>
    <w:p w14:paraId="7746990E" w14:textId="18B63662" w:rsidR="001520A7" w:rsidRDefault="001520A7" w:rsidP="001520A7">
      <w:pPr>
        <w:pStyle w:val="NormalArial"/>
      </w:pPr>
      <w:r>
        <w:t>TCPA is also concerned that a uniform four-hour duration requirement could reinforce an existing market design gap: ERCOT does not currently provide a clear market signal for long-duration dispatchable capability</w:t>
      </w:r>
      <w:r w:rsidR="004C7AC8">
        <w:t xml:space="preserve"> and generally lacks a </w:t>
      </w:r>
      <w:r w:rsidRPr="004C7AC8">
        <w:t>market construct that specifically values duration.</w:t>
      </w:r>
    </w:p>
    <w:p w14:paraId="6A6AAE70" w14:textId="77777777" w:rsidR="001520A7" w:rsidRDefault="001520A7" w:rsidP="001520A7">
      <w:pPr>
        <w:pStyle w:val="NormalArial"/>
      </w:pPr>
    </w:p>
    <w:p w14:paraId="19B2DE60" w14:textId="77777777" w:rsidR="001520A7" w:rsidRDefault="001520A7" w:rsidP="001520A7">
      <w:pPr>
        <w:pStyle w:val="NormalArial"/>
      </w:pPr>
      <w:r>
        <w:t>DRRS is one of the few near-term market design tools capable of sending a signal for reliability attributes beyond short-duration flexibility. If NPRR1340 allows ESRs to qualify based only on four-hour discharge capability, DRRS may fail to distinguish between short-duration resources and resources capable of supporting reliability through longer-duration scarcity or extreme weather events.</w:t>
      </w:r>
    </w:p>
    <w:p w14:paraId="7E09BAA0" w14:textId="77777777" w:rsidR="001520A7" w:rsidRDefault="001520A7" w:rsidP="001520A7">
      <w:pPr>
        <w:pStyle w:val="NormalArial"/>
      </w:pPr>
    </w:p>
    <w:p w14:paraId="56497D57" w14:textId="77777777" w:rsidR="001520A7" w:rsidRDefault="001520A7" w:rsidP="001520A7">
      <w:pPr>
        <w:pStyle w:val="NormalArial"/>
      </w:pPr>
      <w:r>
        <w:t>That outcome would weaken DRRS as a resource adequacy tool and could undermine the Legislature’s broader reliability objectives under PURA § 39.159.</w:t>
      </w:r>
    </w:p>
    <w:p w14:paraId="5C5A5E20" w14:textId="77777777" w:rsidR="001520A7" w:rsidRDefault="001520A7" w:rsidP="001520A7">
      <w:pPr>
        <w:pStyle w:val="NormalArial"/>
      </w:pPr>
    </w:p>
    <w:p w14:paraId="11D9E491" w14:textId="7F9329C3" w:rsidR="001520A7" w:rsidRPr="00FE183F" w:rsidRDefault="001520A7" w:rsidP="001520A7">
      <w:pPr>
        <w:pStyle w:val="NormalArial"/>
        <w:rPr>
          <w:b/>
          <w:bCs/>
        </w:rPr>
      </w:pPr>
      <w:r w:rsidRPr="00FE183F">
        <w:rPr>
          <w:b/>
          <w:bCs/>
        </w:rPr>
        <w:t>ESR Participation Should Not Dilute DRRS’ RUC-Reduction Objective</w:t>
      </w:r>
    </w:p>
    <w:p w14:paraId="6F225A93" w14:textId="77777777" w:rsidR="001520A7" w:rsidRDefault="001520A7" w:rsidP="001520A7">
      <w:pPr>
        <w:pStyle w:val="NormalArial"/>
      </w:pPr>
    </w:p>
    <w:p w14:paraId="13F9B9AF" w14:textId="6E27C421" w:rsidR="001520A7" w:rsidRDefault="04F64130" w:rsidP="004918EE">
      <w:pPr>
        <w:pStyle w:val="NormalArial"/>
        <w:spacing w:line="259" w:lineRule="auto"/>
      </w:pPr>
      <w:r>
        <w:t>NPRR1340 should also be evaluated in light of DRRS’ statutory objective to reduce reliance on RUC. ESRs can provide fast, valuable flexibility, but their contribution is constrained by SOC and duration. If ESRs clear DRRS in place of resources that could sustain output for longer periods, ERCOT may still need to rely on RUC to manage extended reliability risks.</w:t>
      </w:r>
    </w:p>
    <w:p w14:paraId="6E5520D9" w14:textId="77777777" w:rsidR="001520A7" w:rsidRDefault="001520A7" w:rsidP="001520A7">
      <w:pPr>
        <w:pStyle w:val="NormalArial"/>
      </w:pPr>
    </w:p>
    <w:p w14:paraId="52DA2076" w14:textId="41EE37E0" w:rsidR="001520A7" w:rsidRDefault="001520A7" w:rsidP="001520A7">
      <w:pPr>
        <w:pStyle w:val="NormalArial"/>
      </w:pPr>
      <w:r>
        <w:t>This is particularly important because NPRR1340 allows ESRs to participate only through discharge capability, not by reducing charging load. TCPA supports that distinction, but it also underscores the need for a meaningful duration requirement: an ESR providing DRRS must be capable of injecting energy for the full duration of the reliability need ERCOT is procuring against.</w:t>
      </w:r>
    </w:p>
    <w:p w14:paraId="151C43D5" w14:textId="77777777" w:rsidR="001520A7" w:rsidRDefault="001520A7" w:rsidP="001520A7">
      <w:pPr>
        <w:pStyle w:val="NormalArial"/>
      </w:pPr>
    </w:p>
    <w:p w14:paraId="138CAD6C" w14:textId="77777777" w:rsidR="004A2D5B" w:rsidRDefault="004A2D5B" w:rsidP="001520A7">
      <w:pPr>
        <w:pStyle w:val="NormalArial"/>
      </w:pPr>
    </w:p>
    <w:p w14:paraId="0A5B78E2" w14:textId="77777777" w:rsidR="004A2D5B" w:rsidRDefault="004A2D5B" w:rsidP="001520A7">
      <w:pPr>
        <w:pStyle w:val="NormalArial"/>
      </w:pPr>
    </w:p>
    <w:p w14:paraId="78630A9B" w14:textId="4BB6108E" w:rsidR="001520A7" w:rsidRPr="00FE183F" w:rsidRDefault="001520A7" w:rsidP="001520A7">
      <w:pPr>
        <w:pStyle w:val="NormalArial"/>
        <w:rPr>
          <w:b/>
          <w:bCs/>
        </w:rPr>
      </w:pPr>
      <w:r w:rsidRPr="00FE183F">
        <w:rPr>
          <w:b/>
          <w:bCs/>
        </w:rPr>
        <w:t>Conclusion</w:t>
      </w:r>
    </w:p>
    <w:p w14:paraId="0A9AE069" w14:textId="77777777" w:rsidR="001520A7" w:rsidRDefault="001520A7" w:rsidP="001520A7">
      <w:pPr>
        <w:pStyle w:val="NormalArial"/>
      </w:pPr>
    </w:p>
    <w:p w14:paraId="729FD89C" w14:textId="2C4BB148" w:rsidR="001520A7" w:rsidRDefault="001520A7" w:rsidP="001520A7">
      <w:pPr>
        <w:pStyle w:val="NormalArial"/>
      </w:pPr>
      <w:r>
        <w:t>TCPA recommends that ERCOT and stakeholders treat NPRR1340 as more than a simple ESR eligibility mechanism. The central question is not whether ESRs can provide some amount of DRRS</w:t>
      </w:r>
      <w:r w:rsidR="004C7AC8">
        <w:t xml:space="preserve">, but rather if </w:t>
      </w:r>
      <w:r>
        <w:t>the qualification rules for ESR participation preserve the reliability value DRRS is intended to provide.</w:t>
      </w:r>
    </w:p>
    <w:p w14:paraId="7945C8E9" w14:textId="77777777" w:rsidR="001520A7" w:rsidRDefault="001520A7" w:rsidP="001520A7">
      <w:pPr>
        <w:pStyle w:val="NormalArial"/>
      </w:pPr>
    </w:p>
    <w:p w14:paraId="68A2ADC9" w14:textId="05399699" w:rsidR="00F51720" w:rsidRDefault="001520A7" w:rsidP="001520A7">
      <w:pPr>
        <w:pStyle w:val="NormalArial"/>
      </w:pPr>
      <w:r>
        <w:t>TCPA therefore recommends that NPRR1340 be revised, or at minimum further evaluated, to ensure that ESR participation in DRRS is subject to seasonally appropriate duration requirements. Four hours should be treated as the statutory minimum, not the default answer for all seasons and all reliability conditions. DRRS should be designed to value resources that can support ERCOT through the duration of the reliability risks the service is intended to address.</w:t>
      </w:r>
    </w:p>
    <w:p w14:paraId="53B5AE10" w14:textId="77777777" w:rsidR="00FE183F" w:rsidRDefault="00FE183F" w:rsidP="001520A7">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51720" w14:paraId="32E98A1B" w14:textId="77777777" w:rsidTr="00963D8F">
        <w:trPr>
          <w:trHeight w:val="350"/>
        </w:trPr>
        <w:tc>
          <w:tcPr>
            <w:tcW w:w="10440" w:type="dxa"/>
            <w:tcBorders>
              <w:bottom w:val="single" w:sz="4" w:space="0" w:color="auto"/>
            </w:tcBorders>
            <w:shd w:val="clear" w:color="auto" w:fill="FFFFFF"/>
            <w:vAlign w:val="center"/>
          </w:tcPr>
          <w:p w14:paraId="43F1EBA2" w14:textId="77777777" w:rsidR="00F51720" w:rsidRDefault="00F51720" w:rsidP="00963D8F">
            <w:pPr>
              <w:pStyle w:val="Header"/>
              <w:jc w:val="center"/>
            </w:pPr>
            <w:r>
              <w:t>Revised Cover Page Language</w:t>
            </w:r>
          </w:p>
        </w:tc>
      </w:tr>
    </w:tbl>
    <w:p w14:paraId="04217BDE" w14:textId="492760D4" w:rsidR="00F51720" w:rsidRDefault="00F51720" w:rsidP="00F51720">
      <w:pPr>
        <w:pStyle w:val="NormalArial"/>
        <w:spacing w:before="120" w:after="120"/>
      </w:pPr>
      <w:bookmarkStart w:id="0" w:name="_Hlk215662352"/>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51720" w14:paraId="08822A3E" w14:textId="77777777" w:rsidTr="00963D8F">
        <w:trPr>
          <w:trHeight w:val="350"/>
        </w:trPr>
        <w:tc>
          <w:tcPr>
            <w:tcW w:w="10440" w:type="dxa"/>
            <w:tcBorders>
              <w:bottom w:val="single" w:sz="4" w:space="0" w:color="auto"/>
            </w:tcBorders>
            <w:shd w:val="clear" w:color="auto" w:fill="FFFFFF"/>
            <w:vAlign w:val="center"/>
          </w:tcPr>
          <w:bookmarkEnd w:id="0"/>
          <w:p w14:paraId="1399A601" w14:textId="77777777" w:rsidR="00F51720" w:rsidRDefault="00F51720" w:rsidP="00963D8F">
            <w:pPr>
              <w:pStyle w:val="Header"/>
              <w:jc w:val="center"/>
            </w:pPr>
            <w:r>
              <w:t>Revised Proposed Protocol Language</w:t>
            </w:r>
          </w:p>
        </w:tc>
      </w:tr>
    </w:tbl>
    <w:p w14:paraId="0BEE3A63" w14:textId="63B4E872" w:rsidR="00BD7258" w:rsidRDefault="00F51720" w:rsidP="00F51720">
      <w:pPr>
        <w:pStyle w:val="NormalArial"/>
        <w:spacing w:before="120" w:after="120"/>
      </w:pPr>
      <w:r>
        <w:t>None</w:t>
      </w:r>
    </w:p>
    <w:sectPr w:rsidR="00BD7258" w:rsidSect="0074209E">
      <w:headerReference w:type="default" r:id="rId14"/>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BF10" w14:textId="77777777" w:rsidR="0097658F" w:rsidRDefault="0097658F">
      <w:r>
        <w:separator/>
      </w:r>
    </w:p>
  </w:endnote>
  <w:endnote w:type="continuationSeparator" w:id="0">
    <w:p w14:paraId="022847BE" w14:textId="77777777" w:rsidR="0097658F" w:rsidRDefault="0097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DB7C" w14:textId="58DBE83D" w:rsidR="00EE6681" w:rsidRDefault="00AA236C"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B4309F">
      <w:rPr>
        <w:rFonts w:ascii="Arial" w:hAnsi="Arial"/>
        <w:noProof/>
        <w:sz w:val="18"/>
      </w:rPr>
      <w:t>1340NPRR-08 TCPA Comments 072126</w:t>
    </w:r>
    <w:r>
      <w:rPr>
        <w:rFonts w:ascii="Arial" w:hAnsi="Arial"/>
        <w:sz w:val="18"/>
      </w:rPr>
      <w:fldChar w:fldCharType="end"/>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2383E948"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3C4F7" w14:textId="77777777" w:rsidR="0097658F" w:rsidRDefault="0097658F">
      <w:r>
        <w:separator/>
      </w:r>
    </w:p>
  </w:footnote>
  <w:footnote w:type="continuationSeparator" w:id="0">
    <w:p w14:paraId="0FA3F9B1" w14:textId="77777777" w:rsidR="0097658F" w:rsidRDefault="00976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5593" w14:textId="77777777" w:rsidR="00EE6681" w:rsidRDefault="00EE6681">
    <w:pPr>
      <w:pStyle w:val="Header"/>
      <w:jc w:val="center"/>
      <w:rPr>
        <w:sz w:val="32"/>
      </w:rPr>
    </w:pPr>
    <w:r>
      <w:rPr>
        <w:sz w:val="32"/>
      </w:rPr>
      <w:t>NPRR Comments</w:t>
    </w:r>
  </w:p>
  <w:p w14:paraId="7223B760" w14:textId="77777777" w:rsidR="00EE6681" w:rsidRDefault="00EE668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D7E055E"/>
    <w:multiLevelType w:val="hybridMultilevel"/>
    <w:tmpl w:val="B5F65294"/>
    <w:lvl w:ilvl="0" w:tplc="70980B1C">
      <w:start w:val="5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50307738">
    <w:abstractNumId w:val="0"/>
  </w:num>
  <w:num w:numId="2" w16cid:durableId="1139107528">
    <w:abstractNumId w:val="2"/>
  </w:num>
  <w:num w:numId="3" w16cid:durableId="762799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25D2E"/>
    <w:rsid w:val="00037668"/>
    <w:rsid w:val="00075A94"/>
    <w:rsid w:val="000B5093"/>
    <w:rsid w:val="00107E8D"/>
    <w:rsid w:val="00132855"/>
    <w:rsid w:val="001520A7"/>
    <w:rsid w:val="00152993"/>
    <w:rsid w:val="00170297"/>
    <w:rsid w:val="001A227D"/>
    <w:rsid w:val="001E2032"/>
    <w:rsid w:val="001E7DB7"/>
    <w:rsid w:val="00262C43"/>
    <w:rsid w:val="003010C0"/>
    <w:rsid w:val="0030197B"/>
    <w:rsid w:val="00332A97"/>
    <w:rsid w:val="00350C00"/>
    <w:rsid w:val="00366113"/>
    <w:rsid w:val="0039494C"/>
    <w:rsid w:val="003C270C"/>
    <w:rsid w:val="003D0994"/>
    <w:rsid w:val="003D6E47"/>
    <w:rsid w:val="003D7F25"/>
    <w:rsid w:val="003F120C"/>
    <w:rsid w:val="00423824"/>
    <w:rsid w:val="0043567D"/>
    <w:rsid w:val="00436909"/>
    <w:rsid w:val="004918EE"/>
    <w:rsid w:val="004A2D5B"/>
    <w:rsid w:val="004B7B90"/>
    <w:rsid w:val="004C7AC8"/>
    <w:rsid w:val="004E2C19"/>
    <w:rsid w:val="0053463C"/>
    <w:rsid w:val="00536376"/>
    <w:rsid w:val="00557586"/>
    <w:rsid w:val="005D284C"/>
    <w:rsid w:val="005D390C"/>
    <w:rsid w:val="00604512"/>
    <w:rsid w:val="00633E23"/>
    <w:rsid w:val="006615D3"/>
    <w:rsid w:val="00673B94"/>
    <w:rsid w:val="00680AC6"/>
    <w:rsid w:val="006835D8"/>
    <w:rsid w:val="006C316E"/>
    <w:rsid w:val="006D0F7C"/>
    <w:rsid w:val="006E18B4"/>
    <w:rsid w:val="007269C4"/>
    <w:rsid w:val="0074209E"/>
    <w:rsid w:val="007720A9"/>
    <w:rsid w:val="007F2CA8"/>
    <w:rsid w:val="007F7161"/>
    <w:rsid w:val="008037F9"/>
    <w:rsid w:val="008172E0"/>
    <w:rsid w:val="008212C1"/>
    <w:rsid w:val="0085559E"/>
    <w:rsid w:val="00896B1B"/>
    <w:rsid w:val="008E559E"/>
    <w:rsid w:val="00912F7D"/>
    <w:rsid w:val="00916080"/>
    <w:rsid w:val="00917A57"/>
    <w:rsid w:val="00921A68"/>
    <w:rsid w:val="0093426B"/>
    <w:rsid w:val="009503F8"/>
    <w:rsid w:val="0097658F"/>
    <w:rsid w:val="009820D9"/>
    <w:rsid w:val="009B7D96"/>
    <w:rsid w:val="009D34E4"/>
    <w:rsid w:val="009E5C31"/>
    <w:rsid w:val="00A015C4"/>
    <w:rsid w:val="00A15172"/>
    <w:rsid w:val="00A52635"/>
    <w:rsid w:val="00A72153"/>
    <w:rsid w:val="00AA236C"/>
    <w:rsid w:val="00AE3E1A"/>
    <w:rsid w:val="00B1614B"/>
    <w:rsid w:val="00B4309F"/>
    <w:rsid w:val="00B5080A"/>
    <w:rsid w:val="00B825B4"/>
    <w:rsid w:val="00B943AE"/>
    <w:rsid w:val="00BD3233"/>
    <w:rsid w:val="00BD7258"/>
    <w:rsid w:val="00C0598D"/>
    <w:rsid w:val="00C11956"/>
    <w:rsid w:val="00C51FE6"/>
    <w:rsid w:val="00C602E5"/>
    <w:rsid w:val="00C748FD"/>
    <w:rsid w:val="00C82CD0"/>
    <w:rsid w:val="00CA5DD7"/>
    <w:rsid w:val="00CC6664"/>
    <w:rsid w:val="00CF3DE2"/>
    <w:rsid w:val="00D4046E"/>
    <w:rsid w:val="00D4362F"/>
    <w:rsid w:val="00DD4739"/>
    <w:rsid w:val="00DE5F33"/>
    <w:rsid w:val="00E07B54"/>
    <w:rsid w:val="00E11F78"/>
    <w:rsid w:val="00E538DC"/>
    <w:rsid w:val="00E621E1"/>
    <w:rsid w:val="00EC55B3"/>
    <w:rsid w:val="00ED3599"/>
    <w:rsid w:val="00EE46E1"/>
    <w:rsid w:val="00EE6681"/>
    <w:rsid w:val="00EF2BF4"/>
    <w:rsid w:val="00F12D45"/>
    <w:rsid w:val="00F20D6F"/>
    <w:rsid w:val="00F23A75"/>
    <w:rsid w:val="00F51720"/>
    <w:rsid w:val="00F77A8F"/>
    <w:rsid w:val="00F96FB2"/>
    <w:rsid w:val="00FB51D8"/>
    <w:rsid w:val="00FD08E8"/>
    <w:rsid w:val="00FE183F"/>
    <w:rsid w:val="00FE7594"/>
    <w:rsid w:val="04F6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EED27"/>
  <w15:chartTrackingRefBased/>
  <w15:docId w15:val="{1C954E70-7A7D-40EC-8E3A-3BDCB059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B1614B"/>
    <w:rPr>
      <w:color w:val="605E5C"/>
      <w:shd w:val="clear" w:color="auto" w:fill="E1DFDD"/>
    </w:rPr>
  </w:style>
  <w:style w:type="paragraph" w:styleId="FootnoteText">
    <w:name w:val="footnote text"/>
    <w:basedOn w:val="Normal"/>
    <w:link w:val="FootnoteTextChar"/>
    <w:rsid w:val="00B825B4"/>
    <w:rPr>
      <w:sz w:val="20"/>
      <w:szCs w:val="20"/>
    </w:rPr>
  </w:style>
  <w:style w:type="character" w:customStyle="1" w:styleId="FootnoteTextChar">
    <w:name w:val="Footnote Text Char"/>
    <w:basedOn w:val="DefaultParagraphFont"/>
    <w:link w:val="FootnoteText"/>
    <w:rsid w:val="00B825B4"/>
  </w:style>
  <w:style w:type="character" w:styleId="FootnoteReference">
    <w:name w:val="footnote reference"/>
    <w:rsid w:val="00B825B4"/>
    <w:rPr>
      <w:vertAlign w:val="superscript"/>
    </w:rPr>
  </w:style>
  <w:style w:type="character" w:customStyle="1" w:styleId="NormalArialChar">
    <w:name w:val="Normal+Arial Char"/>
    <w:link w:val="NormalArial"/>
    <w:rsid w:val="00557586"/>
    <w:rPr>
      <w:rFonts w:ascii="Arial" w:hAnsi="Arial"/>
      <w:sz w:val="24"/>
      <w:szCs w:val="24"/>
    </w:rPr>
  </w:style>
  <w:style w:type="character" w:customStyle="1" w:styleId="HeaderChar">
    <w:name w:val="Header Char"/>
    <w:link w:val="Header"/>
    <w:rsid w:val="00557586"/>
    <w:rPr>
      <w:rFonts w:ascii="Arial" w:hAnsi="Arial"/>
      <w:b/>
      <w:bCs/>
      <w:sz w:val="24"/>
      <w:szCs w:val="24"/>
    </w:rPr>
  </w:style>
  <w:style w:type="paragraph" w:styleId="ListBullet">
    <w:name w:val="List Bullet"/>
    <w:basedOn w:val="Normal"/>
    <w:unhideWhenUsed/>
    <w:rsid w:val="00557586"/>
    <w:pPr>
      <w:tabs>
        <w:tab w:val="num" w:pos="360"/>
      </w:tabs>
      <w:ind w:left="360" w:hanging="360"/>
    </w:pPr>
    <w:rPr>
      <w:rFonts w:eastAsia="SimSun"/>
      <w:szCs w:val="20"/>
    </w:rPr>
  </w:style>
  <w:style w:type="paragraph" w:styleId="Revision">
    <w:name w:val="Revision"/>
    <w:hidden/>
    <w:uiPriority w:val="99"/>
    <w:semiHidden/>
    <w:rsid w:val="009503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ele@competitivepower.org"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competitivepower.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4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8F42D58D492445BCD4BB491F554FAD" ma:contentTypeVersion="4" ma:contentTypeDescription="Create a new document." ma:contentTypeScope="" ma:versionID="a109864c4f69396e075c023d0f928f21">
  <xsd:schema xmlns:xsd="http://www.w3.org/2001/XMLSchema" xmlns:xs="http://www.w3.org/2001/XMLSchema" xmlns:p="http://schemas.microsoft.com/office/2006/metadata/properties" xmlns:ns2="fb90a2b6-4ef7-4c9f-8e48-222864d5bb60" targetNamespace="http://schemas.microsoft.com/office/2006/metadata/properties" ma:root="true" ma:fieldsID="21a2e1d0150983905e2e812f1cc1f589" ns2:_="">
    <xsd:import namespace="fb90a2b6-4ef7-4c9f-8e48-222864d5bb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0a2b6-4ef7-4c9f-8e48-222864d5b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7C411-29C6-4616-A51F-CFC04F71663B}">
  <ds:schemaRefs>
    <ds:schemaRef ds:uri="http://schemas.microsoft.com/sharepoint/v3/contenttype/forms"/>
  </ds:schemaRefs>
</ds:datastoreItem>
</file>

<file path=customXml/itemProps2.xml><?xml version="1.0" encoding="utf-8"?>
<ds:datastoreItem xmlns:ds="http://schemas.openxmlformats.org/officeDocument/2006/customXml" ds:itemID="{80ADE07C-B9A4-43CB-A0FB-6974A79AA984}">
  <ds:schemaRefs>
    <ds:schemaRef ds:uri="http://schemas.openxmlformats.org/officeDocument/2006/bibliography"/>
  </ds:schemaRefs>
</ds:datastoreItem>
</file>

<file path=customXml/itemProps3.xml><?xml version="1.0" encoding="utf-8"?>
<ds:datastoreItem xmlns:ds="http://schemas.openxmlformats.org/officeDocument/2006/customXml" ds:itemID="{E85104CB-1E34-487F-A608-E117366D7E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D65B98-1F90-4730-A2FE-B38AC4F19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0a2b6-4ef7-4c9f-8e48-222864d5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1301</Words>
  <Characters>7834</Characters>
  <Application>Microsoft Office Word</Application>
  <DocSecurity>0</DocSecurity>
  <Lines>174</Lines>
  <Paragraphs>56</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C Phillips</cp:lastModifiedBy>
  <cp:revision>3</cp:revision>
  <cp:lastPrinted>2001-06-20T16:28:00Z</cp:lastPrinted>
  <dcterms:created xsi:type="dcterms:W3CDTF">2026-07-21T19:05:00Z</dcterms:created>
  <dcterms:modified xsi:type="dcterms:W3CDTF">2026-07-21T19:07:00Z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2025-12-03T19:54:05Z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ca98c67d-d6ac-4dd6-a1cd-78d2e2a206dc</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